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3635D">
      <w:pPr>
        <w:widowControl/>
        <w:shd w:val="clear" w:color="auto" w:fill="FFFFFF"/>
        <w:spacing w:line="600" w:lineRule="exact"/>
        <w:jc w:val="center"/>
        <w:outlineLvl w:val="0"/>
        <w:rPr>
          <w:rFonts w:hint="eastAsia" w:ascii="方正小标宋_GBK" w:eastAsia="方正小标宋_GBK"/>
          <w:szCs w:val="32"/>
        </w:rPr>
      </w:pPr>
      <w:r>
        <w:rPr>
          <w:rFonts w:hint="eastAsia" w:ascii="方正小标宋_GBK" w:eastAsia="方正小标宋_GBK"/>
          <w:szCs w:val="32"/>
        </w:rPr>
        <w:t>标题：夫子庙－秦淮风光带风景名胜区管理委员会</w:t>
      </w:r>
    </w:p>
    <w:p w14:paraId="6F8FC2E1">
      <w:pPr>
        <w:widowControl/>
        <w:shd w:val="clear" w:color="auto" w:fill="FFFFFF"/>
        <w:spacing w:line="600" w:lineRule="exact"/>
        <w:jc w:val="center"/>
        <w:outlineLvl w:val="0"/>
        <w:rPr>
          <w:rFonts w:hint="eastAsia" w:ascii="方正小标宋_GBK" w:eastAsia="方正小标宋_GBK"/>
          <w:szCs w:val="32"/>
        </w:rPr>
      </w:pPr>
      <w:r>
        <w:rPr>
          <w:rFonts w:hint="eastAsia" w:ascii="方正小标宋_GBK" w:eastAsia="方正小标宋_GBK"/>
          <w:szCs w:val="32"/>
        </w:rPr>
        <w:t>重大执法决定法制审核目录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10"/>
        <w:gridCol w:w="3394"/>
        <w:gridCol w:w="1140"/>
        <w:gridCol w:w="1520"/>
      </w:tblGrid>
      <w:tr w14:paraId="7A6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top"/>
          </w:tcPr>
          <w:p w14:paraId="2B890DD6">
            <w:pPr>
              <w:rPr>
                <w:rFonts w:ascii="黑体" w:hAnsi="黑体" w:eastAsia="黑体"/>
                <w:sz w:val="21"/>
                <w:szCs w:val="21"/>
              </w:rPr>
            </w:pPr>
            <w:r>
              <w:rPr>
                <w:rFonts w:ascii="黑体" w:hAnsi="黑体" w:eastAsia="黑体"/>
                <w:sz w:val="21"/>
                <w:szCs w:val="21"/>
              </w:rPr>
              <w:t>序号</w:t>
            </w:r>
          </w:p>
        </w:tc>
        <w:tc>
          <w:tcPr>
            <w:tcW w:w="2410" w:type="dxa"/>
            <w:noWrap w:val="0"/>
            <w:vAlign w:val="top"/>
          </w:tcPr>
          <w:p w14:paraId="75C75491">
            <w:pPr>
              <w:rPr>
                <w:rFonts w:ascii="黑体" w:hAnsi="黑体" w:eastAsia="黑体"/>
                <w:sz w:val="21"/>
                <w:szCs w:val="21"/>
              </w:rPr>
            </w:pPr>
            <w:r>
              <w:rPr>
                <w:rFonts w:ascii="黑体" w:hAnsi="黑体" w:eastAsia="黑体"/>
                <w:sz w:val="21"/>
                <w:szCs w:val="21"/>
              </w:rPr>
              <w:t>重大执法决定事项名称</w:t>
            </w:r>
          </w:p>
        </w:tc>
        <w:tc>
          <w:tcPr>
            <w:tcW w:w="3394" w:type="dxa"/>
            <w:noWrap w:val="0"/>
            <w:vAlign w:val="top"/>
          </w:tcPr>
          <w:p w14:paraId="0EFB6DCA">
            <w:pPr>
              <w:rPr>
                <w:rFonts w:ascii="黑体" w:hAnsi="黑体" w:eastAsia="黑体"/>
                <w:sz w:val="21"/>
                <w:szCs w:val="21"/>
              </w:rPr>
            </w:pPr>
            <w:r>
              <w:rPr>
                <w:rFonts w:ascii="黑体" w:hAnsi="黑体" w:eastAsia="黑体"/>
                <w:sz w:val="21"/>
                <w:szCs w:val="21"/>
              </w:rPr>
              <w:t>法律依据</w:t>
            </w:r>
          </w:p>
        </w:tc>
        <w:tc>
          <w:tcPr>
            <w:tcW w:w="1140" w:type="dxa"/>
            <w:noWrap w:val="0"/>
            <w:vAlign w:val="top"/>
          </w:tcPr>
          <w:p w14:paraId="57ADA81E">
            <w:pPr>
              <w:rPr>
                <w:rFonts w:ascii="黑体" w:hAnsi="黑体" w:eastAsia="黑体"/>
                <w:sz w:val="21"/>
                <w:szCs w:val="21"/>
              </w:rPr>
            </w:pPr>
            <w:r>
              <w:rPr>
                <w:rFonts w:ascii="黑体" w:hAnsi="黑体" w:eastAsia="黑体"/>
                <w:sz w:val="21"/>
                <w:szCs w:val="21"/>
              </w:rPr>
              <w:t>权力类别</w:t>
            </w:r>
          </w:p>
        </w:tc>
        <w:tc>
          <w:tcPr>
            <w:tcW w:w="1520" w:type="dxa"/>
            <w:noWrap w:val="0"/>
            <w:vAlign w:val="top"/>
          </w:tcPr>
          <w:p w14:paraId="5767BDB2">
            <w:pPr>
              <w:rPr>
                <w:rFonts w:ascii="黑体" w:hAnsi="黑体" w:eastAsia="黑体"/>
                <w:sz w:val="21"/>
                <w:szCs w:val="21"/>
              </w:rPr>
            </w:pPr>
            <w:r>
              <w:rPr>
                <w:rFonts w:ascii="黑体" w:hAnsi="黑体" w:eastAsia="黑体"/>
                <w:sz w:val="21"/>
                <w:szCs w:val="21"/>
              </w:rPr>
              <w:t>行政执法主体</w:t>
            </w:r>
          </w:p>
        </w:tc>
      </w:tr>
      <w:tr w14:paraId="6A1E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14:paraId="6DB05F88">
            <w:pPr>
              <w:rPr>
                <w:rFonts w:ascii="仿宋" w:hAnsi="仿宋"/>
                <w:sz w:val="21"/>
                <w:szCs w:val="21"/>
              </w:rPr>
            </w:pPr>
            <w:r>
              <w:rPr>
                <w:rFonts w:hint="eastAsia" w:ascii="仿宋" w:hAnsi="仿宋"/>
                <w:sz w:val="21"/>
                <w:szCs w:val="21"/>
              </w:rPr>
              <w:t>1</w:t>
            </w:r>
          </w:p>
        </w:tc>
        <w:tc>
          <w:tcPr>
            <w:tcW w:w="2410" w:type="dxa"/>
            <w:noWrap w:val="0"/>
            <w:vAlign w:val="center"/>
          </w:tcPr>
          <w:p w14:paraId="252A0CCC">
            <w:pPr>
              <w:rPr>
                <w:rFonts w:ascii="仿宋" w:hAnsi="仿宋" w:cs="宋体"/>
                <w:sz w:val="21"/>
                <w:szCs w:val="21"/>
              </w:rPr>
            </w:pPr>
            <w:r>
              <w:rPr>
                <w:rFonts w:ascii="仿宋" w:hAnsi="仿宋"/>
                <w:sz w:val="21"/>
                <w:szCs w:val="21"/>
              </w:rPr>
              <w:t>对未经风景</w:t>
            </w:r>
            <w:r>
              <w:rPr>
                <w:rFonts w:hint="eastAsia" w:ascii="仿宋" w:hAnsi="仿宋"/>
                <w:sz w:val="21"/>
                <w:szCs w:val="21"/>
              </w:rPr>
              <w:t>名胜</w:t>
            </w:r>
            <w:r>
              <w:rPr>
                <w:rFonts w:ascii="仿宋" w:hAnsi="仿宋"/>
                <w:sz w:val="21"/>
                <w:szCs w:val="21"/>
              </w:rPr>
              <w:t>区管理机构审核在风景</w:t>
            </w:r>
            <w:r>
              <w:rPr>
                <w:rFonts w:hint="eastAsia" w:ascii="仿宋" w:hAnsi="仿宋"/>
                <w:sz w:val="21"/>
                <w:szCs w:val="21"/>
              </w:rPr>
              <w:t>名胜</w:t>
            </w:r>
            <w:r>
              <w:rPr>
                <w:rFonts w:ascii="仿宋" w:hAnsi="仿宋"/>
                <w:sz w:val="21"/>
                <w:szCs w:val="21"/>
              </w:rPr>
              <w:t>区内新建、改建、扩建建设项目的处罚</w:t>
            </w:r>
          </w:p>
        </w:tc>
        <w:tc>
          <w:tcPr>
            <w:tcW w:w="3394" w:type="dxa"/>
            <w:noWrap w:val="0"/>
            <w:vAlign w:val="center"/>
          </w:tcPr>
          <w:p w14:paraId="5F4B0BB3">
            <w:pPr>
              <w:rPr>
                <w:rFonts w:ascii="仿宋" w:hAnsi="仿宋" w:cs="宋体"/>
                <w:sz w:val="21"/>
                <w:szCs w:val="21"/>
              </w:rPr>
            </w:pPr>
            <w:r>
              <w:rPr>
                <w:rFonts w:ascii="仿宋" w:hAnsi="仿宋" w:cs="宋体"/>
                <w:sz w:val="21"/>
                <w:szCs w:val="21"/>
              </w:rPr>
              <w:t>《</w:t>
            </w:r>
            <w:r>
              <w:rPr>
                <w:rFonts w:hint="eastAsia" w:ascii="仿宋" w:hAnsi="仿宋" w:cs="宋体"/>
                <w:sz w:val="21"/>
                <w:szCs w:val="21"/>
              </w:rPr>
              <w:t>南京市夫子庙秦淮风光带风景名胜区</w:t>
            </w:r>
            <w:r>
              <w:rPr>
                <w:rFonts w:ascii="仿宋" w:hAnsi="仿宋" w:cs="宋体"/>
                <w:sz w:val="21"/>
                <w:szCs w:val="21"/>
              </w:rPr>
              <w:t>条例》</w:t>
            </w:r>
            <w:r>
              <w:rPr>
                <w:rFonts w:hint="eastAsia" w:ascii="仿宋" w:hAnsi="仿宋" w:cs="宋体"/>
                <w:sz w:val="21"/>
                <w:szCs w:val="21"/>
              </w:rPr>
              <w:t xml:space="preserve">第五十九条第一款  </w:t>
            </w:r>
            <w:r>
              <w:rPr>
                <w:rFonts w:ascii="仿宋" w:hAnsi="仿宋" w:cs="宋体"/>
                <w:sz w:val="21"/>
                <w:szCs w:val="21"/>
              </w:rPr>
              <w:t>违反本条例第四十二条</w:t>
            </w:r>
            <w:r>
              <w:rPr>
                <w:rFonts w:hint="eastAsia" w:ascii="仿宋" w:hAnsi="仿宋" w:cs="宋体"/>
                <w:sz w:val="21"/>
                <w:szCs w:val="21"/>
              </w:rPr>
              <w:t>第一款第一项</w:t>
            </w:r>
            <w:r>
              <w:rPr>
                <w:rFonts w:ascii="仿宋" w:hAnsi="仿宋" w:cs="宋体"/>
                <w:sz w:val="21"/>
                <w:szCs w:val="21"/>
              </w:rPr>
              <w:t>规定，在风景名胜区内新建、改建、扩建建设项目，未经风景名胜区管理机构审核的，由风景名胜区管理机构责令停止建设、限期拆除，对个人处以二万元以上五万元以下罚款，对单位处以二十万元以上五十万元以下罚款。</w:t>
            </w:r>
          </w:p>
        </w:tc>
        <w:tc>
          <w:tcPr>
            <w:tcW w:w="1140" w:type="dxa"/>
            <w:noWrap w:val="0"/>
            <w:vAlign w:val="center"/>
          </w:tcPr>
          <w:p w14:paraId="3368A75E">
            <w:pPr>
              <w:rPr>
                <w:rFonts w:ascii="仿宋" w:hAnsi="仿宋"/>
                <w:sz w:val="21"/>
                <w:szCs w:val="21"/>
              </w:rPr>
            </w:pPr>
            <w:r>
              <w:rPr>
                <w:rFonts w:ascii="仿宋" w:hAnsi="仿宋"/>
                <w:sz w:val="21"/>
                <w:szCs w:val="21"/>
              </w:rPr>
              <w:t>行政处罚</w:t>
            </w:r>
          </w:p>
        </w:tc>
        <w:tc>
          <w:tcPr>
            <w:tcW w:w="1520" w:type="dxa"/>
            <w:noWrap w:val="0"/>
            <w:vAlign w:val="center"/>
          </w:tcPr>
          <w:p w14:paraId="5A076FB8">
            <w:pPr>
              <w:jc w:val="center"/>
              <w:rPr>
                <w:rFonts w:ascii="仿宋" w:hAnsi="仿宋"/>
                <w:sz w:val="21"/>
                <w:szCs w:val="21"/>
              </w:rPr>
            </w:pPr>
            <w:r>
              <w:rPr>
                <w:rFonts w:hint="eastAsia" w:ascii="仿宋" w:hAnsi="仿宋"/>
                <w:sz w:val="21"/>
                <w:szCs w:val="21"/>
              </w:rPr>
              <w:t>夫子庙风光带管委会</w:t>
            </w:r>
          </w:p>
        </w:tc>
      </w:tr>
      <w:tr w14:paraId="1C9A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14:paraId="20571CBE">
            <w:pPr>
              <w:rPr>
                <w:rFonts w:ascii="仿宋" w:hAnsi="仿宋"/>
                <w:sz w:val="21"/>
                <w:szCs w:val="21"/>
              </w:rPr>
            </w:pPr>
            <w:r>
              <w:rPr>
                <w:rFonts w:hint="eastAsia" w:ascii="仿宋" w:hAnsi="仿宋"/>
                <w:sz w:val="21"/>
                <w:szCs w:val="21"/>
              </w:rPr>
              <w:t>2</w:t>
            </w:r>
          </w:p>
        </w:tc>
        <w:tc>
          <w:tcPr>
            <w:tcW w:w="2410" w:type="dxa"/>
            <w:noWrap w:val="0"/>
            <w:vAlign w:val="center"/>
          </w:tcPr>
          <w:p w14:paraId="60F84606">
            <w:pPr>
              <w:rPr>
                <w:rFonts w:ascii="仿宋" w:hAnsi="仿宋" w:cs="宋体"/>
                <w:sz w:val="21"/>
                <w:szCs w:val="21"/>
              </w:rPr>
            </w:pPr>
            <w:r>
              <w:rPr>
                <w:rFonts w:hint="eastAsia" w:ascii="仿宋" w:hAnsi="仿宋"/>
                <w:sz w:val="21"/>
                <w:szCs w:val="21"/>
              </w:rPr>
              <w:t>对未经风景名胜区管理机构审核在风景名胜区内</w:t>
            </w:r>
            <w:r>
              <w:rPr>
                <w:rFonts w:ascii="仿宋" w:hAnsi="仿宋"/>
                <w:sz w:val="21"/>
                <w:szCs w:val="21"/>
              </w:rPr>
              <w:t>擅自挖掘、占用道路、河道</w:t>
            </w:r>
            <w:r>
              <w:rPr>
                <w:rFonts w:hint="eastAsia" w:ascii="仿宋" w:hAnsi="仿宋"/>
                <w:sz w:val="21"/>
                <w:szCs w:val="21"/>
              </w:rPr>
              <w:t>或者举办商业展销活动的处罚</w:t>
            </w:r>
          </w:p>
        </w:tc>
        <w:tc>
          <w:tcPr>
            <w:tcW w:w="3394" w:type="dxa"/>
            <w:noWrap w:val="0"/>
            <w:vAlign w:val="center"/>
          </w:tcPr>
          <w:p w14:paraId="7187885A">
            <w:pPr>
              <w:rPr>
                <w:rFonts w:ascii="仿宋" w:hAnsi="仿宋"/>
                <w:sz w:val="21"/>
                <w:szCs w:val="21"/>
              </w:rPr>
            </w:pPr>
            <w:r>
              <w:rPr>
                <w:rFonts w:ascii="仿宋" w:hAnsi="仿宋" w:cs="宋体"/>
                <w:sz w:val="21"/>
                <w:szCs w:val="21"/>
              </w:rPr>
              <w:t>《</w:t>
            </w:r>
            <w:r>
              <w:rPr>
                <w:rFonts w:hint="eastAsia" w:ascii="仿宋" w:hAnsi="仿宋" w:cs="宋体"/>
                <w:sz w:val="21"/>
                <w:szCs w:val="21"/>
              </w:rPr>
              <w:t>南京市夫子庙秦淮风光带风景名胜区</w:t>
            </w:r>
            <w:r>
              <w:rPr>
                <w:rFonts w:ascii="仿宋" w:hAnsi="仿宋" w:cs="宋体"/>
                <w:sz w:val="21"/>
                <w:szCs w:val="21"/>
              </w:rPr>
              <w:t>条例》</w:t>
            </w:r>
            <w:r>
              <w:rPr>
                <w:rFonts w:hint="eastAsia" w:ascii="仿宋" w:hAnsi="仿宋" w:cs="宋体"/>
                <w:sz w:val="21"/>
                <w:szCs w:val="21"/>
              </w:rPr>
              <w:t xml:space="preserve">第五十九条第二款  </w:t>
            </w:r>
            <w:r>
              <w:rPr>
                <w:rFonts w:ascii="仿宋" w:hAnsi="仿宋" w:cs="宋体"/>
                <w:sz w:val="21"/>
                <w:szCs w:val="21"/>
              </w:rPr>
              <w:t>违反本条例第四十二条</w:t>
            </w:r>
            <w:r>
              <w:rPr>
                <w:rFonts w:hint="eastAsia" w:ascii="仿宋" w:hAnsi="仿宋" w:cs="宋体"/>
                <w:sz w:val="21"/>
                <w:szCs w:val="21"/>
              </w:rPr>
              <w:t>第一款第二项、第三项</w:t>
            </w:r>
            <w:r>
              <w:rPr>
                <w:rFonts w:ascii="仿宋" w:hAnsi="仿宋" w:cs="宋体"/>
                <w:sz w:val="21"/>
                <w:szCs w:val="21"/>
              </w:rPr>
              <w:t>规定，未经风景名胜区管理机构审核，擅自挖掘、占用道路、河道或者举办商业展销活动的，由风景名胜区管理机构责令停止，限期改正；逾期不改正的，处以五千元以上三万元以下罚款。</w:t>
            </w:r>
          </w:p>
        </w:tc>
        <w:tc>
          <w:tcPr>
            <w:tcW w:w="1140" w:type="dxa"/>
            <w:noWrap w:val="0"/>
            <w:vAlign w:val="center"/>
          </w:tcPr>
          <w:p w14:paraId="7AB92F96">
            <w:pPr>
              <w:rPr>
                <w:rFonts w:ascii="仿宋" w:hAnsi="仿宋"/>
                <w:sz w:val="21"/>
                <w:szCs w:val="21"/>
              </w:rPr>
            </w:pPr>
            <w:r>
              <w:rPr>
                <w:rFonts w:ascii="仿宋" w:hAnsi="仿宋"/>
                <w:sz w:val="21"/>
                <w:szCs w:val="21"/>
              </w:rPr>
              <w:t>行政处罚</w:t>
            </w:r>
          </w:p>
        </w:tc>
        <w:tc>
          <w:tcPr>
            <w:tcW w:w="1520" w:type="dxa"/>
            <w:noWrap w:val="0"/>
            <w:vAlign w:val="center"/>
          </w:tcPr>
          <w:p w14:paraId="129A0A55">
            <w:pPr>
              <w:rPr>
                <w:rFonts w:ascii="仿宋" w:hAnsi="仿宋"/>
                <w:sz w:val="21"/>
                <w:szCs w:val="21"/>
              </w:rPr>
            </w:pPr>
            <w:r>
              <w:rPr>
                <w:rFonts w:hint="eastAsia" w:ascii="仿宋" w:hAnsi="仿宋"/>
                <w:sz w:val="21"/>
                <w:szCs w:val="21"/>
              </w:rPr>
              <w:t>夫子庙风光带管委会</w:t>
            </w:r>
          </w:p>
        </w:tc>
      </w:tr>
      <w:tr w14:paraId="5B7C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14:paraId="62EEE72F">
            <w:pPr>
              <w:rPr>
                <w:rFonts w:hint="eastAsia" w:ascii="仿宋" w:hAnsi="仿宋" w:eastAsia="方正仿宋_GBK"/>
                <w:sz w:val="21"/>
                <w:szCs w:val="21"/>
                <w:lang w:eastAsia="zh-CN"/>
              </w:rPr>
            </w:pPr>
            <w:r>
              <w:rPr>
                <w:rFonts w:hint="eastAsia" w:ascii="仿宋" w:hAnsi="仿宋"/>
                <w:sz w:val="21"/>
                <w:szCs w:val="21"/>
                <w:lang w:val="en-US" w:eastAsia="zh-CN"/>
              </w:rPr>
              <w:t>3</w:t>
            </w:r>
          </w:p>
        </w:tc>
        <w:tc>
          <w:tcPr>
            <w:tcW w:w="2410" w:type="dxa"/>
            <w:noWrap w:val="0"/>
            <w:vAlign w:val="center"/>
          </w:tcPr>
          <w:p w14:paraId="79FD8F96">
            <w:pPr>
              <w:rPr>
                <w:rFonts w:ascii="仿宋" w:hAnsi="仿宋"/>
                <w:sz w:val="21"/>
                <w:szCs w:val="21"/>
              </w:rPr>
            </w:pPr>
            <w:r>
              <w:rPr>
                <w:rFonts w:hint="eastAsia" w:ascii="仿宋" w:hAnsi="仿宋"/>
                <w:sz w:val="21"/>
                <w:szCs w:val="21"/>
              </w:rPr>
              <w:t>对</w:t>
            </w:r>
            <w:r>
              <w:rPr>
                <w:rFonts w:ascii="仿宋" w:hAnsi="仿宋"/>
                <w:sz w:val="21"/>
                <w:szCs w:val="21"/>
              </w:rPr>
              <w:t>保护责任人未按照风景名胜区相关规划或者维护、修缮要求对历史建筑、规划控制建筑及其他风貌建筑进行维护、修缮的</w:t>
            </w:r>
            <w:r>
              <w:rPr>
                <w:rFonts w:hint="eastAsia" w:ascii="仿宋" w:hAnsi="仿宋"/>
                <w:sz w:val="21"/>
                <w:szCs w:val="21"/>
              </w:rPr>
              <w:t>处罚</w:t>
            </w:r>
          </w:p>
        </w:tc>
        <w:tc>
          <w:tcPr>
            <w:tcW w:w="3394" w:type="dxa"/>
            <w:noWrap w:val="0"/>
            <w:vAlign w:val="center"/>
          </w:tcPr>
          <w:p w14:paraId="3C1C432F">
            <w:pPr>
              <w:rPr>
                <w:rFonts w:hint="eastAsia" w:ascii="仿宋" w:hAnsi="仿宋"/>
                <w:sz w:val="21"/>
                <w:szCs w:val="21"/>
              </w:rPr>
            </w:pPr>
            <w:r>
              <w:rPr>
                <w:rFonts w:ascii="仿宋" w:hAnsi="仿宋" w:cs="宋体"/>
                <w:sz w:val="21"/>
                <w:szCs w:val="21"/>
              </w:rPr>
              <w:t>《</w:t>
            </w:r>
            <w:r>
              <w:rPr>
                <w:rFonts w:hint="eastAsia" w:ascii="仿宋" w:hAnsi="仿宋" w:cs="宋体"/>
                <w:sz w:val="21"/>
                <w:szCs w:val="21"/>
              </w:rPr>
              <w:t>南京市夫子庙秦淮风光带风景名胜区</w:t>
            </w:r>
            <w:r>
              <w:rPr>
                <w:rFonts w:ascii="仿宋" w:hAnsi="仿宋" w:cs="宋体"/>
                <w:sz w:val="21"/>
                <w:szCs w:val="21"/>
              </w:rPr>
              <w:t>条例》</w:t>
            </w:r>
            <w:r>
              <w:rPr>
                <w:rFonts w:hint="eastAsia" w:ascii="仿宋" w:hAnsi="仿宋" w:cs="宋体"/>
                <w:sz w:val="21"/>
                <w:szCs w:val="21"/>
              </w:rPr>
              <w:t xml:space="preserve">第五十七条  </w:t>
            </w:r>
            <w:r>
              <w:rPr>
                <w:rFonts w:ascii="仿宋" w:hAnsi="仿宋" w:cs="宋体"/>
                <w:sz w:val="21"/>
                <w:szCs w:val="21"/>
              </w:rPr>
              <w:t>违反本条例第二十二条</w:t>
            </w:r>
            <w:r>
              <w:rPr>
                <w:rFonts w:hint="eastAsia" w:ascii="仿宋" w:hAnsi="仿宋" w:cs="宋体"/>
                <w:sz w:val="21"/>
                <w:szCs w:val="21"/>
              </w:rPr>
              <w:t>第二款</w:t>
            </w:r>
            <w:r>
              <w:rPr>
                <w:rFonts w:ascii="仿宋" w:hAnsi="仿宋" w:cs="宋体"/>
                <w:sz w:val="21"/>
                <w:szCs w:val="21"/>
              </w:rPr>
              <w:t>规定，保护责任人未按照风景名胜区相关规划或者维护、修缮要求对历史建筑、规划控制建筑及其他风貌建筑进行维护、修缮的，由风景名胜区管理机构责令限期改正；逾期不改正的，处以五千元以上五万元以下罚款。</w:t>
            </w:r>
          </w:p>
        </w:tc>
        <w:tc>
          <w:tcPr>
            <w:tcW w:w="1140" w:type="dxa"/>
            <w:noWrap w:val="0"/>
            <w:vAlign w:val="center"/>
          </w:tcPr>
          <w:p w14:paraId="3A1E4E7A">
            <w:pPr>
              <w:rPr>
                <w:rFonts w:ascii="仿宋" w:hAnsi="仿宋"/>
                <w:sz w:val="21"/>
                <w:szCs w:val="21"/>
              </w:rPr>
            </w:pPr>
            <w:r>
              <w:rPr>
                <w:rFonts w:hint="eastAsia" w:ascii="仿宋" w:hAnsi="仿宋"/>
                <w:sz w:val="21"/>
                <w:szCs w:val="21"/>
              </w:rPr>
              <w:t>行政处罚</w:t>
            </w:r>
          </w:p>
        </w:tc>
        <w:tc>
          <w:tcPr>
            <w:tcW w:w="1520" w:type="dxa"/>
            <w:noWrap w:val="0"/>
            <w:vAlign w:val="center"/>
          </w:tcPr>
          <w:p w14:paraId="5BF19B85">
            <w:pPr>
              <w:rPr>
                <w:rFonts w:ascii="仿宋" w:hAnsi="仿宋"/>
                <w:sz w:val="21"/>
                <w:szCs w:val="21"/>
              </w:rPr>
            </w:pPr>
            <w:r>
              <w:rPr>
                <w:rFonts w:hint="eastAsia" w:ascii="仿宋" w:hAnsi="仿宋"/>
                <w:sz w:val="21"/>
                <w:szCs w:val="21"/>
              </w:rPr>
              <w:t>夫子庙风光带管委会</w:t>
            </w:r>
          </w:p>
        </w:tc>
      </w:tr>
      <w:tr w14:paraId="3D75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14:paraId="4AF61D27">
            <w:pPr>
              <w:rPr>
                <w:rFonts w:hint="eastAsia" w:ascii="仿宋" w:hAnsi="仿宋" w:eastAsia="方正仿宋_GBK"/>
                <w:sz w:val="21"/>
                <w:szCs w:val="21"/>
                <w:lang w:eastAsia="zh-CN"/>
              </w:rPr>
            </w:pPr>
            <w:r>
              <w:rPr>
                <w:rFonts w:hint="eastAsia" w:ascii="仿宋" w:hAnsi="仿宋"/>
                <w:sz w:val="21"/>
                <w:szCs w:val="21"/>
                <w:lang w:val="en-US" w:eastAsia="zh-CN"/>
              </w:rPr>
              <w:t>4</w:t>
            </w:r>
          </w:p>
        </w:tc>
        <w:tc>
          <w:tcPr>
            <w:tcW w:w="2410" w:type="dxa"/>
            <w:noWrap w:val="0"/>
            <w:vAlign w:val="center"/>
          </w:tcPr>
          <w:p w14:paraId="7EDDFDC8">
            <w:pPr>
              <w:rPr>
                <w:rFonts w:ascii="仿宋" w:hAnsi="仿宋"/>
                <w:sz w:val="21"/>
                <w:szCs w:val="21"/>
              </w:rPr>
            </w:pPr>
            <w:r>
              <w:rPr>
                <w:rFonts w:hint="eastAsia" w:ascii="仿宋" w:hAnsi="仿宋"/>
                <w:sz w:val="21"/>
                <w:szCs w:val="21"/>
              </w:rPr>
              <w:t>对</w:t>
            </w:r>
            <w:r>
              <w:rPr>
                <w:rFonts w:ascii="仿宋" w:hAnsi="仿宋"/>
                <w:sz w:val="21"/>
                <w:szCs w:val="21"/>
              </w:rPr>
              <w:t>风景名胜区内的夜景灯光照明、店招标牌设置和店面装饰，不符合风景名胜区容貌标准的</w:t>
            </w:r>
            <w:r>
              <w:rPr>
                <w:rFonts w:hint="eastAsia" w:ascii="仿宋" w:hAnsi="仿宋"/>
                <w:sz w:val="21"/>
                <w:szCs w:val="21"/>
              </w:rPr>
              <w:t>处罚</w:t>
            </w:r>
          </w:p>
        </w:tc>
        <w:tc>
          <w:tcPr>
            <w:tcW w:w="3394" w:type="dxa"/>
            <w:noWrap w:val="0"/>
            <w:vAlign w:val="center"/>
          </w:tcPr>
          <w:p w14:paraId="4FD0A07F">
            <w:pPr>
              <w:rPr>
                <w:rFonts w:hint="eastAsia" w:ascii="仿宋" w:hAnsi="仿宋"/>
                <w:sz w:val="21"/>
                <w:szCs w:val="21"/>
              </w:rPr>
            </w:pPr>
            <w:r>
              <w:rPr>
                <w:rFonts w:ascii="仿宋" w:hAnsi="仿宋" w:cs="宋体"/>
                <w:sz w:val="21"/>
                <w:szCs w:val="21"/>
              </w:rPr>
              <w:t>《</w:t>
            </w:r>
            <w:r>
              <w:rPr>
                <w:rFonts w:hint="eastAsia" w:ascii="仿宋" w:hAnsi="仿宋" w:cs="宋体"/>
                <w:sz w:val="21"/>
                <w:szCs w:val="21"/>
              </w:rPr>
              <w:t>南京市夫子庙秦淮风光带风景名胜区</w:t>
            </w:r>
            <w:r>
              <w:rPr>
                <w:rFonts w:ascii="仿宋" w:hAnsi="仿宋" w:cs="宋体"/>
                <w:sz w:val="21"/>
                <w:szCs w:val="21"/>
              </w:rPr>
              <w:t>条例》第六十条</w:t>
            </w:r>
            <w:r>
              <w:rPr>
                <w:rFonts w:hint="eastAsia" w:ascii="仿宋" w:hAnsi="仿宋" w:cs="宋体"/>
                <w:sz w:val="21"/>
                <w:szCs w:val="21"/>
              </w:rPr>
              <w:t xml:space="preserve">  </w:t>
            </w:r>
            <w:r>
              <w:rPr>
                <w:rFonts w:ascii="仿宋" w:hAnsi="仿宋" w:cs="宋体"/>
                <w:sz w:val="21"/>
                <w:szCs w:val="21"/>
              </w:rPr>
              <w:t>违反本条例第四十八条</w:t>
            </w:r>
            <w:r>
              <w:rPr>
                <w:rFonts w:hint="eastAsia" w:ascii="仿宋" w:hAnsi="仿宋" w:cs="宋体"/>
                <w:sz w:val="21"/>
                <w:szCs w:val="21"/>
              </w:rPr>
              <w:t>第一款</w:t>
            </w:r>
            <w:r>
              <w:rPr>
                <w:rFonts w:ascii="仿宋" w:hAnsi="仿宋" w:cs="宋体"/>
                <w:sz w:val="21"/>
                <w:szCs w:val="21"/>
              </w:rPr>
              <w:t>规定，风景名胜区内的夜景灯光照明、店招标牌设置和店面装饰，不符合风景名胜区容貌标准的，由风景名胜区管理机构责令限期改正；逾期不改正的，处以一千元以上一万元以下罚款。</w:t>
            </w:r>
          </w:p>
        </w:tc>
        <w:tc>
          <w:tcPr>
            <w:tcW w:w="1140" w:type="dxa"/>
            <w:noWrap w:val="0"/>
            <w:vAlign w:val="center"/>
          </w:tcPr>
          <w:p w14:paraId="4BDEA60A">
            <w:pPr>
              <w:rPr>
                <w:rFonts w:ascii="仿宋" w:hAnsi="仿宋"/>
                <w:sz w:val="21"/>
                <w:szCs w:val="21"/>
              </w:rPr>
            </w:pPr>
            <w:r>
              <w:rPr>
                <w:rFonts w:hint="eastAsia" w:ascii="仿宋" w:hAnsi="仿宋"/>
                <w:sz w:val="21"/>
                <w:szCs w:val="21"/>
              </w:rPr>
              <w:t>行政处罚</w:t>
            </w:r>
          </w:p>
        </w:tc>
        <w:tc>
          <w:tcPr>
            <w:tcW w:w="1520" w:type="dxa"/>
            <w:noWrap w:val="0"/>
            <w:vAlign w:val="center"/>
          </w:tcPr>
          <w:p w14:paraId="196BE778">
            <w:pPr>
              <w:rPr>
                <w:rFonts w:ascii="仿宋" w:hAnsi="仿宋"/>
                <w:b/>
                <w:sz w:val="21"/>
                <w:szCs w:val="21"/>
              </w:rPr>
            </w:pPr>
            <w:r>
              <w:rPr>
                <w:rFonts w:hint="eastAsia" w:ascii="仿宋" w:hAnsi="仿宋"/>
                <w:sz w:val="21"/>
                <w:szCs w:val="21"/>
              </w:rPr>
              <w:t>夫子庙风光带管委会</w:t>
            </w:r>
          </w:p>
        </w:tc>
      </w:tr>
      <w:tr w14:paraId="3FA1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14:paraId="2205EF40">
            <w:pPr>
              <w:rPr>
                <w:rFonts w:hint="eastAsia" w:ascii="仿宋" w:hAnsi="仿宋" w:eastAsia="方正仿宋_GBK"/>
                <w:sz w:val="21"/>
                <w:szCs w:val="21"/>
                <w:lang w:eastAsia="zh-CN"/>
              </w:rPr>
            </w:pPr>
            <w:r>
              <w:rPr>
                <w:rFonts w:hint="eastAsia" w:ascii="仿宋" w:hAnsi="仿宋"/>
                <w:sz w:val="21"/>
                <w:szCs w:val="21"/>
                <w:lang w:val="en-US" w:eastAsia="zh-CN"/>
              </w:rPr>
              <w:t>5</w:t>
            </w:r>
          </w:p>
        </w:tc>
        <w:tc>
          <w:tcPr>
            <w:tcW w:w="2410" w:type="dxa"/>
            <w:noWrap w:val="0"/>
            <w:vAlign w:val="center"/>
          </w:tcPr>
          <w:p w14:paraId="70A51700">
            <w:pPr>
              <w:rPr>
                <w:rFonts w:hint="eastAsia" w:ascii="仿宋" w:hAnsi="仿宋"/>
                <w:sz w:val="21"/>
                <w:szCs w:val="21"/>
              </w:rPr>
            </w:pPr>
            <w:r>
              <w:rPr>
                <w:rFonts w:hint="eastAsia" w:ascii="仿宋" w:hAnsi="仿宋"/>
                <w:sz w:val="21"/>
                <w:szCs w:val="21"/>
              </w:rPr>
              <w:t>对未经风景名胜区管理机构审核在风景名胜区内设置商业广告的处罚</w:t>
            </w:r>
          </w:p>
        </w:tc>
        <w:tc>
          <w:tcPr>
            <w:tcW w:w="3394" w:type="dxa"/>
            <w:noWrap w:val="0"/>
            <w:vAlign w:val="center"/>
          </w:tcPr>
          <w:p w14:paraId="1F6C0582">
            <w:pPr>
              <w:rPr>
                <w:rFonts w:hint="eastAsia" w:ascii="仿宋" w:hAnsi="仿宋"/>
                <w:sz w:val="21"/>
                <w:szCs w:val="21"/>
              </w:rPr>
            </w:pPr>
            <w:r>
              <w:rPr>
                <w:rFonts w:hint="eastAsia" w:ascii="仿宋" w:hAnsi="仿宋"/>
                <w:sz w:val="21"/>
                <w:szCs w:val="21"/>
              </w:rPr>
              <w:t>国务院《风景名胜区条例》第四十五条  违反本条例的规定，未经风景名胜区管理机构审核，在风景名胜区内进行下列活动的，由风景名胜区管理机关责令停止违法行为、限期恢复原状或者采取其他补救措施，没收违法所得，并处5万元以上10万元以下的罚款；情节严重的，并处10万元以上20万元以下的罚款：（一）设置张贴商业广告的。</w:t>
            </w:r>
          </w:p>
        </w:tc>
        <w:tc>
          <w:tcPr>
            <w:tcW w:w="1140" w:type="dxa"/>
            <w:noWrap w:val="0"/>
            <w:vAlign w:val="center"/>
          </w:tcPr>
          <w:p w14:paraId="33E5F983">
            <w:pPr>
              <w:rPr>
                <w:rFonts w:ascii="仿宋" w:hAnsi="仿宋"/>
                <w:sz w:val="21"/>
                <w:szCs w:val="21"/>
              </w:rPr>
            </w:pPr>
            <w:r>
              <w:rPr>
                <w:rFonts w:hint="eastAsia" w:ascii="仿宋" w:hAnsi="仿宋"/>
                <w:sz w:val="21"/>
                <w:szCs w:val="21"/>
              </w:rPr>
              <w:t>行政处罚</w:t>
            </w:r>
          </w:p>
        </w:tc>
        <w:tc>
          <w:tcPr>
            <w:tcW w:w="1520" w:type="dxa"/>
            <w:noWrap w:val="0"/>
            <w:vAlign w:val="center"/>
          </w:tcPr>
          <w:p w14:paraId="64FE4F9D">
            <w:pPr>
              <w:rPr>
                <w:rFonts w:ascii="仿宋" w:hAnsi="仿宋"/>
                <w:sz w:val="21"/>
                <w:szCs w:val="21"/>
              </w:rPr>
            </w:pPr>
            <w:r>
              <w:rPr>
                <w:rFonts w:hint="eastAsia" w:ascii="仿宋" w:hAnsi="仿宋"/>
                <w:sz w:val="21"/>
                <w:szCs w:val="21"/>
              </w:rPr>
              <w:t>夫子庙风光带管委会</w:t>
            </w:r>
          </w:p>
        </w:tc>
      </w:tr>
      <w:tr w14:paraId="2369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75" w:type="dxa"/>
            <w:noWrap w:val="0"/>
            <w:vAlign w:val="center"/>
          </w:tcPr>
          <w:p w14:paraId="523405B0">
            <w:pPr>
              <w:rPr>
                <w:rFonts w:hint="eastAsia" w:ascii="仿宋" w:hAnsi="仿宋" w:eastAsia="方正仿宋_GBK"/>
                <w:sz w:val="21"/>
                <w:szCs w:val="21"/>
                <w:lang w:eastAsia="zh-CN"/>
              </w:rPr>
            </w:pPr>
            <w:r>
              <w:rPr>
                <w:rFonts w:hint="eastAsia" w:ascii="仿宋" w:hAnsi="仿宋"/>
                <w:sz w:val="21"/>
                <w:szCs w:val="21"/>
                <w:lang w:val="en-US" w:eastAsia="zh-CN"/>
              </w:rPr>
              <w:t>6</w:t>
            </w:r>
            <w:bookmarkStart w:id="0" w:name="_GoBack"/>
            <w:bookmarkEnd w:id="0"/>
          </w:p>
        </w:tc>
        <w:tc>
          <w:tcPr>
            <w:tcW w:w="2410" w:type="dxa"/>
            <w:noWrap w:val="0"/>
            <w:vAlign w:val="center"/>
          </w:tcPr>
          <w:p w14:paraId="78ECBEDC">
            <w:pPr>
              <w:rPr>
                <w:rFonts w:hint="eastAsia" w:ascii="仿宋" w:hAnsi="仿宋"/>
                <w:sz w:val="21"/>
                <w:szCs w:val="21"/>
              </w:rPr>
            </w:pPr>
            <w:r>
              <w:rPr>
                <w:rFonts w:hint="eastAsia" w:ascii="仿宋" w:hAnsi="仿宋"/>
                <w:sz w:val="21"/>
                <w:szCs w:val="21"/>
              </w:rPr>
              <w:t>对施工单位在施工过程中对周围景物、水体、林草植被、野生动物资源和地形地貌造成破坏的处罚</w:t>
            </w:r>
          </w:p>
        </w:tc>
        <w:tc>
          <w:tcPr>
            <w:tcW w:w="3394" w:type="dxa"/>
            <w:noWrap w:val="0"/>
            <w:vAlign w:val="center"/>
          </w:tcPr>
          <w:p w14:paraId="32121DDF">
            <w:pPr>
              <w:rPr>
                <w:rFonts w:hint="eastAsia" w:ascii="仿宋" w:hAnsi="仿宋"/>
                <w:sz w:val="21"/>
                <w:szCs w:val="21"/>
              </w:rPr>
            </w:pPr>
            <w:r>
              <w:rPr>
                <w:rFonts w:hint="eastAsia" w:ascii="仿宋" w:hAnsi="仿宋"/>
                <w:sz w:val="21"/>
                <w:szCs w:val="21"/>
              </w:rPr>
              <w:t>国务院《风景名胜区条例》第四十六条  违反本条例的规定，施工单位在施工过程中对周围景物、水体、林草植被、野生动物资源和地形地貌造成破坏的，由风景名胜区管理机关责令停止违法行为、限期恢复原状或者采取其他补救措施，并处2万元以上10万元以下的罚款；逾期未恢复原状或采取有效措施的，由风景名胜区管理机构责令停止施工。</w:t>
            </w:r>
          </w:p>
        </w:tc>
        <w:tc>
          <w:tcPr>
            <w:tcW w:w="1140" w:type="dxa"/>
            <w:noWrap w:val="0"/>
            <w:vAlign w:val="center"/>
          </w:tcPr>
          <w:p w14:paraId="252A2A54">
            <w:pPr>
              <w:rPr>
                <w:rFonts w:ascii="仿宋" w:hAnsi="仿宋"/>
                <w:sz w:val="21"/>
                <w:szCs w:val="21"/>
              </w:rPr>
            </w:pPr>
            <w:r>
              <w:rPr>
                <w:rFonts w:hint="eastAsia" w:ascii="仿宋" w:hAnsi="仿宋"/>
                <w:sz w:val="21"/>
                <w:szCs w:val="21"/>
              </w:rPr>
              <w:t>行政处罚</w:t>
            </w:r>
          </w:p>
        </w:tc>
        <w:tc>
          <w:tcPr>
            <w:tcW w:w="1520" w:type="dxa"/>
            <w:noWrap w:val="0"/>
            <w:vAlign w:val="center"/>
          </w:tcPr>
          <w:p w14:paraId="7B1942EF">
            <w:pPr>
              <w:rPr>
                <w:rFonts w:ascii="仿宋" w:hAnsi="仿宋"/>
                <w:sz w:val="21"/>
                <w:szCs w:val="21"/>
              </w:rPr>
            </w:pPr>
            <w:r>
              <w:rPr>
                <w:rFonts w:hint="eastAsia" w:ascii="仿宋" w:hAnsi="仿宋"/>
                <w:sz w:val="21"/>
                <w:szCs w:val="21"/>
              </w:rPr>
              <w:t>夫子庙风光带管委会</w:t>
            </w:r>
          </w:p>
        </w:tc>
      </w:tr>
    </w:tbl>
    <w:p w14:paraId="381E9D0F">
      <w:pPr>
        <w:widowControl/>
        <w:shd w:val="clear" w:color="auto" w:fill="FFFFFF"/>
        <w:spacing w:line="600" w:lineRule="exact"/>
        <w:outlineLvl w:val="0"/>
        <w:rPr>
          <w:sz w:val="24"/>
        </w:rPr>
      </w:pPr>
      <w:r>
        <w:rPr>
          <w:sz w:val="24"/>
        </w:rPr>
        <w:t>填写说明：各级行政执法机关根据省和本系统确定的法制审核范围，编制本机关行政许可、行政处罚、行政强制、行政征收征用四类执法行为的重大执法决定法制审核目录清单。</w:t>
      </w:r>
    </w:p>
    <w:p w14:paraId="2076E1FC">
      <w:pPr>
        <w:pStyle w:val="3"/>
        <w:ind w:firstLine="0" w:firstLineChars="0"/>
      </w:pPr>
    </w:p>
    <w:sectPr>
      <w:footerReference r:id="rId5" w:type="default"/>
      <w:footerReference r:id="rId6" w:type="even"/>
      <w:pgSz w:w="11907" w:h="16840"/>
      <w:pgMar w:top="1276" w:right="1418" w:bottom="1985" w:left="1474" w:header="1701" w:footer="1588" w:gutter="0"/>
      <w:cols w:space="720" w:num="1"/>
      <w:docGrid w:linePitch="455" w:charSpace="16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宋体-18030">
    <w:altName w:val="微软雅黑"/>
    <w:panose1 w:val="00000000000000000000"/>
    <w:charset w:val="86"/>
    <w:family w:val="modern"/>
    <w:pitch w:val="default"/>
    <w:sig w:usb0="00000000" w:usb1="880F3C78" w:usb2="000A005E"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65DC">
    <w:pPr>
      <w:framePr w:wrap="around" w:vAnchor="text" w:hAnchor="margin" w:xAlign="outside" w:y="171"/>
      <w:ind w:left="320" w:leftChars="100" w:right="320" w:rightChars="100"/>
      <w:rPr>
        <w:rStyle w:val="15"/>
        <w:rFonts w:eastAsia="方正仿宋_GBK"/>
      </w:rPr>
    </w:pPr>
    <w:r>
      <w:rPr>
        <w:rStyle w:val="15"/>
        <w:rFonts w:hint="eastAsia" w:eastAsia="方正仿宋_GBK"/>
      </w:rPr>
      <w:t xml:space="preserve">— </w:t>
    </w:r>
    <w:r>
      <w:fldChar w:fldCharType="begin"/>
    </w:r>
    <w:r>
      <w:rPr>
        <w:rStyle w:val="15"/>
        <w:rFonts w:eastAsia="方正仿宋_GBK"/>
      </w:rPr>
      <w:instrText xml:space="preserve"> PAGE </w:instrText>
    </w:r>
    <w:r>
      <w:fldChar w:fldCharType="separate"/>
    </w:r>
    <w:r>
      <w:rPr>
        <w:rStyle w:val="15"/>
        <w:rFonts w:eastAsia="方正仿宋_GBK"/>
        <w:lang/>
      </w:rPr>
      <w:t>2</w:t>
    </w:r>
    <w:r>
      <w:fldChar w:fldCharType="end"/>
    </w:r>
    <w:r>
      <w:rPr>
        <w:rStyle w:val="15"/>
        <w:rFonts w:hint="eastAsia" w:eastAsia="方正仿宋_GBK"/>
      </w:rPr>
      <w:t xml:space="preserve"> —</w:t>
    </w:r>
  </w:p>
  <w:p w14:paraId="49F656A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02E1">
    <w:pPr>
      <w:framePr w:wrap="around" w:vAnchor="text" w:hAnchor="margin" w:xAlign="center" w:y="1"/>
    </w:pPr>
    <w:r>
      <w:fldChar w:fldCharType="begin"/>
    </w:r>
    <w:r>
      <w:instrText xml:space="preserve">PAGE  </w:instrText>
    </w:r>
    <w:r>
      <w:fldChar w:fldCharType="end"/>
    </w:r>
  </w:p>
  <w:p w14:paraId="7507582D">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8" w:lineRule="auto"/>
      </w:pPr>
      <w:r>
        <w:separator/>
      </w:r>
    </w:p>
  </w:footnote>
  <w:footnote w:type="continuationSeparator" w:id="1">
    <w:p>
      <w:pPr>
        <w:spacing w:line="29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D077F"/>
    <w:multiLevelType w:val="singleLevel"/>
    <w:tmpl w:val="01AD077F"/>
    <w:lvl w:ilvl="0" w:tentative="0">
      <w:start w:val="1"/>
      <w:numFmt w:val="chineseCountingThousand"/>
      <w:pStyle w:val="4"/>
      <w:lvlText w:val="（%1）"/>
      <w:lvlJc w:val="left"/>
      <w:pPr>
        <w:tabs>
          <w:tab w:val="left" w:pos="810"/>
        </w:tabs>
        <w:ind w:left="0" w:firstLine="612"/>
      </w:pPr>
      <w:rPr>
        <w:rFonts w:ascii="Times New Roman" w:hAnsi="Times New Roman" w:cs="Times New Roman"/>
        <w:b w:val="0"/>
        <w:bCs w:val="0"/>
        <w:i w:val="0"/>
        <w:iCs w:val="0"/>
        <w:caps w:val="0"/>
        <w:smallCaps w:val="0"/>
        <w:strike w:val="0"/>
        <w:dstrike w:val="0"/>
        <w:outline w:val="0"/>
        <w:shadow w:val="0"/>
        <w:emboss w:val="0"/>
        <w:imprint w:val="0"/>
        <w:snapToGrid w:val="0"/>
        <w:vanish w:val="0"/>
        <w:spacing w:val="0"/>
        <w:position w:val="0"/>
        <w:u w:val="none"/>
        <w:vertAlign w:val="baseline"/>
      </w:rPr>
    </w:lvl>
  </w:abstractNum>
  <w:abstractNum w:abstractNumId="1">
    <w:nsid w:val="0EC54944"/>
    <w:multiLevelType w:val="singleLevel"/>
    <w:tmpl w:val="0EC54944"/>
    <w:lvl w:ilvl="0" w:tentative="0">
      <w:start w:val="1"/>
      <w:numFmt w:val="decimal"/>
      <w:pStyle w:val="6"/>
      <w:lvlText w:val="（%1）"/>
      <w:lvlJc w:val="left"/>
      <w:pPr>
        <w:tabs>
          <w:tab w:val="left" w:pos="800"/>
        </w:tabs>
        <w:ind w:left="0" w:firstLine="646"/>
      </w:pPr>
      <w:rPr>
        <w:rFonts w:hint="default" w:ascii="Times New Roman" w:hAnsi="Times New Roman" w:eastAsia="方正仿宋_GBK" w:cs="Times New Roman"/>
        <w:b w:val="0"/>
        <w:bCs w:val="0"/>
        <w:i w:val="0"/>
        <w:iCs w:val="0"/>
        <w:caps w:val="0"/>
        <w:smallCaps w:val="0"/>
        <w:strike w:val="0"/>
        <w:dstrike w:val="0"/>
        <w:outline w:val="0"/>
        <w:shadow w:val="0"/>
        <w:emboss w:val="0"/>
        <w:imprint w:val="0"/>
        <w:snapToGrid w:val="0"/>
        <w:vanish w:val="0"/>
        <w:color w:val="000000"/>
        <w:spacing w:val="0"/>
        <w:position w:val="0"/>
        <w:u w:val="none"/>
        <w:vertAlign w:val="baseline"/>
      </w:rPr>
    </w:lvl>
  </w:abstractNum>
  <w:abstractNum w:abstractNumId="2">
    <w:nsid w:val="5B93533C"/>
    <w:multiLevelType w:val="singleLevel"/>
    <w:tmpl w:val="5B93533C"/>
    <w:lvl w:ilvl="0" w:tentative="0">
      <w:start w:val="1"/>
      <w:numFmt w:val="chineseCountingThousand"/>
      <w:pStyle w:val="2"/>
      <w:lvlText w:val="%1、"/>
      <w:lvlJc w:val="left"/>
      <w:pPr>
        <w:tabs>
          <w:tab w:val="left" w:pos="1134"/>
        </w:tabs>
        <w:ind w:left="0" w:firstLine="612"/>
      </w:pPr>
      <w:rPr>
        <w:rFonts w:hint="default" w:ascii="Times New Roman" w:hAnsi="Times New Roman" w:eastAsia="黑体" w:cs="Times New Roman"/>
        <w:b w:val="0"/>
        <w:bCs w:val="0"/>
        <w:i w:val="0"/>
        <w:iCs w:val="0"/>
        <w:caps w:val="0"/>
        <w:smallCaps w:val="0"/>
        <w:strike w:val="0"/>
        <w:dstrike w:val="0"/>
        <w:outline w:val="0"/>
        <w:shadow w:val="0"/>
        <w:emboss w:val="0"/>
        <w:imprint w:val="0"/>
        <w:snapToGrid w:val="0"/>
        <w:vanish w:val="0"/>
        <w:color w:val="000000"/>
        <w:spacing w:val="0"/>
        <w:position w:val="0"/>
        <w:u w:val="none"/>
        <w:vertAlign w:val="baseline"/>
      </w:rPr>
    </w:lvl>
  </w:abstractNum>
  <w:abstractNum w:abstractNumId="3">
    <w:nsid w:val="68956DC5"/>
    <w:multiLevelType w:val="multilevel"/>
    <w:tmpl w:val="68956DC5"/>
    <w:lvl w:ilvl="0" w:tentative="0">
      <w:start w:val="1"/>
      <w:numFmt w:val="decimal"/>
      <w:pStyle w:val="5"/>
      <w:lvlText w:val="%1．"/>
      <w:lvlJc w:val="left"/>
      <w:pPr>
        <w:ind w:left="1066" w:hanging="420"/>
      </w:pPr>
      <w:rPr>
        <w:rFonts w:hint="default" w:ascii="Times New Roman" w:hAnsi="Times New Roman" w:eastAsia="方正仿宋_GBK"/>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420"/>
  <w:hyphenationZone w:val="360"/>
  <w:drawingGridHorizontalSpacing w:val="201"/>
  <w:drawingGridVerticalSpacing w:val="45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EF"/>
    <w:rsid w:val="00000EB8"/>
    <w:rsid w:val="000041CC"/>
    <w:rsid w:val="0000715D"/>
    <w:rsid w:val="00013D21"/>
    <w:rsid w:val="00050DFE"/>
    <w:rsid w:val="000552E0"/>
    <w:rsid w:val="00080D3F"/>
    <w:rsid w:val="00090AA0"/>
    <w:rsid w:val="000D762C"/>
    <w:rsid w:val="000D7915"/>
    <w:rsid w:val="00115499"/>
    <w:rsid w:val="00132EAD"/>
    <w:rsid w:val="00136D83"/>
    <w:rsid w:val="00153530"/>
    <w:rsid w:val="00162BBC"/>
    <w:rsid w:val="0018493A"/>
    <w:rsid w:val="00192F0E"/>
    <w:rsid w:val="00193F1B"/>
    <w:rsid w:val="001B124D"/>
    <w:rsid w:val="001C5CE7"/>
    <w:rsid w:val="001D1895"/>
    <w:rsid w:val="001D6E57"/>
    <w:rsid w:val="001F796A"/>
    <w:rsid w:val="0020270E"/>
    <w:rsid w:val="0021323F"/>
    <w:rsid w:val="00242299"/>
    <w:rsid w:val="00244957"/>
    <w:rsid w:val="00246B4C"/>
    <w:rsid w:val="002A5A76"/>
    <w:rsid w:val="002D07BD"/>
    <w:rsid w:val="003103CA"/>
    <w:rsid w:val="00314E14"/>
    <w:rsid w:val="00324EE6"/>
    <w:rsid w:val="00357B49"/>
    <w:rsid w:val="00365A3B"/>
    <w:rsid w:val="00395766"/>
    <w:rsid w:val="003B5AF4"/>
    <w:rsid w:val="003C6CCC"/>
    <w:rsid w:val="003D68FD"/>
    <w:rsid w:val="003D6F4D"/>
    <w:rsid w:val="003D7BE3"/>
    <w:rsid w:val="003E0680"/>
    <w:rsid w:val="003E3956"/>
    <w:rsid w:val="003F3EA4"/>
    <w:rsid w:val="003F4B6D"/>
    <w:rsid w:val="003F5B22"/>
    <w:rsid w:val="004072B7"/>
    <w:rsid w:val="00441C57"/>
    <w:rsid w:val="00441FEF"/>
    <w:rsid w:val="0045735F"/>
    <w:rsid w:val="004810F7"/>
    <w:rsid w:val="00482958"/>
    <w:rsid w:val="00484EEE"/>
    <w:rsid w:val="004B387F"/>
    <w:rsid w:val="004D1AE0"/>
    <w:rsid w:val="004E231C"/>
    <w:rsid w:val="00511CEF"/>
    <w:rsid w:val="005149EF"/>
    <w:rsid w:val="00526275"/>
    <w:rsid w:val="005B076E"/>
    <w:rsid w:val="005C454F"/>
    <w:rsid w:val="005D3607"/>
    <w:rsid w:val="005D49A6"/>
    <w:rsid w:val="005E011F"/>
    <w:rsid w:val="005E6179"/>
    <w:rsid w:val="005F7AC4"/>
    <w:rsid w:val="00605F5C"/>
    <w:rsid w:val="006202BE"/>
    <w:rsid w:val="00620A73"/>
    <w:rsid w:val="00632525"/>
    <w:rsid w:val="006360A0"/>
    <w:rsid w:val="00666C1A"/>
    <w:rsid w:val="006B0CB2"/>
    <w:rsid w:val="006C2269"/>
    <w:rsid w:val="006D14F9"/>
    <w:rsid w:val="006E1095"/>
    <w:rsid w:val="006E1ADD"/>
    <w:rsid w:val="006E466E"/>
    <w:rsid w:val="006E4678"/>
    <w:rsid w:val="006F4CD4"/>
    <w:rsid w:val="0070683E"/>
    <w:rsid w:val="007135C7"/>
    <w:rsid w:val="00713D98"/>
    <w:rsid w:val="00721EB2"/>
    <w:rsid w:val="00747C70"/>
    <w:rsid w:val="00753B66"/>
    <w:rsid w:val="00753DD8"/>
    <w:rsid w:val="007650F8"/>
    <w:rsid w:val="00766F26"/>
    <w:rsid w:val="007721FF"/>
    <w:rsid w:val="00791803"/>
    <w:rsid w:val="0079273B"/>
    <w:rsid w:val="007954D5"/>
    <w:rsid w:val="007A64B6"/>
    <w:rsid w:val="007C2050"/>
    <w:rsid w:val="007C4EFA"/>
    <w:rsid w:val="007E6DB7"/>
    <w:rsid w:val="007F1DF4"/>
    <w:rsid w:val="007F53FE"/>
    <w:rsid w:val="00816113"/>
    <w:rsid w:val="008A1914"/>
    <w:rsid w:val="008C5C26"/>
    <w:rsid w:val="00905519"/>
    <w:rsid w:val="0091523E"/>
    <w:rsid w:val="00927161"/>
    <w:rsid w:val="00930664"/>
    <w:rsid w:val="00934099"/>
    <w:rsid w:val="009426A6"/>
    <w:rsid w:val="009636D6"/>
    <w:rsid w:val="00964038"/>
    <w:rsid w:val="0099116D"/>
    <w:rsid w:val="009B5BD7"/>
    <w:rsid w:val="009F5227"/>
    <w:rsid w:val="009F5B82"/>
    <w:rsid w:val="00A51E37"/>
    <w:rsid w:val="00A60489"/>
    <w:rsid w:val="00A960DB"/>
    <w:rsid w:val="00A96D43"/>
    <w:rsid w:val="00A9768B"/>
    <w:rsid w:val="00AC382C"/>
    <w:rsid w:val="00AC48EF"/>
    <w:rsid w:val="00AF0241"/>
    <w:rsid w:val="00B708C1"/>
    <w:rsid w:val="00BB3143"/>
    <w:rsid w:val="00BB41BC"/>
    <w:rsid w:val="00BB459D"/>
    <w:rsid w:val="00BC5AF4"/>
    <w:rsid w:val="00BD15FB"/>
    <w:rsid w:val="00C05D36"/>
    <w:rsid w:val="00C07274"/>
    <w:rsid w:val="00C10BEA"/>
    <w:rsid w:val="00C272C7"/>
    <w:rsid w:val="00C45185"/>
    <w:rsid w:val="00C87154"/>
    <w:rsid w:val="00CB61F4"/>
    <w:rsid w:val="00D05296"/>
    <w:rsid w:val="00D20040"/>
    <w:rsid w:val="00D30FC4"/>
    <w:rsid w:val="00D73B68"/>
    <w:rsid w:val="00DC0344"/>
    <w:rsid w:val="00E42727"/>
    <w:rsid w:val="00E73B7A"/>
    <w:rsid w:val="00EA0137"/>
    <w:rsid w:val="00EB0052"/>
    <w:rsid w:val="00EC2483"/>
    <w:rsid w:val="00ED7BD3"/>
    <w:rsid w:val="00EF123C"/>
    <w:rsid w:val="00EF467F"/>
    <w:rsid w:val="00F0121F"/>
    <w:rsid w:val="00F07FFB"/>
    <w:rsid w:val="00F25295"/>
    <w:rsid w:val="00F36E8F"/>
    <w:rsid w:val="00F40D5E"/>
    <w:rsid w:val="00F53CE9"/>
    <w:rsid w:val="00F54280"/>
    <w:rsid w:val="00F90C6B"/>
    <w:rsid w:val="00FB5D79"/>
    <w:rsid w:val="00FB7F71"/>
    <w:rsid w:val="00FE188E"/>
    <w:rsid w:val="00FE454F"/>
    <w:rsid w:val="141C5C8D"/>
    <w:rsid w:val="4C1D4B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98" w:lineRule="auto"/>
      <w:jc w:val="both"/>
      <w:textAlignment w:val="baseline"/>
    </w:pPr>
    <w:rPr>
      <w:rFonts w:eastAsia="方正仿宋_GBK"/>
      <w:snapToGrid w:val="0"/>
      <w:kern w:val="32"/>
      <w:sz w:val="32"/>
      <w:lang w:val="en-US" w:eastAsia="zh-CN" w:bidi="ar-SA"/>
    </w:rPr>
  </w:style>
  <w:style w:type="paragraph" w:styleId="2">
    <w:name w:val="heading 1"/>
    <w:basedOn w:val="1"/>
    <w:next w:val="3"/>
    <w:link w:val="18"/>
    <w:qFormat/>
    <w:uiPriority w:val="0"/>
    <w:pPr>
      <w:numPr>
        <w:ilvl w:val="0"/>
        <w:numId w:val="1"/>
      </w:numPr>
      <w:tabs>
        <w:tab w:val="left" w:pos="1302"/>
        <w:tab w:val="clear" w:pos="1134"/>
      </w:tabs>
      <w:ind w:firstLine="200" w:firstLineChars="200"/>
      <w:textAlignment w:val="auto"/>
      <w:outlineLvl w:val="0"/>
    </w:pPr>
    <w:rPr>
      <w:rFonts w:eastAsia="方正黑体_GBK"/>
    </w:rPr>
  </w:style>
  <w:style w:type="paragraph" w:styleId="4">
    <w:name w:val="heading 2"/>
    <w:basedOn w:val="1"/>
    <w:next w:val="3"/>
    <w:link w:val="20"/>
    <w:qFormat/>
    <w:uiPriority w:val="0"/>
    <w:pPr>
      <w:numPr>
        <w:ilvl w:val="0"/>
        <w:numId w:val="2"/>
      </w:numPr>
      <w:tabs>
        <w:tab w:val="left" w:pos="1624"/>
        <w:tab w:val="clear" w:pos="810"/>
      </w:tabs>
      <w:ind w:firstLine="200" w:firstLineChars="200"/>
      <w:outlineLvl w:val="1"/>
    </w:pPr>
    <w:rPr>
      <w:rFonts w:ascii="宋体-18030" w:hAnsi="宋体-18030" w:eastAsia="方正楷体_GBK"/>
      <w:szCs w:val="32"/>
    </w:rPr>
  </w:style>
  <w:style w:type="paragraph" w:styleId="5">
    <w:name w:val="heading 3"/>
    <w:basedOn w:val="1"/>
    <w:next w:val="3"/>
    <w:qFormat/>
    <w:uiPriority w:val="0"/>
    <w:pPr>
      <w:numPr>
        <w:ilvl w:val="0"/>
        <w:numId w:val="3"/>
      </w:numPr>
      <w:tabs>
        <w:tab w:val="left" w:pos="1134"/>
      </w:tabs>
      <w:ind w:left="0" w:firstLine="200" w:firstLineChars="200"/>
      <w:outlineLvl w:val="2"/>
    </w:pPr>
  </w:style>
  <w:style w:type="paragraph" w:styleId="6">
    <w:name w:val="heading 4"/>
    <w:basedOn w:val="1"/>
    <w:next w:val="3"/>
    <w:qFormat/>
    <w:uiPriority w:val="0"/>
    <w:pPr>
      <w:numPr>
        <w:ilvl w:val="0"/>
        <w:numId w:val="4"/>
      </w:numPr>
      <w:tabs>
        <w:tab w:val="left" w:pos="1456"/>
        <w:tab w:val="clear" w:pos="800"/>
      </w:tabs>
      <w:ind w:firstLine="200" w:firstLineChars="200"/>
      <w:outlineLvl w:val="3"/>
    </w:pPr>
    <w:rPr>
      <w:szCs w:val="32"/>
    </w:rPr>
  </w:style>
  <w:style w:type="character" w:default="1" w:styleId="14">
    <w:name w:val="Default Paragraph Font"/>
    <w:unhideWhenUsed/>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3">
    <w:name w:val="Body Text"/>
    <w:basedOn w:val="1"/>
    <w:uiPriority w:val="0"/>
    <w:pPr>
      <w:ind w:firstLine="200" w:firstLineChars="200"/>
    </w:pPr>
  </w:style>
  <w:style w:type="paragraph" w:styleId="7">
    <w:name w:val="footer"/>
    <w:basedOn w:val="1"/>
    <w:link w:val="16"/>
    <w:uiPriority w:val="0"/>
    <w:pPr>
      <w:tabs>
        <w:tab w:val="center" w:pos="4153"/>
        <w:tab w:val="right" w:pos="8306"/>
      </w:tabs>
      <w:spacing w:line="240" w:lineRule="auto"/>
      <w:jc w:val="left"/>
    </w:pPr>
    <w:rPr>
      <w:sz w:val="18"/>
      <w:szCs w:val="18"/>
    </w:rPr>
  </w:style>
  <w:style w:type="paragraph" w:styleId="8">
    <w:name w:val="header"/>
    <w:basedOn w:val="1"/>
    <w:link w:val="19"/>
    <w:uiPriority w:val="0"/>
    <w:pPr>
      <w:tabs>
        <w:tab w:val="center" w:pos="4153"/>
        <w:tab w:val="right" w:pos="8306"/>
      </w:tabs>
      <w:spacing w:line="240" w:lineRule="auto"/>
      <w:jc w:val="center"/>
    </w:pPr>
    <w:rPr>
      <w:sz w:val="18"/>
      <w:szCs w:val="18"/>
    </w:rPr>
  </w:style>
  <w:style w:type="paragraph" w:styleId="9">
    <w:name w:val="toc 1"/>
    <w:basedOn w:val="1"/>
    <w:next w:val="1"/>
    <w:semiHidden/>
    <w:uiPriority w:val="0"/>
  </w:style>
  <w:style w:type="paragraph" w:styleId="10">
    <w:name w:val="toc 2"/>
    <w:basedOn w:val="1"/>
    <w:next w:val="1"/>
    <w:semiHidden/>
    <w:uiPriority w:val="0"/>
    <w:pPr>
      <w:ind w:left="420" w:leftChars="200"/>
    </w:pPr>
  </w:style>
  <w:style w:type="paragraph" w:styleId="11">
    <w:name w:val="Title"/>
    <w:basedOn w:val="1"/>
    <w:next w:val="1"/>
    <w:link w:val="17"/>
    <w:qFormat/>
    <w:uiPriority w:val="0"/>
    <w:pPr>
      <w:jc w:val="center"/>
      <w:outlineLvl w:val="0"/>
    </w:pPr>
    <w:rPr>
      <w:rFonts w:eastAsia="方正小标宋_GBK"/>
      <w:sz w:val="44"/>
    </w:rPr>
  </w:style>
  <w:style w:type="table" w:styleId="13">
    <w:name w:val="Table Grid"/>
    <w:basedOn w:val="12"/>
    <w:uiPriority w:val="59"/>
    <w:rPr>
      <w:rFonts w:ascii="Calibri" w:hAnsi="Calibri" w:eastAsia="宋体" w:cs="Times New Roman"/>
      <w:kern w:val="2"/>
      <w:sz w:val="21"/>
      <w:szCs w:val="22"/>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rPr>
      <w:rFonts w:eastAsia="Times New Roman"/>
      <w:sz w:val="28"/>
      <w:szCs w:val="28"/>
    </w:rPr>
  </w:style>
  <w:style w:type="character" w:customStyle="1" w:styleId="16">
    <w:name w:val="页脚 Char"/>
    <w:link w:val="7"/>
    <w:uiPriority w:val="0"/>
    <w:rPr>
      <w:rFonts w:eastAsia="方正仿宋_GBK"/>
      <w:snapToGrid w:val="0"/>
      <w:kern w:val="32"/>
      <w:sz w:val="18"/>
      <w:szCs w:val="18"/>
    </w:rPr>
  </w:style>
  <w:style w:type="character" w:customStyle="1" w:styleId="17">
    <w:name w:val="标题 Char"/>
    <w:link w:val="11"/>
    <w:uiPriority w:val="0"/>
    <w:rPr>
      <w:rFonts w:eastAsia="方正小标宋_GBK"/>
      <w:snapToGrid w:val="0"/>
      <w:kern w:val="32"/>
      <w:sz w:val="44"/>
      <w:lang w:val="en-US" w:eastAsia="zh-CN" w:bidi="ar-SA"/>
    </w:rPr>
  </w:style>
  <w:style w:type="character" w:customStyle="1" w:styleId="18">
    <w:name w:val="标题 1 Char"/>
    <w:link w:val="2"/>
    <w:uiPriority w:val="0"/>
    <w:rPr>
      <w:rFonts w:eastAsia="方正黑体_GBK"/>
      <w:snapToGrid w:val="0"/>
      <w:kern w:val="32"/>
      <w:sz w:val="32"/>
    </w:rPr>
  </w:style>
  <w:style w:type="character" w:customStyle="1" w:styleId="19">
    <w:name w:val="页眉 Char"/>
    <w:link w:val="8"/>
    <w:uiPriority w:val="0"/>
    <w:rPr>
      <w:rFonts w:eastAsia="方正仿宋_GBK"/>
      <w:snapToGrid w:val="0"/>
      <w:kern w:val="32"/>
      <w:sz w:val="18"/>
      <w:szCs w:val="18"/>
    </w:rPr>
  </w:style>
  <w:style w:type="character" w:customStyle="1" w:styleId="20">
    <w:name w:val="标题 2 Char"/>
    <w:link w:val="4"/>
    <w:uiPriority w:val="0"/>
    <w:rPr>
      <w:rFonts w:ascii="宋体-18030" w:hAnsi="宋体-18030" w:eastAsia="方正楷体_GBK" w:cs="宋体-18030"/>
      <w:snapToGrid w:val="0"/>
      <w:kern w:val="32"/>
      <w:sz w:val="32"/>
      <w:szCs w:val="32"/>
    </w:rPr>
  </w:style>
  <w:style w:type="paragraph" w:customStyle="1" w:styleId="21">
    <w:name w:val="次标题"/>
    <w:basedOn w:val="11"/>
    <w:next w:val="1"/>
    <w:uiPriority w:val="0"/>
    <w:pPr>
      <w:spacing w:line="720" w:lineRule="auto"/>
    </w:pPr>
    <w:rPr>
      <w:rFonts w:eastAsia="楷体_GB2312"/>
      <w:sz w:val="32"/>
    </w:rPr>
  </w:style>
  <w:style w:type="paragraph" w:customStyle="1" w:styleId="22">
    <w:name w:val="落款"/>
    <w:basedOn w:val="1"/>
    <w:qFormat/>
    <w:uiPriority w:val="0"/>
    <w:pPr>
      <w:ind w:right="400" w:rightChars="400"/>
      <w:jc w:val="right"/>
    </w:p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1302</Words>
  <Characters>1306</Characters>
  <Lines>9</Lines>
  <Paragraphs>2</Paragraphs>
  <TotalTime>2</TotalTime>
  <ScaleCrop>false</ScaleCrop>
  <LinksUpToDate>false</LinksUpToDate>
  <CharactersWithSpaces>1318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2019-09-16T03:19:00Z</dcterms:created>
  <dc:creator>hp</dc:creator>
  <cp:lastModifiedBy>明天的明天</cp:lastModifiedBy>
  <cp:lastPrinted>2025-03-24T03:18:10Z</cp:lastPrinted>
  <dcterms:modified xsi:type="dcterms:W3CDTF">2025-03-24T08:22:12Z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315375997_cloud</vt:lpwstr>
  </property>
  <property fmtid="{D5CDD505-2E9C-101B-9397-08002B2CF9AE}" pid="3" name="KSOProductBuildVer">
    <vt:lpwstr>2052-12.1.0.20305</vt:lpwstr>
  </property>
  <property fmtid="{D5CDD505-2E9C-101B-9397-08002B2CF9AE}" pid="4" name="KSOTemplateDocerSaveRecord">
    <vt:lpwstr>eyJoZGlkIjoiNDNiNjA4YmY0NTEzMDViNjVkNjE3MTcxNmYwYmY2ZDciLCJ1c2VySWQiOiIzNzQxOTI0MDUifQ==</vt:lpwstr>
  </property>
  <property fmtid="{D5CDD505-2E9C-101B-9397-08002B2CF9AE}" pid="5" name="ICV">
    <vt:lpwstr>0DB168547096496DB25F5986DD79DDC6_13</vt:lpwstr>
  </property>
</Properties>
</file>