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527B7">
      <w:pPr>
        <w:widowControl/>
        <w:jc w:val="center"/>
        <w:rPr>
          <w:rFonts w:eastAsia="方正黑体_GBK"/>
          <w:szCs w:val="32"/>
        </w:rPr>
      </w:pPr>
      <w:r>
        <w:rPr>
          <w:rFonts w:hint="eastAsia" w:eastAsia="方正黑体_GBK"/>
          <w:szCs w:val="32"/>
        </w:rPr>
        <w:t>南京市秦淮区审计局</w:t>
      </w:r>
      <w:r>
        <w:rPr>
          <w:rFonts w:eastAsia="方正黑体_GBK"/>
          <w:szCs w:val="32"/>
        </w:rPr>
        <w:t>行政执法主体</w:t>
      </w:r>
      <w:r>
        <w:rPr>
          <w:rFonts w:hint="eastAsia" w:eastAsia="方正黑体_GBK"/>
          <w:szCs w:val="32"/>
        </w:rPr>
        <w:t>公示</w:t>
      </w:r>
    </w:p>
    <w:tbl>
      <w:tblPr>
        <w:tblStyle w:val="4"/>
        <w:tblW w:w="8946" w:type="dxa"/>
        <w:jc w:val="center"/>
        <w:tblLayout w:type="autofit"/>
        <w:tblCellMar>
          <w:top w:w="0" w:type="dxa"/>
          <w:left w:w="108" w:type="dxa"/>
          <w:bottom w:w="0" w:type="dxa"/>
          <w:right w:w="108" w:type="dxa"/>
        </w:tblCellMar>
      </w:tblPr>
      <w:tblGrid>
        <w:gridCol w:w="2280"/>
        <w:gridCol w:w="6666"/>
      </w:tblGrid>
      <w:tr w14:paraId="73C8D6DB">
        <w:tblPrEx>
          <w:tblCellMar>
            <w:top w:w="0" w:type="dxa"/>
            <w:left w:w="108" w:type="dxa"/>
            <w:bottom w:w="0" w:type="dxa"/>
            <w:right w:w="108" w:type="dxa"/>
          </w:tblCellMar>
        </w:tblPrEx>
        <w:trPr>
          <w:trHeight w:val="375" w:hRule="atLeast"/>
          <w:jc w:val="center"/>
        </w:trPr>
        <w:tc>
          <w:tcPr>
            <w:tcW w:w="22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ADE2C">
            <w:pPr>
              <w:jc w:val="center"/>
              <w:rPr>
                <w:sz w:val="28"/>
                <w:szCs w:val="28"/>
              </w:rPr>
            </w:pPr>
            <w:r>
              <w:rPr>
                <w:sz w:val="28"/>
                <w:szCs w:val="28"/>
              </w:rPr>
              <w:t>主 体 名 称</w:t>
            </w:r>
          </w:p>
        </w:tc>
        <w:tc>
          <w:tcPr>
            <w:tcW w:w="6666" w:type="dxa"/>
            <w:tcBorders>
              <w:top w:val="single" w:color="auto" w:sz="4" w:space="0"/>
              <w:left w:val="nil"/>
              <w:bottom w:val="single" w:color="auto" w:sz="4" w:space="0"/>
              <w:right w:val="single" w:color="auto" w:sz="4" w:space="0"/>
            </w:tcBorders>
            <w:shd w:val="clear" w:color="auto" w:fill="auto"/>
            <w:noWrap/>
            <w:vAlign w:val="bottom"/>
          </w:tcPr>
          <w:p w14:paraId="7C0C3F43">
            <w:pPr>
              <w:jc w:val="center"/>
              <w:rPr>
                <w:sz w:val="28"/>
                <w:szCs w:val="28"/>
              </w:rPr>
            </w:pPr>
            <w:r>
              <w:rPr>
                <w:sz w:val="28"/>
                <w:szCs w:val="28"/>
              </w:rPr>
              <w:t>南京市秦淮区审计局</w:t>
            </w:r>
          </w:p>
        </w:tc>
      </w:tr>
      <w:tr w14:paraId="1FDD13C9">
        <w:tblPrEx>
          <w:tblCellMar>
            <w:top w:w="0" w:type="dxa"/>
            <w:left w:w="108" w:type="dxa"/>
            <w:bottom w:w="0" w:type="dxa"/>
            <w:right w:w="108" w:type="dxa"/>
          </w:tblCellMar>
        </w:tblPrEx>
        <w:trPr>
          <w:trHeight w:val="375" w:hRule="atLeast"/>
          <w:jc w:val="center"/>
        </w:trPr>
        <w:tc>
          <w:tcPr>
            <w:tcW w:w="2280" w:type="dxa"/>
            <w:tcBorders>
              <w:top w:val="nil"/>
              <w:left w:val="single" w:color="auto" w:sz="4" w:space="0"/>
              <w:bottom w:val="single" w:color="auto" w:sz="4" w:space="0"/>
              <w:right w:val="single" w:color="auto" w:sz="4" w:space="0"/>
            </w:tcBorders>
            <w:shd w:val="clear" w:color="auto" w:fill="auto"/>
            <w:noWrap/>
            <w:vAlign w:val="center"/>
          </w:tcPr>
          <w:p w14:paraId="4F516ED8">
            <w:pPr>
              <w:jc w:val="center"/>
              <w:rPr>
                <w:sz w:val="28"/>
                <w:szCs w:val="28"/>
              </w:rPr>
            </w:pPr>
            <w:r>
              <w:rPr>
                <w:sz w:val="28"/>
                <w:szCs w:val="28"/>
              </w:rPr>
              <w:t>主 体 类 别</w:t>
            </w:r>
          </w:p>
        </w:tc>
        <w:tc>
          <w:tcPr>
            <w:tcW w:w="6666" w:type="dxa"/>
            <w:tcBorders>
              <w:top w:val="nil"/>
              <w:left w:val="nil"/>
              <w:bottom w:val="single" w:color="auto" w:sz="4" w:space="0"/>
              <w:right w:val="single" w:color="auto" w:sz="4" w:space="0"/>
            </w:tcBorders>
            <w:shd w:val="clear" w:color="auto" w:fill="auto"/>
            <w:noWrap/>
            <w:vAlign w:val="bottom"/>
          </w:tcPr>
          <w:p w14:paraId="2645B658">
            <w:pPr>
              <w:widowControl/>
              <w:spacing w:line="240" w:lineRule="auto"/>
              <w:jc w:val="center"/>
              <w:rPr>
                <w:rFonts w:ascii="Tahoma"/>
                <w:sz w:val="28"/>
                <w:szCs w:val="28"/>
              </w:rPr>
            </w:pPr>
            <w:r>
              <w:rPr>
                <w:rFonts w:hint="eastAsia" w:ascii="Tahoma"/>
                <w:sz w:val="28"/>
                <w:szCs w:val="28"/>
              </w:rPr>
              <w:t>法定行政机关</w:t>
            </w:r>
          </w:p>
          <w:p w14:paraId="4B630B80">
            <w:pPr>
              <w:spacing w:line="240" w:lineRule="auto"/>
              <w:jc w:val="center"/>
              <w:rPr>
                <w:sz w:val="28"/>
                <w:szCs w:val="28"/>
              </w:rPr>
            </w:pPr>
            <w:r>
              <w:rPr>
                <w:rFonts w:hint="eastAsia" w:ascii="Tahoma"/>
                <w:sz w:val="28"/>
                <w:szCs w:val="28"/>
              </w:rPr>
              <w:t>集中行使执法权的组织</w:t>
            </w:r>
          </w:p>
        </w:tc>
      </w:tr>
      <w:tr w14:paraId="73E0AF87">
        <w:tblPrEx>
          <w:tblCellMar>
            <w:top w:w="0" w:type="dxa"/>
            <w:left w:w="108" w:type="dxa"/>
            <w:bottom w:w="0" w:type="dxa"/>
            <w:right w:w="108" w:type="dxa"/>
          </w:tblCellMar>
        </w:tblPrEx>
        <w:trPr>
          <w:trHeight w:val="375" w:hRule="atLeast"/>
          <w:jc w:val="center"/>
        </w:trPr>
        <w:tc>
          <w:tcPr>
            <w:tcW w:w="2280" w:type="dxa"/>
            <w:tcBorders>
              <w:top w:val="nil"/>
              <w:left w:val="single" w:color="auto" w:sz="4" w:space="0"/>
              <w:bottom w:val="single" w:color="auto" w:sz="4" w:space="0"/>
              <w:right w:val="single" w:color="auto" w:sz="4" w:space="0"/>
            </w:tcBorders>
            <w:shd w:val="clear" w:color="auto" w:fill="auto"/>
            <w:noWrap/>
            <w:vAlign w:val="center"/>
          </w:tcPr>
          <w:p w14:paraId="679DE1D5">
            <w:pPr>
              <w:jc w:val="center"/>
              <w:rPr>
                <w:sz w:val="28"/>
                <w:szCs w:val="28"/>
              </w:rPr>
            </w:pPr>
            <w:r>
              <w:rPr>
                <w:sz w:val="28"/>
                <w:szCs w:val="28"/>
              </w:rPr>
              <w:t>委托执法情况</w:t>
            </w:r>
          </w:p>
        </w:tc>
        <w:tc>
          <w:tcPr>
            <w:tcW w:w="6666" w:type="dxa"/>
            <w:tcBorders>
              <w:top w:val="nil"/>
              <w:left w:val="nil"/>
              <w:bottom w:val="single" w:color="auto" w:sz="4" w:space="0"/>
              <w:right w:val="single" w:color="auto" w:sz="4" w:space="0"/>
            </w:tcBorders>
            <w:shd w:val="clear" w:color="auto" w:fill="auto"/>
            <w:noWrap/>
            <w:vAlign w:val="bottom"/>
          </w:tcPr>
          <w:p w14:paraId="53374F0D">
            <w:pPr>
              <w:jc w:val="center"/>
              <w:rPr>
                <w:sz w:val="28"/>
                <w:szCs w:val="28"/>
              </w:rPr>
            </w:pPr>
            <w:r>
              <w:rPr>
                <w:sz w:val="28"/>
                <w:szCs w:val="28"/>
              </w:rPr>
              <w:t>无</w:t>
            </w:r>
          </w:p>
        </w:tc>
      </w:tr>
      <w:tr w14:paraId="5FC93255">
        <w:tblPrEx>
          <w:tblCellMar>
            <w:top w:w="0" w:type="dxa"/>
            <w:left w:w="108" w:type="dxa"/>
            <w:bottom w:w="0" w:type="dxa"/>
            <w:right w:w="108" w:type="dxa"/>
          </w:tblCellMar>
        </w:tblPrEx>
        <w:trPr>
          <w:trHeight w:val="375" w:hRule="atLeast"/>
          <w:jc w:val="center"/>
        </w:trPr>
        <w:tc>
          <w:tcPr>
            <w:tcW w:w="2280" w:type="dxa"/>
            <w:tcBorders>
              <w:top w:val="nil"/>
              <w:left w:val="single" w:color="auto" w:sz="4" w:space="0"/>
              <w:bottom w:val="single" w:color="auto" w:sz="4" w:space="0"/>
              <w:right w:val="single" w:color="auto" w:sz="4" w:space="0"/>
            </w:tcBorders>
            <w:shd w:val="clear" w:color="auto" w:fill="auto"/>
            <w:noWrap/>
            <w:vAlign w:val="center"/>
          </w:tcPr>
          <w:p w14:paraId="7AD220CD">
            <w:pPr>
              <w:jc w:val="center"/>
              <w:rPr>
                <w:sz w:val="28"/>
                <w:szCs w:val="28"/>
              </w:rPr>
            </w:pPr>
            <w:r>
              <w:rPr>
                <w:sz w:val="28"/>
                <w:szCs w:val="28"/>
              </w:rPr>
              <w:t>联 系 方 式</w:t>
            </w:r>
          </w:p>
        </w:tc>
        <w:tc>
          <w:tcPr>
            <w:tcW w:w="6666" w:type="dxa"/>
            <w:tcBorders>
              <w:top w:val="nil"/>
              <w:left w:val="nil"/>
              <w:bottom w:val="single" w:color="auto" w:sz="4" w:space="0"/>
              <w:right w:val="single" w:color="auto" w:sz="4" w:space="0"/>
            </w:tcBorders>
            <w:shd w:val="clear" w:color="auto" w:fill="auto"/>
            <w:noWrap/>
            <w:vAlign w:val="bottom"/>
          </w:tcPr>
          <w:p w14:paraId="3930A759">
            <w:pPr>
              <w:jc w:val="center"/>
              <w:rPr>
                <w:sz w:val="28"/>
                <w:szCs w:val="28"/>
              </w:rPr>
            </w:pPr>
            <w:r>
              <w:rPr>
                <w:rFonts w:hint="eastAsia"/>
                <w:sz w:val="28"/>
                <w:szCs w:val="28"/>
              </w:rPr>
              <w:t>02584556266</w:t>
            </w:r>
          </w:p>
        </w:tc>
      </w:tr>
      <w:tr w14:paraId="386082A2">
        <w:tblPrEx>
          <w:tblCellMar>
            <w:top w:w="0" w:type="dxa"/>
            <w:left w:w="108" w:type="dxa"/>
            <w:bottom w:w="0" w:type="dxa"/>
            <w:right w:w="108" w:type="dxa"/>
          </w:tblCellMar>
        </w:tblPrEx>
        <w:trPr>
          <w:trHeight w:val="375" w:hRule="atLeast"/>
          <w:jc w:val="center"/>
        </w:trPr>
        <w:tc>
          <w:tcPr>
            <w:tcW w:w="2280" w:type="dxa"/>
            <w:tcBorders>
              <w:top w:val="nil"/>
              <w:left w:val="single" w:color="auto" w:sz="4" w:space="0"/>
              <w:bottom w:val="single" w:color="auto" w:sz="4" w:space="0"/>
              <w:right w:val="single" w:color="auto" w:sz="4" w:space="0"/>
            </w:tcBorders>
            <w:shd w:val="clear" w:color="auto" w:fill="auto"/>
            <w:noWrap/>
            <w:vAlign w:val="center"/>
          </w:tcPr>
          <w:p w14:paraId="6C57B073">
            <w:pPr>
              <w:jc w:val="center"/>
              <w:rPr>
                <w:sz w:val="28"/>
                <w:szCs w:val="28"/>
              </w:rPr>
            </w:pPr>
            <w:r>
              <w:rPr>
                <w:sz w:val="28"/>
                <w:szCs w:val="28"/>
              </w:rPr>
              <w:t>办 公 地 址</w:t>
            </w:r>
          </w:p>
        </w:tc>
        <w:tc>
          <w:tcPr>
            <w:tcW w:w="6666" w:type="dxa"/>
            <w:tcBorders>
              <w:top w:val="nil"/>
              <w:left w:val="nil"/>
              <w:bottom w:val="single" w:color="auto" w:sz="4" w:space="0"/>
              <w:right w:val="single" w:color="auto" w:sz="4" w:space="0"/>
            </w:tcBorders>
            <w:shd w:val="clear" w:color="auto" w:fill="auto"/>
            <w:noWrap/>
            <w:vAlign w:val="bottom"/>
          </w:tcPr>
          <w:p w14:paraId="07EE0D72">
            <w:pPr>
              <w:jc w:val="center"/>
              <w:rPr>
                <w:sz w:val="28"/>
                <w:szCs w:val="28"/>
              </w:rPr>
            </w:pPr>
            <w:r>
              <w:rPr>
                <w:sz w:val="28"/>
                <w:szCs w:val="28"/>
              </w:rPr>
              <w:t>南京市秦淮区太平南路</w:t>
            </w:r>
            <w:r>
              <w:rPr>
                <w:rFonts w:hint="eastAsia"/>
                <w:sz w:val="28"/>
                <w:szCs w:val="28"/>
              </w:rPr>
              <w:t>69号</w:t>
            </w:r>
          </w:p>
        </w:tc>
      </w:tr>
      <w:tr w14:paraId="6AFBCA56">
        <w:tblPrEx>
          <w:tblCellMar>
            <w:top w:w="0" w:type="dxa"/>
            <w:left w:w="108" w:type="dxa"/>
            <w:bottom w:w="0" w:type="dxa"/>
            <w:right w:w="108" w:type="dxa"/>
          </w:tblCellMar>
        </w:tblPrEx>
        <w:trPr>
          <w:trHeight w:val="375" w:hRule="atLeast"/>
          <w:jc w:val="center"/>
        </w:trPr>
        <w:tc>
          <w:tcPr>
            <w:tcW w:w="2280" w:type="dxa"/>
            <w:tcBorders>
              <w:top w:val="nil"/>
              <w:left w:val="single" w:color="auto" w:sz="4" w:space="0"/>
              <w:bottom w:val="single" w:color="auto" w:sz="4" w:space="0"/>
              <w:right w:val="single" w:color="auto" w:sz="4" w:space="0"/>
            </w:tcBorders>
            <w:shd w:val="clear" w:color="auto" w:fill="auto"/>
            <w:noWrap/>
            <w:vAlign w:val="center"/>
          </w:tcPr>
          <w:p w14:paraId="712A3428">
            <w:pPr>
              <w:jc w:val="center"/>
              <w:rPr>
                <w:sz w:val="28"/>
                <w:szCs w:val="28"/>
              </w:rPr>
            </w:pPr>
            <w:r>
              <w:rPr>
                <w:sz w:val="28"/>
                <w:szCs w:val="28"/>
              </w:rPr>
              <w:t>交 通 指 引</w:t>
            </w:r>
          </w:p>
        </w:tc>
        <w:tc>
          <w:tcPr>
            <w:tcW w:w="6666" w:type="dxa"/>
            <w:tcBorders>
              <w:top w:val="nil"/>
              <w:left w:val="nil"/>
              <w:bottom w:val="single" w:color="auto" w:sz="4" w:space="0"/>
              <w:right w:val="single" w:color="auto" w:sz="4" w:space="0"/>
            </w:tcBorders>
            <w:shd w:val="clear" w:color="auto" w:fill="auto"/>
            <w:vAlign w:val="bottom"/>
          </w:tcPr>
          <w:p w14:paraId="3946F80E">
            <w:pPr>
              <w:spacing w:line="240" w:lineRule="auto"/>
              <w:jc w:val="left"/>
              <w:rPr>
                <w:rFonts w:ascii="Tahoma"/>
                <w:sz w:val="28"/>
                <w:szCs w:val="28"/>
              </w:rPr>
            </w:pPr>
            <w:r>
              <w:rPr>
                <w:rFonts w:hint="eastAsia" w:ascii="Tahoma"/>
                <w:sz w:val="28"/>
                <w:szCs w:val="28"/>
              </w:rPr>
              <w:t>1、</w:t>
            </w:r>
            <w:r>
              <w:rPr>
                <w:rFonts w:ascii="Tahoma"/>
                <w:sz w:val="28"/>
                <w:szCs w:val="28"/>
              </w:rPr>
              <w:t>1路</w:t>
            </w:r>
            <w:r>
              <w:rPr>
                <w:rFonts w:hint="eastAsia" w:ascii="Tahoma"/>
                <w:sz w:val="28"/>
                <w:szCs w:val="28"/>
              </w:rPr>
              <w:t>，31路 大行宫西</w:t>
            </w:r>
          </w:p>
          <w:p w14:paraId="062E36F8">
            <w:pPr>
              <w:widowControl/>
              <w:spacing w:line="240" w:lineRule="auto"/>
              <w:jc w:val="left"/>
              <w:rPr>
                <w:rFonts w:ascii="Tahoma"/>
                <w:sz w:val="28"/>
                <w:szCs w:val="28"/>
              </w:rPr>
            </w:pPr>
            <w:r>
              <w:rPr>
                <w:rFonts w:hint="eastAsia" w:ascii="Tahoma"/>
                <w:sz w:val="28"/>
                <w:szCs w:val="28"/>
              </w:rPr>
              <w:t>2、25</w:t>
            </w:r>
            <w:r>
              <w:rPr>
                <w:rFonts w:ascii="Tahoma"/>
                <w:sz w:val="28"/>
                <w:szCs w:val="28"/>
              </w:rPr>
              <w:t>路</w:t>
            </w:r>
            <w:r>
              <w:rPr>
                <w:rFonts w:hint="eastAsia" w:ascii="Tahoma"/>
                <w:sz w:val="28"/>
                <w:szCs w:val="28"/>
              </w:rPr>
              <w:t xml:space="preserve"> 、34路大行宫东</w:t>
            </w:r>
          </w:p>
          <w:p w14:paraId="0083A78C">
            <w:pPr>
              <w:spacing w:line="240" w:lineRule="auto"/>
              <w:jc w:val="left"/>
              <w:rPr>
                <w:rFonts w:ascii="Tahoma"/>
                <w:sz w:val="28"/>
                <w:szCs w:val="28"/>
              </w:rPr>
            </w:pPr>
            <w:r>
              <w:rPr>
                <w:rFonts w:hint="eastAsia" w:ascii="Tahoma"/>
                <w:sz w:val="28"/>
                <w:szCs w:val="28"/>
              </w:rPr>
              <w:t>3、地铁</w:t>
            </w:r>
            <w:r>
              <w:rPr>
                <w:rFonts w:ascii="Tahoma"/>
                <w:sz w:val="28"/>
                <w:szCs w:val="28"/>
              </w:rPr>
              <w:t>三号线大行宫站</w:t>
            </w:r>
            <w:r>
              <w:rPr>
                <w:rFonts w:hint="eastAsia" w:ascii="Tahoma"/>
                <w:sz w:val="28"/>
                <w:szCs w:val="28"/>
              </w:rPr>
              <w:t>3号出口</w:t>
            </w:r>
          </w:p>
        </w:tc>
      </w:tr>
      <w:tr w14:paraId="24ABDCAA">
        <w:tblPrEx>
          <w:tblCellMar>
            <w:top w:w="0" w:type="dxa"/>
            <w:left w:w="108" w:type="dxa"/>
            <w:bottom w:w="0" w:type="dxa"/>
            <w:right w:w="108" w:type="dxa"/>
          </w:tblCellMar>
        </w:tblPrEx>
        <w:trPr>
          <w:trHeight w:val="375" w:hRule="atLeast"/>
          <w:jc w:val="center"/>
        </w:trPr>
        <w:tc>
          <w:tcPr>
            <w:tcW w:w="2280" w:type="dxa"/>
            <w:tcBorders>
              <w:top w:val="nil"/>
              <w:left w:val="single" w:color="auto" w:sz="4" w:space="0"/>
              <w:bottom w:val="single" w:color="auto" w:sz="4" w:space="0"/>
              <w:right w:val="single" w:color="auto" w:sz="4" w:space="0"/>
            </w:tcBorders>
            <w:shd w:val="clear" w:color="auto" w:fill="auto"/>
            <w:noWrap/>
            <w:vAlign w:val="center"/>
          </w:tcPr>
          <w:p w14:paraId="15C5E52C">
            <w:pPr>
              <w:jc w:val="center"/>
              <w:rPr>
                <w:sz w:val="28"/>
                <w:szCs w:val="28"/>
              </w:rPr>
            </w:pPr>
            <w:r>
              <w:rPr>
                <w:sz w:val="28"/>
                <w:szCs w:val="28"/>
              </w:rPr>
              <w:t>执 法 职 能</w:t>
            </w:r>
          </w:p>
        </w:tc>
        <w:tc>
          <w:tcPr>
            <w:tcW w:w="6666" w:type="dxa"/>
            <w:tcBorders>
              <w:top w:val="nil"/>
              <w:left w:val="nil"/>
              <w:bottom w:val="single" w:color="auto" w:sz="4" w:space="0"/>
              <w:right w:val="single" w:color="auto" w:sz="4" w:space="0"/>
            </w:tcBorders>
            <w:shd w:val="clear" w:color="auto" w:fill="auto"/>
            <w:noWrap/>
            <w:vAlign w:val="center"/>
          </w:tcPr>
          <w:p w14:paraId="1807F114">
            <w:pPr>
              <w:spacing w:line="240" w:lineRule="auto"/>
              <w:jc w:val="left"/>
              <w:rPr>
                <w:rFonts w:ascii="方正楷体_GBK" w:eastAsia="方正楷体_GBK"/>
                <w:b/>
                <w:sz w:val="28"/>
                <w:szCs w:val="28"/>
              </w:rPr>
            </w:pPr>
            <w:r>
              <w:rPr>
                <w:rFonts w:hint="eastAsia" w:ascii="方正楷体_GBK" w:eastAsia="方正楷体_GBK"/>
                <w:b/>
                <w:sz w:val="28"/>
                <w:szCs w:val="28"/>
              </w:rPr>
              <w:t>1、行政处罚：</w:t>
            </w:r>
          </w:p>
          <w:p w14:paraId="226A21FA">
            <w:pPr>
              <w:rPr>
                <w:rFonts w:hint="eastAsia" w:ascii="Tahoma"/>
                <w:sz w:val="28"/>
                <w:szCs w:val="28"/>
              </w:rPr>
            </w:pPr>
            <w:r>
              <w:rPr>
                <w:rFonts w:hint="eastAsia" w:ascii="Tahoma"/>
                <w:sz w:val="28"/>
                <w:szCs w:val="28"/>
              </w:rPr>
              <w:t>对被审计单位拒绝或者拖延提供与审计事项有关的资料的，或者提供的资料不真实、不完整的，或者拒绝、阻碍检查行为的处罚；</w:t>
            </w:r>
          </w:p>
          <w:p w14:paraId="2DFCC27E">
            <w:pPr>
              <w:rPr>
                <w:rFonts w:hint="eastAsia" w:ascii="Tahoma"/>
                <w:sz w:val="28"/>
                <w:szCs w:val="28"/>
              </w:rPr>
            </w:pPr>
            <w:r>
              <w:rPr>
                <w:rFonts w:hint="eastAsia" w:ascii="Tahoma"/>
                <w:sz w:val="28"/>
                <w:szCs w:val="28"/>
              </w:rPr>
              <w:t>对被审计单位违反国家规定的财务收支行为的处罚；</w:t>
            </w:r>
          </w:p>
          <w:p w14:paraId="42B58F37">
            <w:pPr>
              <w:rPr>
                <w:rFonts w:hint="eastAsia" w:ascii="Tahoma"/>
                <w:sz w:val="28"/>
                <w:szCs w:val="28"/>
              </w:rPr>
            </w:pPr>
            <w:r>
              <w:rPr>
                <w:rFonts w:hint="eastAsia" w:ascii="Tahoma"/>
                <w:sz w:val="28"/>
                <w:szCs w:val="28"/>
              </w:rPr>
              <w:t>对财政收入执收单位违反规定设立财政收入项目行为的处罚；</w:t>
            </w:r>
          </w:p>
          <w:p w14:paraId="0F23C5A6">
            <w:pPr>
              <w:rPr>
                <w:rFonts w:hint="eastAsia" w:ascii="Tahoma"/>
                <w:sz w:val="28"/>
                <w:szCs w:val="28"/>
              </w:rPr>
            </w:pPr>
            <w:r>
              <w:rPr>
                <w:rFonts w:hint="eastAsia" w:ascii="Tahoma"/>
                <w:sz w:val="28"/>
                <w:szCs w:val="28"/>
              </w:rPr>
              <w:t>对财政收入执收单位违反规定擅自改变财政收入项目的范围、标准、对象和期限行为的处罚；</w:t>
            </w:r>
          </w:p>
          <w:p w14:paraId="0847DA09">
            <w:pPr>
              <w:rPr>
                <w:rFonts w:hint="eastAsia" w:ascii="Tahoma"/>
                <w:sz w:val="28"/>
                <w:szCs w:val="28"/>
              </w:rPr>
            </w:pPr>
            <w:r>
              <w:rPr>
                <w:rFonts w:hint="eastAsia" w:ascii="Tahoma"/>
                <w:sz w:val="28"/>
                <w:szCs w:val="28"/>
              </w:rPr>
              <w:t>对财政收入执收单位对已明令取消、暂停执行或者降低标准的财政收入项目，仍然依照原定项目、标准征收或者变换名称征收行为的处罚；</w:t>
            </w:r>
          </w:p>
          <w:p w14:paraId="1F741353">
            <w:pPr>
              <w:rPr>
                <w:rFonts w:hint="eastAsia" w:ascii="Tahoma"/>
                <w:sz w:val="28"/>
                <w:szCs w:val="28"/>
              </w:rPr>
            </w:pPr>
            <w:r>
              <w:rPr>
                <w:rFonts w:hint="eastAsia" w:ascii="Tahoma"/>
                <w:sz w:val="28"/>
                <w:szCs w:val="28"/>
              </w:rPr>
              <w:t>对财政收入执收单位缓收、不收财政收入行为的处罚；</w:t>
            </w:r>
          </w:p>
          <w:p w14:paraId="2AB978A9">
            <w:pPr>
              <w:rPr>
                <w:rFonts w:hint="eastAsia" w:ascii="Tahoma"/>
                <w:sz w:val="28"/>
                <w:szCs w:val="28"/>
              </w:rPr>
            </w:pPr>
            <w:r>
              <w:rPr>
                <w:rFonts w:hint="eastAsia" w:ascii="Tahoma"/>
                <w:sz w:val="28"/>
                <w:szCs w:val="28"/>
              </w:rPr>
              <w:t>对财政收入执收单位擅自将预算收入转为预算外收入行为的处罚；</w:t>
            </w:r>
          </w:p>
          <w:p w14:paraId="56D50B10">
            <w:pPr>
              <w:rPr>
                <w:rFonts w:hint="eastAsia" w:ascii="Tahoma"/>
                <w:sz w:val="28"/>
                <w:szCs w:val="28"/>
              </w:rPr>
            </w:pPr>
            <w:r>
              <w:rPr>
                <w:rFonts w:hint="eastAsia" w:ascii="Tahoma"/>
                <w:sz w:val="28"/>
                <w:szCs w:val="28"/>
              </w:rPr>
              <w:t>对财政收入执收单位、企业和个人隐瞒应当上缴的财政收入行为的处罚；</w:t>
            </w:r>
          </w:p>
          <w:p w14:paraId="32C1A6F9">
            <w:pPr>
              <w:rPr>
                <w:rFonts w:hint="eastAsia" w:ascii="Tahoma"/>
                <w:sz w:val="28"/>
                <w:szCs w:val="28"/>
              </w:rPr>
            </w:pPr>
            <w:r>
              <w:rPr>
                <w:rFonts w:hint="eastAsia" w:ascii="Tahoma"/>
                <w:sz w:val="28"/>
                <w:szCs w:val="28"/>
              </w:rPr>
              <w:t>对财政收入执收单位滞留、截留、挪用应当上缴的财政收入行为的处罚；</w:t>
            </w:r>
          </w:p>
          <w:p w14:paraId="39F490BF">
            <w:pPr>
              <w:rPr>
                <w:rFonts w:hint="eastAsia" w:ascii="Tahoma"/>
                <w:sz w:val="28"/>
                <w:szCs w:val="28"/>
              </w:rPr>
            </w:pPr>
            <w:r>
              <w:rPr>
                <w:rFonts w:hint="eastAsia" w:ascii="Tahoma"/>
                <w:sz w:val="28"/>
                <w:szCs w:val="28"/>
              </w:rPr>
              <w:t>对企业和个人截留代收的财政收入行为的处罚；</w:t>
            </w:r>
          </w:p>
          <w:p w14:paraId="1707B717">
            <w:pPr>
              <w:rPr>
                <w:rFonts w:hint="eastAsia" w:ascii="Tahoma"/>
                <w:sz w:val="28"/>
                <w:szCs w:val="28"/>
              </w:rPr>
            </w:pPr>
            <w:r>
              <w:rPr>
                <w:rFonts w:hint="eastAsia" w:ascii="Tahoma"/>
                <w:sz w:val="28"/>
                <w:szCs w:val="28"/>
              </w:rPr>
              <w:t>对财政收入执收单位坐支应当上缴的财政收入行为的处罚；</w:t>
            </w:r>
          </w:p>
          <w:p w14:paraId="1699763E">
            <w:pPr>
              <w:rPr>
                <w:rFonts w:hint="eastAsia" w:ascii="Tahoma"/>
                <w:sz w:val="28"/>
                <w:szCs w:val="28"/>
              </w:rPr>
            </w:pPr>
            <w:r>
              <w:rPr>
                <w:rFonts w:hint="eastAsia" w:ascii="Tahoma"/>
                <w:sz w:val="28"/>
                <w:szCs w:val="28"/>
              </w:rPr>
              <w:t>对财政收入执收单位不依照规定的财政收入预算级次、预算科目入库行为的处罚；</w:t>
            </w:r>
          </w:p>
          <w:p w14:paraId="5A74798E">
            <w:pPr>
              <w:rPr>
                <w:rFonts w:hint="eastAsia" w:ascii="Tahoma"/>
                <w:sz w:val="28"/>
                <w:szCs w:val="28"/>
              </w:rPr>
            </w:pPr>
            <w:r>
              <w:rPr>
                <w:rFonts w:hint="eastAsia" w:ascii="Tahoma"/>
                <w:sz w:val="28"/>
                <w:szCs w:val="28"/>
              </w:rPr>
              <w:t>对财政收入执收单位违反规定退付国库库款或者财政专户资金行为的处罚；</w:t>
            </w:r>
          </w:p>
          <w:p w14:paraId="6B771A4D">
            <w:pPr>
              <w:rPr>
                <w:rFonts w:hint="eastAsia" w:ascii="Tahoma"/>
                <w:sz w:val="28"/>
                <w:szCs w:val="28"/>
              </w:rPr>
            </w:pPr>
            <w:r>
              <w:rPr>
                <w:rFonts w:hint="eastAsia" w:ascii="Tahoma"/>
                <w:sz w:val="28"/>
                <w:szCs w:val="28"/>
              </w:rPr>
              <w:t>对财政部门、国库机构延解、占压应当上解的财政收入行为的处罚；</w:t>
            </w:r>
          </w:p>
          <w:p w14:paraId="56C18D2A">
            <w:pPr>
              <w:rPr>
                <w:rFonts w:hint="eastAsia" w:ascii="Tahoma"/>
                <w:sz w:val="28"/>
                <w:szCs w:val="28"/>
              </w:rPr>
            </w:pPr>
            <w:r>
              <w:rPr>
                <w:rFonts w:hint="eastAsia" w:ascii="Tahoma"/>
                <w:sz w:val="28"/>
                <w:szCs w:val="28"/>
              </w:rPr>
              <w:t>对财政部门、国库机构不依照预算或者用款计划核拨财政资金行为的处罚；</w:t>
            </w:r>
          </w:p>
          <w:p w14:paraId="62DA02E9">
            <w:pPr>
              <w:rPr>
                <w:rFonts w:hint="eastAsia" w:ascii="Tahoma"/>
                <w:sz w:val="28"/>
                <w:szCs w:val="28"/>
              </w:rPr>
            </w:pPr>
            <w:r>
              <w:rPr>
                <w:rFonts w:hint="eastAsia" w:ascii="Tahoma"/>
                <w:sz w:val="28"/>
                <w:szCs w:val="28"/>
              </w:rPr>
              <w:t>对财政部门、国库机构违反规定收纳、划分、留解、退付国库库款或者财政专户资金行为的处罚；</w:t>
            </w:r>
          </w:p>
          <w:p w14:paraId="369429C8">
            <w:pPr>
              <w:rPr>
                <w:rFonts w:hint="eastAsia" w:ascii="Tahoma"/>
                <w:sz w:val="28"/>
                <w:szCs w:val="28"/>
              </w:rPr>
            </w:pPr>
            <w:r>
              <w:rPr>
                <w:rFonts w:hint="eastAsia" w:ascii="Tahoma"/>
                <w:sz w:val="28"/>
                <w:szCs w:val="28"/>
              </w:rPr>
              <w:t>对财政部门、国库机构将应当纳入国库核算的财政收入放在财政专户核算行为的处罚；</w:t>
            </w:r>
          </w:p>
          <w:p w14:paraId="74F3B7C8">
            <w:pPr>
              <w:rPr>
                <w:rFonts w:hint="eastAsia" w:ascii="Tahoma"/>
                <w:sz w:val="28"/>
                <w:szCs w:val="28"/>
              </w:rPr>
            </w:pPr>
            <w:r>
              <w:rPr>
                <w:rFonts w:hint="eastAsia" w:ascii="Tahoma"/>
                <w:sz w:val="28"/>
                <w:szCs w:val="28"/>
              </w:rPr>
              <w:t>对财政部门、国库机构擅自动用国库库款或者财政专户资金行为的处罚；</w:t>
            </w:r>
          </w:p>
          <w:p w14:paraId="5ACB8BB5">
            <w:pPr>
              <w:rPr>
                <w:rFonts w:hint="eastAsia" w:ascii="Tahoma"/>
                <w:sz w:val="28"/>
                <w:szCs w:val="28"/>
              </w:rPr>
            </w:pPr>
            <w:r>
              <w:rPr>
                <w:rFonts w:hint="eastAsia" w:ascii="Tahoma"/>
                <w:sz w:val="28"/>
                <w:szCs w:val="28"/>
              </w:rPr>
              <w:t>对国家机关以虚报、冒领等手段骗取财政资金行为的处罚；</w:t>
            </w:r>
          </w:p>
          <w:p w14:paraId="68BD1FF4">
            <w:pPr>
              <w:rPr>
                <w:rFonts w:hint="eastAsia" w:ascii="Tahoma"/>
                <w:sz w:val="28"/>
                <w:szCs w:val="28"/>
              </w:rPr>
            </w:pPr>
            <w:r>
              <w:rPr>
                <w:rFonts w:hint="eastAsia" w:ascii="Tahoma"/>
                <w:sz w:val="28"/>
                <w:szCs w:val="28"/>
              </w:rPr>
              <w:t>对国家机关截留、挪用财政资金行为的处罚；</w:t>
            </w:r>
          </w:p>
          <w:p w14:paraId="54273654">
            <w:pPr>
              <w:rPr>
                <w:rFonts w:hint="eastAsia" w:ascii="Tahoma"/>
                <w:sz w:val="28"/>
                <w:szCs w:val="28"/>
              </w:rPr>
            </w:pPr>
            <w:r>
              <w:rPr>
                <w:rFonts w:hint="eastAsia" w:ascii="Tahoma"/>
                <w:sz w:val="28"/>
                <w:szCs w:val="28"/>
              </w:rPr>
              <w:t>对国家机关滞留应当下拨的财政资金行为的处罚；</w:t>
            </w:r>
          </w:p>
          <w:p w14:paraId="11ADCC8B">
            <w:pPr>
              <w:rPr>
                <w:rFonts w:hint="eastAsia" w:ascii="Tahoma"/>
                <w:sz w:val="28"/>
                <w:szCs w:val="28"/>
              </w:rPr>
            </w:pPr>
            <w:r>
              <w:rPr>
                <w:rFonts w:hint="eastAsia" w:ascii="Tahoma"/>
                <w:sz w:val="28"/>
                <w:szCs w:val="28"/>
              </w:rPr>
              <w:t>对国家机关违反规定扩大开支范围，提高开支标准行为的处罚；</w:t>
            </w:r>
          </w:p>
          <w:p w14:paraId="6E28A6B2">
            <w:pPr>
              <w:rPr>
                <w:rFonts w:hint="eastAsia" w:ascii="Tahoma"/>
                <w:sz w:val="28"/>
                <w:szCs w:val="28"/>
              </w:rPr>
            </w:pPr>
            <w:r>
              <w:rPr>
                <w:rFonts w:hint="eastAsia" w:ascii="Tahoma"/>
                <w:sz w:val="28"/>
                <w:szCs w:val="28"/>
              </w:rPr>
              <w:t>对财政预决算的编制部门和预算执行部门虚增、虚减财政收入或者财政支出行为的处罚；</w:t>
            </w:r>
          </w:p>
          <w:p w14:paraId="66B81BBF">
            <w:pPr>
              <w:rPr>
                <w:rFonts w:hint="eastAsia" w:ascii="Tahoma"/>
                <w:sz w:val="28"/>
                <w:szCs w:val="28"/>
              </w:rPr>
            </w:pPr>
            <w:r>
              <w:rPr>
                <w:rFonts w:hint="eastAsia" w:ascii="Tahoma"/>
                <w:sz w:val="28"/>
                <w:szCs w:val="28"/>
              </w:rPr>
              <w:t>对财政预决算的编制部门和预算执行部门违反规定编制、批复预算或者决算行为的处罚；</w:t>
            </w:r>
          </w:p>
          <w:p w14:paraId="29C36350">
            <w:pPr>
              <w:rPr>
                <w:rFonts w:hint="eastAsia" w:ascii="Tahoma"/>
                <w:sz w:val="28"/>
                <w:szCs w:val="28"/>
              </w:rPr>
            </w:pPr>
            <w:r>
              <w:rPr>
                <w:rFonts w:hint="eastAsia" w:ascii="Tahoma"/>
                <w:sz w:val="28"/>
                <w:szCs w:val="28"/>
              </w:rPr>
              <w:t>对财政预决算的编制部门和预算执行部门违反规定调整预算行为的处罚；</w:t>
            </w:r>
          </w:p>
          <w:p w14:paraId="796803DD">
            <w:pPr>
              <w:rPr>
                <w:rFonts w:hint="eastAsia" w:ascii="Tahoma"/>
                <w:sz w:val="28"/>
                <w:szCs w:val="28"/>
              </w:rPr>
            </w:pPr>
            <w:r>
              <w:rPr>
                <w:rFonts w:hint="eastAsia" w:ascii="Tahoma"/>
                <w:sz w:val="28"/>
                <w:szCs w:val="28"/>
              </w:rPr>
              <w:t>对财政预决算的编制部门和预算执行部门违反规定调整预算级次或者预算收支种类行为的处罚；</w:t>
            </w:r>
          </w:p>
          <w:p w14:paraId="57B1A069">
            <w:pPr>
              <w:rPr>
                <w:rFonts w:hint="eastAsia" w:ascii="Tahoma"/>
                <w:sz w:val="28"/>
                <w:szCs w:val="28"/>
              </w:rPr>
            </w:pPr>
            <w:r>
              <w:rPr>
                <w:rFonts w:hint="eastAsia" w:ascii="Tahoma"/>
                <w:sz w:val="28"/>
                <w:szCs w:val="28"/>
              </w:rPr>
              <w:t>对财政预决算的编制部门和预算执行部门违反规定动用预算预备费或者挪用预算周转金行为的处罚；</w:t>
            </w:r>
          </w:p>
          <w:p w14:paraId="4109121E">
            <w:pPr>
              <w:rPr>
                <w:rFonts w:hint="eastAsia" w:ascii="Tahoma"/>
                <w:sz w:val="28"/>
                <w:szCs w:val="28"/>
              </w:rPr>
            </w:pPr>
            <w:r>
              <w:rPr>
                <w:rFonts w:hint="eastAsia" w:ascii="Tahoma"/>
                <w:sz w:val="28"/>
                <w:szCs w:val="28"/>
              </w:rPr>
              <w:t>对财政预决算的编制部门和预算执行部门违反国家关于转移支付管理规定行为的处罚；</w:t>
            </w:r>
          </w:p>
          <w:p w14:paraId="69BCBAA1">
            <w:pPr>
              <w:rPr>
                <w:rFonts w:hint="eastAsia" w:ascii="Tahoma"/>
                <w:sz w:val="28"/>
                <w:szCs w:val="28"/>
              </w:rPr>
            </w:pPr>
            <w:r>
              <w:rPr>
                <w:rFonts w:hint="eastAsia" w:ascii="Tahoma"/>
                <w:sz w:val="28"/>
                <w:szCs w:val="28"/>
              </w:rPr>
              <w:t>对国家机关擅自占有、使用、处置国有资产行为的处罚；</w:t>
            </w:r>
          </w:p>
          <w:p w14:paraId="58FD08C8">
            <w:pPr>
              <w:rPr>
                <w:rFonts w:hint="eastAsia" w:ascii="Tahoma"/>
                <w:sz w:val="28"/>
                <w:szCs w:val="28"/>
              </w:rPr>
            </w:pPr>
            <w:r>
              <w:rPr>
                <w:rFonts w:hint="eastAsia" w:ascii="Tahoma"/>
                <w:sz w:val="28"/>
                <w:szCs w:val="28"/>
              </w:rPr>
              <w:t>对单位截留、挪用国家建设资金行为的处罚；</w:t>
            </w:r>
          </w:p>
          <w:p w14:paraId="029C3CA6">
            <w:pPr>
              <w:rPr>
                <w:rFonts w:hint="eastAsia" w:ascii="Tahoma"/>
                <w:sz w:val="28"/>
                <w:szCs w:val="28"/>
              </w:rPr>
            </w:pPr>
            <w:r>
              <w:rPr>
                <w:rFonts w:hint="eastAsia" w:ascii="Tahoma"/>
                <w:sz w:val="28"/>
                <w:szCs w:val="28"/>
              </w:rPr>
              <w:t>对单位以虚报、冒领、关联交易等手段骗取国家建设资金行为的处罚；</w:t>
            </w:r>
          </w:p>
          <w:p w14:paraId="1C1F68B2">
            <w:pPr>
              <w:rPr>
                <w:rFonts w:hint="eastAsia" w:ascii="Tahoma"/>
                <w:sz w:val="28"/>
                <w:szCs w:val="28"/>
              </w:rPr>
            </w:pPr>
            <w:r>
              <w:rPr>
                <w:rFonts w:hint="eastAsia" w:ascii="Tahoma"/>
                <w:sz w:val="28"/>
                <w:szCs w:val="28"/>
              </w:rPr>
              <w:t>对单位违反规定超概算投资行为的处罚；</w:t>
            </w:r>
          </w:p>
          <w:p w14:paraId="738ABC1F">
            <w:pPr>
              <w:rPr>
                <w:rFonts w:hint="eastAsia" w:ascii="Tahoma"/>
                <w:sz w:val="28"/>
                <w:szCs w:val="28"/>
              </w:rPr>
            </w:pPr>
            <w:r>
              <w:rPr>
                <w:rFonts w:hint="eastAsia" w:ascii="Tahoma"/>
                <w:sz w:val="28"/>
                <w:szCs w:val="28"/>
              </w:rPr>
              <w:t>对单位虚列投资完成额行为的处罚；</w:t>
            </w:r>
          </w:p>
          <w:p w14:paraId="1DF7EBB1">
            <w:pPr>
              <w:rPr>
                <w:rFonts w:hint="eastAsia" w:ascii="Tahoma"/>
                <w:sz w:val="28"/>
                <w:szCs w:val="28"/>
              </w:rPr>
            </w:pPr>
            <w:r>
              <w:rPr>
                <w:rFonts w:hint="eastAsia" w:ascii="Tahoma"/>
                <w:sz w:val="28"/>
                <w:szCs w:val="28"/>
              </w:rPr>
              <w:t>对国家机关擅自提供担保行为的处罚；</w:t>
            </w:r>
          </w:p>
          <w:p w14:paraId="045923E8">
            <w:pPr>
              <w:rPr>
                <w:rFonts w:hint="eastAsia" w:ascii="Tahoma"/>
                <w:sz w:val="28"/>
                <w:szCs w:val="28"/>
              </w:rPr>
            </w:pPr>
            <w:r>
              <w:rPr>
                <w:rFonts w:hint="eastAsia" w:ascii="Tahoma"/>
                <w:sz w:val="28"/>
                <w:szCs w:val="28"/>
              </w:rPr>
              <w:t>对国家机关违反国家有关账户管理规定，擅自在金融机构开立、使用账户行为的处罚；</w:t>
            </w:r>
          </w:p>
          <w:p w14:paraId="4D7105D9">
            <w:pPr>
              <w:rPr>
                <w:rFonts w:hint="eastAsia" w:ascii="Tahoma"/>
                <w:sz w:val="28"/>
                <w:szCs w:val="28"/>
              </w:rPr>
            </w:pPr>
            <w:r>
              <w:rPr>
                <w:rFonts w:hint="eastAsia" w:ascii="Tahoma"/>
                <w:sz w:val="28"/>
                <w:szCs w:val="28"/>
              </w:rPr>
              <w:t>对国家机关以虚报、冒领等手段骗取政府承贷或者担保的外国政府贷款、国际金融组织贷款行为的处罚；</w:t>
            </w:r>
          </w:p>
          <w:p w14:paraId="33CA05AE">
            <w:pPr>
              <w:rPr>
                <w:rFonts w:hint="eastAsia" w:ascii="Tahoma"/>
                <w:sz w:val="28"/>
                <w:szCs w:val="28"/>
              </w:rPr>
            </w:pPr>
            <w:r>
              <w:rPr>
                <w:rFonts w:hint="eastAsia" w:ascii="Tahoma"/>
                <w:sz w:val="28"/>
                <w:szCs w:val="28"/>
              </w:rPr>
              <w:t>对国家机关滞留政府承贷或者担保的外国政府贷款、国际金融组织贷款行为的处罚；</w:t>
            </w:r>
          </w:p>
          <w:p w14:paraId="555DD47F">
            <w:pPr>
              <w:rPr>
                <w:rFonts w:hint="eastAsia" w:ascii="Tahoma"/>
                <w:sz w:val="28"/>
                <w:szCs w:val="28"/>
              </w:rPr>
            </w:pPr>
            <w:r>
              <w:rPr>
                <w:rFonts w:hint="eastAsia" w:ascii="Tahoma"/>
                <w:sz w:val="28"/>
                <w:szCs w:val="28"/>
              </w:rPr>
              <w:t>对国家机关截留、挪用政府承贷或者担保的外国政府贷款、国际金融组织贷款行为的处罚；</w:t>
            </w:r>
          </w:p>
          <w:p w14:paraId="3279A12D">
            <w:pPr>
              <w:rPr>
                <w:rFonts w:hint="eastAsia" w:ascii="Tahoma"/>
                <w:sz w:val="28"/>
                <w:szCs w:val="28"/>
              </w:rPr>
            </w:pPr>
            <w:r>
              <w:rPr>
                <w:rFonts w:hint="eastAsia" w:ascii="Tahoma"/>
                <w:sz w:val="28"/>
                <w:szCs w:val="28"/>
              </w:rPr>
              <w:t>对企业和个人以虚报、冒领等手段骗取财政资金以及政府承贷或者担保的外国政府贷款、国际金融组织贷款行为的处罚；</w:t>
            </w:r>
          </w:p>
          <w:p w14:paraId="4E321000">
            <w:pPr>
              <w:rPr>
                <w:rFonts w:hint="eastAsia" w:ascii="Tahoma"/>
                <w:sz w:val="28"/>
                <w:szCs w:val="28"/>
              </w:rPr>
            </w:pPr>
            <w:r>
              <w:rPr>
                <w:rFonts w:hint="eastAsia" w:ascii="Tahoma"/>
                <w:sz w:val="28"/>
                <w:szCs w:val="28"/>
              </w:rPr>
              <w:t>对企业和个人挪用财政资金以及政府承贷或者担保的外国政府贷款、国际金融组织贷款行为的处罚；</w:t>
            </w:r>
          </w:p>
          <w:p w14:paraId="2CD72363">
            <w:pPr>
              <w:rPr>
                <w:rFonts w:hint="eastAsia" w:ascii="Tahoma"/>
                <w:sz w:val="28"/>
                <w:szCs w:val="28"/>
              </w:rPr>
            </w:pPr>
            <w:r>
              <w:rPr>
                <w:rFonts w:hint="eastAsia" w:ascii="Tahoma"/>
                <w:sz w:val="28"/>
                <w:szCs w:val="28"/>
              </w:rPr>
              <w:t>对企业和个人从无偿使用的财政资金以及政府承贷或者担保的外国政府贷款、国际金融组织贷款中非法获益行为的处罚；</w:t>
            </w:r>
          </w:p>
          <w:p w14:paraId="3A5EAC8D">
            <w:pPr>
              <w:rPr>
                <w:rFonts w:hint="eastAsia" w:ascii="Tahoma"/>
                <w:sz w:val="28"/>
                <w:szCs w:val="28"/>
              </w:rPr>
            </w:pPr>
            <w:r>
              <w:rPr>
                <w:rFonts w:hint="eastAsia" w:ascii="Tahoma"/>
                <w:sz w:val="28"/>
                <w:szCs w:val="28"/>
              </w:rPr>
              <w:t>对单位和个人违反规定印制财政收入票据行为的处罚；</w:t>
            </w:r>
          </w:p>
          <w:p w14:paraId="44C68450">
            <w:pPr>
              <w:rPr>
                <w:rFonts w:hint="eastAsia" w:ascii="Tahoma"/>
                <w:sz w:val="28"/>
                <w:szCs w:val="28"/>
              </w:rPr>
            </w:pPr>
            <w:r>
              <w:rPr>
                <w:rFonts w:hint="eastAsia" w:ascii="Tahoma"/>
                <w:sz w:val="28"/>
                <w:szCs w:val="28"/>
              </w:rPr>
              <w:t>对单位和个人转借、串用、代开财政收入票据行为的处罚；</w:t>
            </w:r>
          </w:p>
          <w:p w14:paraId="0003E881">
            <w:pPr>
              <w:rPr>
                <w:rFonts w:hint="eastAsia" w:ascii="Tahoma"/>
                <w:sz w:val="28"/>
                <w:szCs w:val="28"/>
              </w:rPr>
            </w:pPr>
            <w:r>
              <w:rPr>
                <w:rFonts w:hint="eastAsia" w:ascii="Tahoma"/>
                <w:sz w:val="28"/>
                <w:szCs w:val="28"/>
              </w:rPr>
              <w:t>对单位和个人伪造、变造、买卖、擅自销毁财政收入票据行为的处罚；</w:t>
            </w:r>
          </w:p>
          <w:p w14:paraId="0699C86C">
            <w:pPr>
              <w:rPr>
                <w:rFonts w:hint="eastAsia" w:ascii="Tahoma"/>
                <w:sz w:val="28"/>
                <w:szCs w:val="28"/>
              </w:rPr>
            </w:pPr>
            <w:r>
              <w:rPr>
                <w:rFonts w:hint="eastAsia" w:ascii="Tahoma"/>
                <w:sz w:val="28"/>
                <w:szCs w:val="28"/>
              </w:rPr>
              <w:t>对单位和个人伪造、使用伪造的财政收入票据监（印）制章行为的处罚；</w:t>
            </w:r>
          </w:p>
          <w:p w14:paraId="3EC7530E">
            <w:pPr>
              <w:rPr>
                <w:rFonts w:hint="eastAsia" w:ascii="Tahoma"/>
                <w:sz w:val="28"/>
                <w:szCs w:val="28"/>
              </w:rPr>
            </w:pPr>
            <w:r>
              <w:rPr>
                <w:rFonts w:hint="eastAsia" w:ascii="Tahoma"/>
                <w:sz w:val="28"/>
                <w:szCs w:val="28"/>
              </w:rPr>
              <w:t>对单位和个人私存私放财政资金或者其他公款行为的处罚；</w:t>
            </w:r>
          </w:p>
          <w:p w14:paraId="4E545B9B">
            <w:pPr>
              <w:rPr>
                <w:rFonts w:hint="eastAsia" w:ascii="Tahoma"/>
                <w:sz w:val="28"/>
                <w:szCs w:val="28"/>
              </w:rPr>
            </w:pPr>
            <w:r>
              <w:rPr>
                <w:rFonts w:hint="eastAsia" w:ascii="Tahoma"/>
                <w:sz w:val="28"/>
                <w:szCs w:val="28"/>
              </w:rPr>
              <w:t>对勘察、设计、施工、监理、供货、咨询、招标代理、征收等相关单位以虚报、冒领、关联交易等手段骗取政府投资建设项目资金的处罚；</w:t>
            </w:r>
          </w:p>
          <w:p w14:paraId="3C93CE9C">
            <w:pPr>
              <w:rPr>
                <w:sz w:val="28"/>
                <w:szCs w:val="28"/>
              </w:rPr>
            </w:pPr>
            <w:r>
              <w:rPr>
                <w:rFonts w:hint="eastAsia" w:ascii="方正楷体_GBK" w:eastAsia="方正楷体_GBK"/>
                <w:b/>
                <w:sz w:val="28"/>
                <w:szCs w:val="28"/>
              </w:rPr>
              <w:t>2、行政强制：</w:t>
            </w:r>
            <w:r>
              <w:rPr>
                <w:rFonts w:hint="eastAsia" w:ascii="Tahoma"/>
                <w:sz w:val="28"/>
                <w:szCs w:val="28"/>
              </w:rPr>
              <w:t>封存有关资料和违反国家规定取得的资产。</w:t>
            </w:r>
            <w:bookmarkStart w:id="0" w:name="_GoBack"/>
            <w:bookmarkEnd w:id="0"/>
          </w:p>
        </w:tc>
      </w:tr>
    </w:tbl>
    <w:p w14:paraId="72AEDBD9"/>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楷体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98" w:lineRule="auto"/>
      </w:pPr>
      <w:r>
        <w:separator/>
      </w:r>
    </w:p>
  </w:footnote>
  <w:footnote w:type="continuationSeparator" w:id="1">
    <w:p>
      <w:pPr>
        <w:spacing w:line="29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AAC"/>
    <w:rsid w:val="001D6AAC"/>
    <w:rsid w:val="002F3F36"/>
    <w:rsid w:val="003010F5"/>
    <w:rsid w:val="00533886"/>
    <w:rsid w:val="0054600B"/>
    <w:rsid w:val="006D5DA2"/>
    <w:rsid w:val="007173CC"/>
    <w:rsid w:val="00734538"/>
    <w:rsid w:val="007B5DA8"/>
    <w:rsid w:val="00B45F72"/>
    <w:rsid w:val="00C37E84"/>
    <w:rsid w:val="00D611D8"/>
    <w:rsid w:val="00F20D88"/>
    <w:rsid w:val="29FF08BE"/>
    <w:rsid w:val="2BAA0794"/>
    <w:rsid w:val="2BE80392"/>
    <w:rsid w:val="44E4041B"/>
    <w:rsid w:val="537D3F15"/>
    <w:rsid w:val="680D61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298" w:lineRule="auto"/>
      <w:jc w:val="both"/>
      <w:textAlignment w:val="baseline"/>
    </w:pPr>
    <w:rPr>
      <w:rFonts w:ascii="Times New Roman" w:hAnsi="Times New Roman" w:eastAsia="方正仿宋_GBK" w:cs="Times New Roman"/>
      <w:snapToGrid w:val="0"/>
      <w:kern w:val="32"/>
      <w:sz w:val="32"/>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adjustRightInd/>
      <w:spacing w:line="240" w:lineRule="auto"/>
      <w:jc w:val="center"/>
      <w:textAlignment w:val="auto"/>
    </w:pPr>
    <w:rPr>
      <w:rFonts w:asciiTheme="minorHAnsi" w:hAnsiTheme="minorHAnsi" w:eastAsiaTheme="minorEastAsia" w:cstheme="minorBidi"/>
      <w:snapToGrid/>
      <w:kern w:val="2"/>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1660</Words>
  <Characters>1674</Characters>
  <Lines>12</Lines>
  <Paragraphs>3</Paragraphs>
  <TotalTime>6</TotalTime>
  <ScaleCrop>false</ScaleCrop>
  <LinksUpToDate>false</LinksUpToDate>
  <CharactersWithSpaces>1694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2019-11-19T07:54:00Z</dcterms:created>
  <dc:creator>654</dc:creator>
  <cp:lastModifiedBy>桉逸</cp:lastModifiedBy>
  <cp:lastPrinted>2026-09-01T06:23:00Z</cp:lastPrinted>
  <dcterms:modified xsi:type="dcterms:W3CDTF">2026-09-01T08:09:48Z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eyJoZGlkIjoiYTZkYzZmNTdiM2UxNDU1NjEwZjEyNjhhNTJkMzYwYzAiLCJ1c2VySWQiOiI0OTQ1OTMzODMifQ==</vt:lpwstr>
  </property>
  <property fmtid="{D5CDD505-2E9C-101B-9397-08002B2CF9AE}" pid="3" name="KSOProductBuildVer">
    <vt:lpwstr>2052-12.1.0.28043</vt:lpwstr>
  </property>
  <property fmtid="{D5CDD505-2E9C-101B-9397-08002B2CF9AE}" pid="4" name="ICV">
    <vt:lpwstr>37A3BD53C8134B879DE8B2334EAD7328_13</vt:lpwstr>
  </property>
</Properties>
</file>