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44"/>
          <w:szCs w:val="52"/>
          <w:lang w:val="en-US" w:eastAsia="zh-CN"/>
        </w:rPr>
      </w:pPr>
      <w:r>
        <w:rPr>
          <w:rFonts w:hint="eastAsia"/>
          <w:b/>
          <w:bCs/>
          <w:sz w:val="44"/>
          <w:szCs w:val="52"/>
          <w:lang w:val="en-US" w:eastAsia="zh-CN"/>
        </w:rPr>
        <w:t>行政检查事项和依据</w:t>
      </w:r>
    </w:p>
    <w:p>
      <w:pPr>
        <w:jc w:val="center"/>
        <w:rPr>
          <w:rFonts w:hint="eastAsia"/>
          <w:b/>
          <w:bCs/>
          <w:sz w:val="22"/>
          <w:szCs w:val="28"/>
          <w:lang w:val="en-US" w:eastAsia="zh-CN"/>
        </w:rPr>
      </w:pP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7"/>
        <w:gridCol w:w="2005"/>
        <w:gridCol w:w="6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7" w:type="dxa"/>
            <w:vAlign w:val="center"/>
          </w:tcPr>
          <w:p>
            <w:pPr>
              <w:jc w:val="center"/>
              <w:rPr>
                <w:rFonts w:hint="eastAsia"/>
                <w:b/>
                <w:bCs/>
                <w:sz w:val="24"/>
                <w:szCs w:val="32"/>
                <w:vertAlign w:val="baseline"/>
                <w:lang w:val="en-US" w:eastAsia="zh-CN"/>
              </w:rPr>
            </w:pPr>
            <w:r>
              <w:rPr>
                <w:rFonts w:hint="eastAsia"/>
                <w:b/>
                <w:bCs/>
                <w:sz w:val="24"/>
                <w:szCs w:val="32"/>
                <w:vertAlign w:val="baseline"/>
                <w:lang w:val="en-US" w:eastAsia="zh-CN"/>
              </w:rPr>
              <w:t>序号</w:t>
            </w:r>
          </w:p>
        </w:tc>
        <w:tc>
          <w:tcPr>
            <w:tcW w:w="2005" w:type="dxa"/>
            <w:vAlign w:val="center"/>
          </w:tcPr>
          <w:p>
            <w:pPr>
              <w:jc w:val="center"/>
              <w:rPr>
                <w:rFonts w:hint="eastAsia"/>
                <w:b/>
                <w:bCs/>
                <w:sz w:val="24"/>
                <w:szCs w:val="32"/>
                <w:vertAlign w:val="baseline"/>
                <w:lang w:val="en-US" w:eastAsia="zh-CN"/>
              </w:rPr>
            </w:pPr>
            <w:r>
              <w:rPr>
                <w:rFonts w:hint="eastAsia"/>
                <w:b/>
                <w:bCs/>
                <w:sz w:val="24"/>
                <w:szCs w:val="32"/>
                <w:vertAlign w:val="baseline"/>
                <w:lang w:val="en-US" w:eastAsia="zh-CN"/>
              </w:rPr>
              <w:t>检查事项</w:t>
            </w:r>
          </w:p>
        </w:tc>
        <w:tc>
          <w:tcPr>
            <w:tcW w:w="6040" w:type="dxa"/>
            <w:vAlign w:val="center"/>
          </w:tcPr>
          <w:p>
            <w:pPr>
              <w:jc w:val="center"/>
              <w:rPr>
                <w:rFonts w:hint="eastAsia"/>
                <w:b/>
                <w:bCs/>
                <w:sz w:val="24"/>
                <w:szCs w:val="32"/>
                <w:vertAlign w:val="baseline"/>
                <w:lang w:val="en-US" w:eastAsia="zh-CN"/>
              </w:rPr>
            </w:pPr>
            <w:r>
              <w:rPr>
                <w:rFonts w:hint="eastAsia"/>
                <w:b/>
                <w:bCs/>
                <w:sz w:val="24"/>
                <w:szCs w:val="32"/>
                <w:vertAlign w:val="baseline"/>
                <w:lang w:val="en-US" w:eastAsia="zh-CN"/>
              </w:rPr>
              <w:t>检查依据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7" w:type="dxa"/>
            <w:vAlign w:val="center"/>
          </w:tcPr>
          <w:p>
            <w:pPr>
              <w:jc w:val="center"/>
              <w:rPr>
                <w:rFonts w:hint="eastAsia" w:ascii="方正仿宋_GBK" w:hAnsi="方正仿宋_GBK" w:eastAsia="方正仿宋_GBK" w:cs="方正仿宋_GBK"/>
                <w:b w:val="0"/>
                <w:bCs w:val="0"/>
                <w:sz w:val="24"/>
                <w:szCs w:val="32"/>
                <w:vertAlign w:val="baseline"/>
                <w:lang w:val="en-US" w:eastAsia="zh-CN"/>
              </w:rPr>
            </w:pPr>
            <w:r>
              <w:rPr>
                <w:rFonts w:hint="eastAsia" w:ascii="方正仿宋_GBK" w:hAnsi="方正仿宋_GBK" w:eastAsia="方正仿宋_GBK" w:cs="方正仿宋_GBK"/>
                <w:b w:val="0"/>
                <w:bCs w:val="0"/>
                <w:sz w:val="24"/>
                <w:szCs w:val="32"/>
                <w:vertAlign w:val="baseline"/>
                <w:lang w:val="en-US" w:eastAsia="zh-CN"/>
              </w:rPr>
              <w:t>1</w:t>
            </w:r>
          </w:p>
        </w:tc>
        <w:tc>
          <w:tcPr>
            <w:tcW w:w="2005" w:type="dxa"/>
            <w:vAlign w:val="center"/>
          </w:tcPr>
          <w:p>
            <w:pPr>
              <w:jc w:val="center"/>
              <w:rPr>
                <w:rFonts w:hint="eastAsia" w:ascii="方正仿宋_GBK" w:hAnsi="方正仿宋_GBK" w:eastAsia="方正仿宋_GBK" w:cs="方正仿宋_GBK"/>
                <w:b w:val="0"/>
                <w:bCs w:val="0"/>
                <w:sz w:val="24"/>
                <w:szCs w:val="32"/>
                <w:vertAlign w:val="baseline"/>
                <w:lang w:val="en-US" w:eastAsia="zh-CN"/>
              </w:rPr>
            </w:pPr>
            <w:r>
              <w:rPr>
                <w:rFonts w:hint="eastAsia" w:ascii="方正仿宋_GBK" w:hAnsi="方正仿宋_GBK" w:eastAsia="方正仿宋_GBK" w:cs="方正仿宋_GBK"/>
                <w:b w:val="0"/>
                <w:bCs w:val="0"/>
                <w:sz w:val="24"/>
                <w:szCs w:val="32"/>
                <w:vertAlign w:val="baseline"/>
                <w:lang w:val="en-US" w:eastAsia="zh-CN"/>
              </w:rPr>
              <w:t>对将平时用作停车位的人民防空工程不向业主开放、出租停车位的租赁期限超过三年或者将停车位出售、附赠的处罚</w:t>
            </w:r>
          </w:p>
        </w:tc>
        <w:tc>
          <w:tcPr>
            <w:tcW w:w="6040" w:type="dxa"/>
            <w:vAlign w:val="center"/>
          </w:tcPr>
          <w:p>
            <w:pPr>
              <w:jc w:val="center"/>
              <w:rPr>
                <w:rFonts w:hint="eastAsia" w:ascii="方正仿宋_GBK" w:hAnsi="方正仿宋_GBK" w:eastAsia="方正仿宋_GBK" w:cs="方正仿宋_GBK"/>
                <w:b w:val="0"/>
                <w:bCs w:val="0"/>
                <w:sz w:val="24"/>
                <w:szCs w:val="32"/>
                <w:vertAlign w:val="baseline"/>
                <w:lang w:val="en-US" w:eastAsia="zh-CN"/>
              </w:rPr>
            </w:pPr>
            <w:bookmarkStart w:id="0" w:name="OLE_LINK1"/>
            <w:bookmarkStart w:id="1" w:name="OLE_LINK8"/>
            <w:r>
              <w:rPr>
                <w:rFonts w:hint="eastAsia" w:ascii="方正仿宋_GBK" w:hAnsi="方正仿宋_GBK" w:eastAsia="方正仿宋_GBK" w:cs="方正仿宋_GBK"/>
                <w:b w:val="0"/>
                <w:bCs w:val="0"/>
                <w:sz w:val="24"/>
                <w:szCs w:val="32"/>
                <w:vertAlign w:val="baseline"/>
                <w:lang w:val="en-US" w:eastAsia="zh-CN"/>
              </w:rPr>
              <w:t>【地方性法规】《江苏省物业管理条例》第九十条</w:t>
            </w:r>
            <w:bookmarkEnd w:id="0"/>
            <w:bookmarkEnd w:id="1"/>
            <w:r>
              <w:rPr>
                <w:rFonts w:hint="eastAsia" w:ascii="方正仿宋_GBK" w:hAnsi="方正仿宋_GBK" w:eastAsia="方正仿宋_GBK" w:cs="方正仿宋_GBK"/>
                <w:b w:val="0"/>
                <w:bCs w:val="0"/>
                <w:sz w:val="24"/>
                <w:szCs w:val="32"/>
                <w:vertAlign w:val="baseline"/>
                <w:lang w:val="en-US" w:eastAsia="zh-CN"/>
              </w:rPr>
              <w:t xml:space="preserve"> 违反本条例第六十七条第二款规定，将平时用作停车位的人民防空工程不向业主开放、出租停车位的租赁期限超过三年或者将停车位出售、附赠的，由县级以上防行政主管部门责令限期改正，没收违法所得；逾期不改正的，处五万元以上二十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7" w:type="dxa"/>
            <w:vAlign w:val="center"/>
          </w:tcPr>
          <w:p>
            <w:pPr>
              <w:jc w:val="center"/>
              <w:rPr>
                <w:rFonts w:hint="eastAsia" w:ascii="方正仿宋_GBK" w:hAnsi="方正仿宋_GBK" w:eastAsia="方正仿宋_GBK" w:cs="方正仿宋_GBK"/>
                <w:b w:val="0"/>
                <w:bCs w:val="0"/>
                <w:sz w:val="24"/>
                <w:szCs w:val="32"/>
                <w:vertAlign w:val="baseline"/>
                <w:lang w:val="en-US" w:eastAsia="zh-CN"/>
              </w:rPr>
            </w:pPr>
            <w:r>
              <w:rPr>
                <w:rFonts w:hint="eastAsia" w:ascii="方正仿宋_GBK" w:hAnsi="方正仿宋_GBK" w:eastAsia="方正仿宋_GBK" w:cs="方正仿宋_GBK"/>
                <w:b w:val="0"/>
                <w:bCs w:val="0"/>
                <w:sz w:val="24"/>
                <w:szCs w:val="32"/>
                <w:vertAlign w:val="baseline"/>
                <w:lang w:val="en-US" w:eastAsia="zh-CN"/>
              </w:rPr>
              <w:t>2</w:t>
            </w:r>
          </w:p>
        </w:tc>
        <w:tc>
          <w:tcPr>
            <w:tcW w:w="2005" w:type="dxa"/>
            <w:vAlign w:val="center"/>
          </w:tcPr>
          <w:p>
            <w:pPr>
              <w:jc w:val="center"/>
              <w:rPr>
                <w:rFonts w:hint="eastAsia" w:ascii="方正仿宋_GBK" w:hAnsi="方正仿宋_GBK" w:eastAsia="方正仿宋_GBK" w:cs="方正仿宋_GBK"/>
                <w:b w:val="0"/>
                <w:bCs w:val="0"/>
                <w:sz w:val="24"/>
                <w:szCs w:val="32"/>
                <w:vertAlign w:val="baseline"/>
                <w:lang w:val="en-US" w:eastAsia="zh-CN"/>
              </w:rPr>
            </w:pPr>
            <w:r>
              <w:rPr>
                <w:rFonts w:hint="eastAsia" w:ascii="方正仿宋_GBK" w:hAnsi="方正仿宋_GBK" w:eastAsia="方正仿宋_GBK" w:cs="方正仿宋_GBK"/>
                <w:b w:val="0"/>
                <w:bCs w:val="0"/>
                <w:sz w:val="24"/>
                <w:szCs w:val="32"/>
                <w:vertAlign w:val="baseline"/>
                <w:lang w:val="en-US" w:eastAsia="zh-CN"/>
              </w:rPr>
              <w:t>对涉及人民防空工程建筑主体或者承重结构变动的装修工程，没有设计方案擅自施工，或者房屋建筑使用者在装修过程中擅自变动房屋建筑主体和承重结构的处罚</w:t>
            </w:r>
          </w:p>
        </w:tc>
        <w:tc>
          <w:tcPr>
            <w:tcW w:w="6040" w:type="dxa"/>
            <w:vAlign w:val="center"/>
          </w:tcPr>
          <w:p>
            <w:pPr>
              <w:jc w:val="center"/>
              <w:rPr>
                <w:rFonts w:hint="eastAsia" w:ascii="方正仿宋_GBK" w:hAnsi="方正仿宋_GBK" w:eastAsia="方正仿宋_GBK" w:cs="方正仿宋_GBK"/>
                <w:b w:val="0"/>
                <w:bCs w:val="0"/>
                <w:sz w:val="24"/>
                <w:szCs w:val="32"/>
                <w:vertAlign w:val="baseline"/>
                <w:lang w:val="en-US" w:eastAsia="zh-CN"/>
              </w:rPr>
            </w:pPr>
            <w:r>
              <w:rPr>
                <w:rFonts w:hint="eastAsia" w:ascii="方正仿宋_GBK" w:hAnsi="方正仿宋_GBK" w:eastAsia="方正仿宋_GBK" w:cs="方正仿宋_GBK"/>
                <w:b w:val="0"/>
                <w:bCs w:val="0"/>
                <w:sz w:val="24"/>
                <w:szCs w:val="32"/>
                <w:vertAlign w:val="baseline"/>
                <w:lang w:val="en-US" w:eastAsia="zh-CN"/>
              </w:rPr>
              <w:t>【行政法规】《建设工程质量管理条例》第六十九条  违反条例规定，涉及建筑主体或者承重结构变动的装修工程，没有设计方案擅自施工的，责令改正，处50万元以上100万元以下的罚款；房屋建筑使用者在装修过程中擅自变动房屋建筑主体和承重结构的，责令改正，处5万元以上10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7" w:type="dxa"/>
            <w:vAlign w:val="center"/>
          </w:tcPr>
          <w:p>
            <w:pPr>
              <w:jc w:val="center"/>
              <w:rPr>
                <w:rFonts w:hint="eastAsia" w:ascii="方正仿宋_GBK" w:hAnsi="方正仿宋_GBK" w:eastAsia="方正仿宋_GBK" w:cs="方正仿宋_GBK"/>
                <w:b w:val="0"/>
                <w:bCs w:val="0"/>
                <w:sz w:val="24"/>
                <w:szCs w:val="32"/>
                <w:vertAlign w:val="baseline"/>
                <w:lang w:val="en-US" w:eastAsia="zh-CN"/>
              </w:rPr>
            </w:pPr>
            <w:r>
              <w:rPr>
                <w:rFonts w:hint="eastAsia" w:ascii="方正仿宋_GBK" w:hAnsi="方正仿宋_GBK" w:eastAsia="方正仿宋_GBK" w:cs="方正仿宋_GBK"/>
                <w:b w:val="0"/>
                <w:bCs w:val="0"/>
                <w:sz w:val="24"/>
                <w:szCs w:val="32"/>
                <w:vertAlign w:val="baseline"/>
                <w:lang w:val="en-US" w:eastAsia="zh-CN"/>
              </w:rPr>
              <w:t>3</w:t>
            </w:r>
          </w:p>
        </w:tc>
        <w:tc>
          <w:tcPr>
            <w:tcW w:w="2005" w:type="dxa"/>
            <w:vAlign w:val="center"/>
          </w:tcPr>
          <w:p>
            <w:pPr>
              <w:jc w:val="center"/>
              <w:rPr>
                <w:rFonts w:hint="eastAsia" w:ascii="方正仿宋_GBK" w:hAnsi="方正仿宋_GBK" w:eastAsia="方正仿宋_GBK" w:cs="方正仿宋_GBK"/>
                <w:b w:val="0"/>
                <w:bCs w:val="0"/>
                <w:sz w:val="24"/>
                <w:szCs w:val="32"/>
                <w:vertAlign w:val="baseline"/>
                <w:lang w:val="en-US" w:eastAsia="zh-CN"/>
              </w:rPr>
            </w:pPr>
            <w:r>
              <w:rPr>
                <w:rFonts w:hint="eastAsia" w:ascii="方正仿宋_GBK" w:hAnsi="方正仿宋_GBK" w:eastAsia="方正仿宋_GBK" w:cs="方正仿宋_GBK"/>
                <w:b w:val="0"/>
                <w:bCs w:val="0"/>
                <w:sz w:val="24"/>
                <w:szCs w:val="32"/>
                <w:vertAlign w:val="baseline"/>
                <w:lang w:val="en-US" w:eastAsia="zh-CN"/>
              </w:rPr>
              <w:t>对侵占人民防空工程的处罚</w:t>
            </w:r>
          </w:p>
        </w:tc>
        <w:tc>
          <w:tcPr>
            <w:tcW w:w="6040" w:type="dxa"/>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right="0"/>
              <w:jc w:val="both"/>
              <w:rPr>
                <w:rFonts w:hint="eastAsia" w:ascii="方正仿宋_GBK" w:hAnsi="方正仿宋_GBK" w:eastAsia="方正仿宋_GBK" w:cs="方正仿宋_GBK"/>
                <w:b w:val="0"/>
                <w:bCs w:val="0"/>
                <w:sz w:val="24"/>
                <w:szCs w:val="32"/>
                <w:vertAlign w:val="baseline"/>
                <w:lang w:val="en-US" w:eastAsia="zh-CN"/>
              </w:rPr>
            </w:pPr>
            <w:r>
              <w:rPr>
                <w:rFonts w:hint="eastAsia" w:ascii="方正仿宋_GBK" w:hAnsi="方正仿宋_GBK" w:eastAsia="方正仿宋_GBK" w:cs="方正仿宋_GBK"/>
                <w:b w:val="0"/>
                <w:bCs w:val="0"/>
                <w:kern w:val="2"/>
                <w:sz w:val="24"/>
                <w:szCs w:val="32"/>
                <w:vertAlign w:val="baseline"/>
                <w:lang w:val="en-US" w:eastAsia="zh-CN" w:bidi="ar-SA"/>
              </w:rPr>
              <w:t>【地方性法规】《江苏省实施〈中华人民共和国人民防空法〉办法》</w:t>
            </w:r>
            <w:r>
              <w:rPr>
                <w:rFonts w:hint="eastAsia" w:ascii="方正仿宋_GBK" w:hAnsi="方正仿宋_GBK" w:eastAsia="方正仿宋_GBK" w:cs="方正仿宋_GBK"/>
                <w:b w:val="0"/>
                <w:bCs w:val="0"/>
                <w:sz w:val="24"/>
                <w:szCs w:val="32"/>
                <w:vertAlign w:val="baseline"/>
                <w:lang w:val="en-US" w:eastAsia="zh-CN"/>
              </w:rPr>
              <w:t>第三十四条 违反本办法第十八条第一款规定，或者有下列行为之一的，由人防主管部门对当事人给予警告，并责令限期改正违法行为，可以对个人并处一千元以上五千元以下的罚款，对单位并处一万元以上五万元以下的罚款;造成损失的，应当依法赔偿损失:(一)侵占人民防空工程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7" w:type="dxa"/>
            <w:vAlign w:val="center"/>
          </w:tcPr>
          <w:p>
            <w:pPr>
              <w:jc w:val="center"/>
              <w:rPr>
                <w:rFonts w:hint="eastAsia" w:ascii="方正仿宋_GBK" w:hAnsi="方正仿宋_GBK" w:eastAsia="方正仿宋_GBK" w:cs="方正仿宋_GBK"/>
                <w:b w:val="0"/>
                <w:bCs w:val="0"/>
                <w:sz w:val="24"/>
                <w:szCs w:val="32"/>
                <w:vertAlign w:val="baseline"/>
                <w:lang w:val="en-US" w:eastAsia="zh-CN"/>
              </w:rPr>
            </w:pPr>
            <w:r>
              <w:rPr>
                <w:rFonts w:hint="eastAsia" w:ascii="方正仿宋_GBK" w:hAnsi="方正仿宋_GBK" w:eastAsia="方正仿宋_GBK" w:cs="方正仿宋_GBK"/>
                <w:b w:val="0"/>
                <w:bCs w:val="0"/>
                <w:sz w:val="24"/>
                <w:szCs w:val="32"/>
                <w:vertAlign w:val="baseline"/>
                <w:lang w:val="en-US" w:eastAsia="zh-CN"/>
              </w:rPr>
              <w:t>4</w:t>
            </w:r>
          </w:p>
        </w:tc>
        <w:tc>
          <w:tcPr>
            <w:tcW w:w="2005" w:type="dxa"/>
            <w:vAlign w:val="center"/>
          </w:tcPr>
          <w:p>
            <w:pPr>
              <w:jc w:val="center"/>
              <w:rPr>
                <w:rFonts w:hint="eastAsia" w:ascii="方正仿宋_GBK" w:hAnsi="方正仿宋_GBK" w:eastAsia="方正仿宋_GBK" w:cs="方正仿宋_GBK"/>
                <w:b w:val="0"/>
                <w:bCs w:val="0"/>
                <w:sz w:val="24"/>
                <w:szCs w:val="32"/>
                <w:vertAlign w:val="baseline"/>
                <w:lang w:val="en-US" w:eastAsia="zh-CN"/>
              </w:rPr>
            </w:pPr>
            <w:r>
              <w:rPr>
                <w:rFonts w:hint="eastAsia" w:ascii="方正仿宋_GBK" w:hAnsi="方正仿宋_GBK" w:eastAsia="方正仿宋_GBK" w:cs="方正仿宋_GBK"/>
                <w:b w:val="0"/>
                <w:bCs w:val="0"/>
                <w:sz w:val="24"/>
                <w:szCs w:val="32"/>
                <w:vertAlign w:val="baseline"/>
                <w:lang w:val="en-US" w:eastAsia="zh-CN"/>
              </w:rPr>
              <w:t>对</w:t>
            </w:r>
            <w:bookmarkStart w:id="2" w:name="OLE_LINK5"/>
            <w:r>
              <w:rPr>
                <w:rFonts w:hint="eastAsia" w:ascii="方正仿宋_GBK" w:hAnsi="方正仿宋_GBK" w:eastAsia="方正仿宋_GBK" w:cs="方正仿宋_GBK"/>
                <w:b w:val="0"/>
                <w:bCs w:val="0"/>
                <w:sz w:val="24"/>
                <w:szCs w:val="32"/>
                <w:vertAlign w:val="baseline"/>
                <w:lang w:val="en-US" w:eastAsia="zh-CN"/>
              </w:rPr>
              <w:t>未达到人防工程维护管理要求的</w:t>
            </w:r>
            <w:bookmarkEnd w:id="2"/>
            <w:r>
              <w:rPr>
                <w:rFonts w:hint="eastAsia" w:ascii="方正仿宋_GBK" w:hAnsi="方正仿宋_GBK" w:eastAsia="方正仿宋_GBK" w:cs="方正仿宋_GBK"/>
                <w:b w:val="0"/>
                <w:bCs w:val="0"/>
                <w:sz w:val="24"/>
                <w:szCs w:val="32"/>
                <w:vertAlign w:val="baseline"/>
                <w:lang w:val="en-US" w:eastAsia="zh-CN"/>
              </w:rPr>
              <w:t>处罚</w:t>
            </w:r>
          </w:p>
        </w:tc>
        <w:tc>
          <w:tcPr>
            <w:tcW w:w="6040" w:type="dxa"/>
            <w:vAlign w:val="center"/>
          </w:tcPr>
          <w:p>
            <w:pPr>
              <w:jc w:val="center"/>
              <w:rPr>
                <w:rFonts w:hint="eastAsia" w:ascii="方正仿宋_GBK" w:hAnsi="方正仿宋_GBK" w:eastAsia="方正仿宋_GBK" w:cs="方正仿宋_GBK"/>
                <w:b w:val="0"/>
                <w:bCs w:val="0"/>
                <w:sz w:val="24"/>
                <w:szCs w:val="32"/>
                <w:vertAlign w:val="baseline"/>
                <w:lang w:val="en-US" w:eastAsia="zh-CN"/>
              </w:rPr>
            </w:pPr>
            <w:r>
              <w:rPr>
                <w:rFonts w:hint="eastAsia" w:ascii="方正仿宋_GBK" w:hAnsi="方正仿宋_GBK" w:eastAsia="方正仿宋_GBK" w:cs="方正仿宋_GBK"/>
                <w:b w:val="0"/>
                <w:bCs w:val="0"/>
                <w:sz w:val="24"/>
                <w:szCs w:val="32"/>
                <w:vertAlign w:val="baseline"/>
                <w:lang w:val="en-US" w:eastAsia="zh-CN"/>
              </w:rPr>
              <w:t>【地方政府规章】《江苏省人民防空工程建设使用规定》第三十五条 平时使用人或者负责维护管理的人防工程建设单位未按照规定对人防工程进行维护保养，或者维护保养未达到规定要求的，由人防主管部门责令限期整改；未按照要求及时维修、更新人防工程防护结构、专用设备实施的，由人防主管部门责令限期维修、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7" w:type="dxa"/>
            <w:vAlign w:val="center"/>
          </w:tcPr>
          <w:p>
            <w:pPr>
              <w:jc w:val="center"/>
              <w:rPr>
                <w:rFonts w:hint="eastAsia" w:ascii="方正仿宋_GBK" w:hAnsi="方正仿宋_GBK" w:eastAsia="方正仿宋_GBK" w:cs="方正仿宋_GBK"/>
                <w:b w:val="0"/>
                <w:bCs w:val="0"/>
                <w:sz w:val="24"/>
                <w:szCs w:val="32"/>
                <w:vertAlign w:val="baseline"/>
                <w:lang w:val="en-US" w:eastAsia="zh-CN"/>
              </w:rPr>
            </w:pPr>
            <w:r>
              <w:rPr>
                <w:rFonts w:hint="eastAsia" w:ascii="方正仿宋_GBK" w:hAnsi="方正仿宋_GBK" w:eastAsia="方正仿宋_GBK" w:cs="方正仿宋_GBK"/>
                <w:b w:val="0"/>
                <w:bCs w:val="0"/>
                <w:sz w:val="24"/>
                <w:szCs w:val="32"/>
                <w:vertAlign w:val="baseline"/>
                <w:lang w:val="en-US" w:eastAsia="zh-CN"/>
              </w:rPr>
              <w:t>5</w:t>
            </w:r>
          </w:p>
        </w:tc>
        <w:tc>
          <w:tcPr>
            <w:tcW w:w="2005" w:type="dxa"/>
            <w:vAlign w:val="center"/>
          </w:tcPr>
          <w:p>
            <w:pPr>
              <w:jc w:val="center"/>
              <w:rPr>
                <w:rFonts w:hint="eastAsia" w:ascii="方正仿宋_GBK" w:hAnsi="方正仿宋_GBK" w:eastAsia="方正仿宋_GBK" w:cs="方正仿宋_GBK"/>
                <w:b w:val="0"/>
                <w:bCs w:val="0"/>
                <w:sz w:val="24"/>
                <w:szCs w:val="32"/>
                <w:vertAlign w:val="baseline"/>
                <w:lang w:val="en-US" w:eastAsia="zh-CN"/>
              </w:rPr>
            </w:pPr>
            <w:r>
              <w:rPr>
                <w:rFonts w:hint="eastAsia" w:ascii="方正仿宋_GBK" w:hAnsi="方正仿宋_GBK" w:eastAsia="方正仿宋_GBK" w:cs="方正仿宋_GBK"/>
                <w:b w:val="0"/>
                <w:bCs w:val="0"/>
                <w:sz w:val="24"/>
                <w:szCs w:val="32"/>
                <w:vertAlign w:val="baseline"/>
                <w:lang w:val="en-US" w:eastAsia="zh-CN"/>
              </w:rPr>
              <w:t>对损坏人防工程标识的处罚</w:t>
            </w:r>
          </w:p>
        </w:tc>
        <w:tc>
          <w:tcPr>
            <w:tcW w:w="6040" w:type="dxa"/>
            <w:vAlign w:val="center"/>
          </w:tcPr>
          <w:p>
            <w:pPr>
              <w:jc w:val="center"/>
              <w:rPr>
                <w:rFonts w:hint="eastAsia" w:ascii="方正仿宋_GBK" w:hAnsi="方正仿宋_GBK" w:eastAsia="方正仿宋_GBK" w:cs="方正仿宋_GBK"/>
                <w:b w:val="0"/>
                <w:bCs w:val="0"/>
                <w:sz w:val="24"/>
                <w:szCs w:val="32"/>
                <w:vertAlign w:val="baseline"/>
                <w:lang w:val="en-US" w:eastAsia="zh-CN"/>
              </w:rPr>
            </w:pPr>
            <w:r>
              <w:rPr>
                <w:rFonts w:hint="eastAsia" w:ascii="方正仿宋_GBK" w:hAnsi="方正仿宋_GBK" w:eastAsia="方正仿宋_GBK" w:cs="方正仿宋_GBK"/>
                <w:b w:val="0"/>
                <w:bCs w:val="0"/>
                <w:sz w:val="24"/>
                <w:szCs w:val="32"/>
                <w:vertAlign w:val="baseline"/>
                <w:lang w:val="en-US" w:eastAsia="zh-CN"/>
              </w:rPr>
              <w:t>【地方政府规章】《江苏省人民防空工程维护管理规定》第二十条 禁止任何单位或者个人实施影响人防工程使用或者降低人防工程防护能力的下列行为：（一）损坏人防工程标识；第三十条 对未达到本规定第十二条要求或者违反第二十条规定的，由人防主管部门对当事人给予警告，并责令限期改正，可以对个人并处一千元以上五千元以下罚款，对单位并处一万元以上五万元以下罚款；造成损失的，应当依法赔偿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7" w:type="dxa"/>
            <w:vAlign w:val="center"/>
          </w:tcPr>
          <w:p>
            <w:pPr>
              <w:jc w:val="center"/>
              <w:rPr>
                <w:rFonts w:hint="eastAsia" w:ascii="方正仿宋_GBK" w:hAnsi="方正仿宋_GBK" w:eastAsia="方正仿宋_GBK" w:cs="方正仿宋_GBK"/>
                <w:b w:val="0"/>
                <w:bCs w:val="0"/>
                <w:sz w:val="24"/>
                <w:szCs w:val="32"/>
                <w:vertAlign w:val="baseline"/>
                <w:lang w:val="en-US" w:eastAsia="zh-CN"/>
              </w:rPr>
            </w:pPr>
            <w:r>
              <w:rPr>
                <w:rFonts w:hint="eastAsia" w:ascii="方正仿宋_GBK" w:hAnsi="方正仿宋_GBK" w:eastAsia="方正仿宋_GBK" w:cs="方正仿宋_GBK"/>
                <w:b w:val="0"/>
                <w:bCs w:val="0"/>
                <w:sz w:val="24"/>
                <w:szCs w:val="32"/>
                <w:vertAlign w:val="baseline"/>
                <w:lang w:val="en-US" w:eastAsia="zh-CN"/>
              </w:rPr>
              <w:t>6</w:t>
            </w:r>
          </w:p>
        </w:tc>
        <w:tc>
          <w:tcPr>
            <w:tcW w:w="2005" w:type="dxa"/>
            <w:vAlign w:val="center"/>
          </w:tcPr>
          <w:p>
            <w:pPr>
              <w:jc w:val="center"/>
              <w:rPr>
                <w:rFonts w:hint="eastAsia" w:ascii="方正仿宋_GBK" w:hAnsi="方正仿宋_GBK" w:eastAsia="方正仿宋_GBK" w:cs="方正仿宋_GBK"/>
                <w:b w:val="0"/>
                <w:bCs w:val="0"/>
                <w:sz w:val="24"/>
                <w:szCs w:val="32"/>
                <w:vertAlign w:val="baseline"/>
                <w:lang w:val="en-US" w:eastAsia="zh-CN"/>
              </w:rPr>
            </w:pPr>
            <w:r>
              <w:rPr>
                <w:rFonts w:hint="eastAsia" w:ascii="方正仿宋_GBK" w:hAnsi="方正仿宋_GBK" w:eastAsia="方正仿宋_GBK" w:cs="方正仿宋_GBK"/>
                <w:b w:val="0"/>
                <w:bCs w:val="0"/>
                <w:sz w:val="24"/>
                <w:szCs w:val="32"/>
                <w:vertAlign w:val="baseline"/>
                <w:lang w:val="en-US" w:eastAsia="zh-CN"/>
              </w:rPr>
              <w:t>对挪用或损坏平战转换设备设施的处罚</w:t>
            </w:r>
          </w:p>
        </w:tc>
        <w:tc>
          <w:tcPr>
            <w:tcW w:w="6040" w:type="dxa"/>
            <w:vAlign w:val="center"/>
          </w:tcPr>
          <w:p>
            <w:pPr>
              <w:jc w:val="center"/>
              <w:rPr>
                <w:rFonts w:hint="eastAsia" w:ascii="方正仿宋_GBK" w:hAnsi="方正仿宋_GBK" w:eastAsia="方正仿宋_GBK" w:cs="方正仿宋_GBK"/>
                <w:b w:val="0"/>
                <w:bCs w:val="0"/>
                <w:sz w:val="24"/>
                <w:szCs w:val="32"/>
                <w:vertAlign w:val="baseline"/>
                <w:lang w:val="en-US" w:eastAsia="zh-CN"/>
              </w:rPr>
            </w:pPr>
            <w:r>
              <w:rPr>
                <w:rFonts w:hint="eastAsia" w:ascii="方正仿宋_GBK" w:hAnsi="方正仿宋_GBK" w:eastAsia="方正仿宋_GBK" w:cs="方正仿宋_GBK"/>
                <w:b w:val="0"/>
                <w:bCs w:val="0"/>
                <w:sz w:val="24"/>
                <w:szCs w:val="32"/>
                <w:vertAlign w:val="baseline"/>
                <w:lang w:val="en-US" w:eastAsia="zh-CN"/>
              </w:rPr>
              <w:t>【地方政府规章】《江苏省人民防空工程维护管理规定》第二十条 禁止任何单位或者个人实施影响人防工程使用或者降低人防工程防护能力的下列行为：（二）挪用或者损坏平战转换设备设施；第三十条 对未达到本规定第十二条要求或者违反第二十条规定的，由人防主管部门对当事人给予警告，并责令限期改正，可以对个人并处一千元以上五千元以下罚款，对单位并处一万元以上五万元以下罚款；造成损失的，应当依法赔偿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7" w:type="dxa"/>
            <w:vAlign w:val="center"/>
          </w:tcPr>
          <w:p>
            <w:pPr>
              <w:jc w:val="center"/>
              <w:rPr>
                <w:rFonts w:hint="eastAsia" w:ascii="方正仿宋_GBK" w:hAnsi="方正仿宋_GBK" w:eastAsia="方正仿宋_GBK" w:cs="方正仿宋_GBK"/>
                <w:b w:val="0"/>
                <w:bCs w:val="0"/>
                <w:sz w:val="24"/>
                <w:szCs w:val="32"/>
                <w:vertAlign w:val="baseline"/>
                <w:lang w:val="en-US" w:eastAsia="zh-CN"/>
              </w:rPr>
            </w:pPr>
            <w:r>
              <w:rPr>
                <w:rFonts w:hint="eastAsia" w:ascii="方正仿宋_GBK" w:hAnsi="方正仿宋_GBK" w:eastAsia="方正仿宋_GBK" w:cs="方正仿宋_GBK"/>
                <w:b w:val="0"/>
                <w:bCs w:val="0"/>
                <w:sz w:val="24"/>
                <w:szCs w:val="32"/>
                <w:vertAlign w:val="baseline"/>
                <w:lang w:val="en-US" w:eastAsia="zh-CN"/>
              </w:rPr>
              <w:t>7</w:t>
            </w:r>
          </w:p>
        </w:tc>
        <w:tc>
          <w:tcPr>
            <w:tcW w:w="2005" w:type="dxa"/>
            <w:vAlign w:val="center"/>
          </w:tcPr>
          <w:p>
            <w:pPr>
              <w:jc w:val="center"/>
              <w:rPr>
                <w:rFonts w:hint="eastAsia" w:ascii="方正仿宋_GBK" w:hAnsi="方正仿宋_GBK" w:eastAsia="方正仿宋_GBK" w:cs="方正仿宋_GBK"/>
                <w:b w:val="0"/>
                <w:bCs w:val="0"/>
                <w:sz w:val="24"/>
                <w:szCs w:val="32"/>
                <w:vertAlign w:val="baseline"/>
                <w:lang w:val="en-US" w:eastAsia="zh-CN"/>
              </w:rPr>
            </w:pPr>
            <w:r>
              <w:rPr>
                <w:rFonts w:hint="eastAsia" w:ascii="方正仿宋_GBK" w:hAnsi="方正仿宋_GBK" w:eastAsia="方正仿宋_GBK" w:cs="方正仿宋_GBK"/>
                <w:b w:val="0"/>
                <w:bCs w:val="0"/>
                <w:sz w:val="24"/>
                <w:szCs w:val="32"/>
                <w:vertAlign w:val="baseline"/>
                <w:lang w:val="en-US" w:eastAsia="zh-CN"/>
              </w:rPr>
              <w:t>对安装充电设备设施破坏人防工程战时防护效能的处罚</w:t>
            </w:r>
          </w:p>
        </w:tc>
        <w:tc>
          <w:tcPr>
            <w:tcW w:w="6040" w:type="dxa"/>
            <w:vAlign w:val="center"/>
          </w:tcPr>
          <w:p>
            <w:pPr>
              <w:jc w:val="center"/>
              <w:rPr>
                <w:rFonts w:hint="eastAsia" w:ascii="方正仿宋_GBK" w:hAnsi="方正仿宋_GBK" w:eastAsia="方正仿宋_GBK" w:cs="方正仿宋_GBK"/>
                <w:b w:val="0"/>
                <w:bCs w:val="0"/>
                <w:sz w:val="24"/>
                <w:szCs w:val="32"/>
                <w:vertAlign w:val="baseline"/>
                <w:lang w:val="en-US" w:eastAsia="zh-CN"/>
              </w:rPr>
            </w:pPr>
            <w:r>
              <w:rPr>
                <w:rFonts w:hint="eastAsia" w:ascii="方正仿宋_GBK" w:hAnsi="方正仿宋_GBK" w:eastAsia="方正仿宋_GBK" w:cs="方正仿宋_GBK"/>
                <w:b w:val="0"/>
                <w:bCs w:val="0"/>
                <w:sz w:val="24"/>
                <w:szCs w:val="32"/>
                <w:vertAlign w:val="baseline"/>
                <w:lang w:val="en-US" w:eastAsia="zh-CN"/>
              </w:rPr>
              <w:t>【地方政府规章】《江苏省人民防空工程维护管理规定》第二十条 禁止任何单位或者个人实施影响人防工程使用或者降低人防工程防护能力的下列行为：（三）安装充电设备设施破坏人防工程战时防护效能；第三十条 对未达到本规定第十二条要求或者违反第二十条规定的，由人防主管部门对当事人给予警告，并责令限期改正，可以对个人并处一千元以上五千元以下罚款，对单位并处一万元以上五万元以下罚款；造成损失的，应当依法赔偿损失。</w:t>
            </w:r>
          </w:p>
        </w:tc>
      </w:tr>
    </w:tbl>
    <w:p>
      <w:pPr>
        <w:jc w:val="left"/>
        <w:rPr>
          <w:rFonts w:hint="eastAsia"/>
          <w:b/>
          <w:bCs/>
          <w:sz w:val="40"/>
          <w:szCs w:val="4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Calibri Light">
    <w:panose1 w:val="020F0302020204030204"/>
    <w:charset w:val="00"/>
    <w:family w:val="auto"/>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65145E"/>
    <w:rsid w:val="2BBD6869"/>
    <w:rsid w:val="3B5E7C18"/>
    <w:rsid w:val="3DF43092"/>
    <w:rsid w:val="437E59AE"/>
    <w:rsid w:val="4B835730"/>
    <w:rsid w:val="50263240"/>
    <w:rsid w:val="561C27C5"/>
    <w:rsid w:val="584374BA"/>
    <w:rsid w:val="647664AD"/>
    <w:rsid w:val="7A152B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295</TotalTime>
  <ScaleCrop>false</ScaleCrop>
  <LinksUpToDate>false</LinksUpToDate>
  <CharactersWithSpaces>0</CharactersWithSpaces>
  <Application>WPS Office_10.8.2.6837_F1E327BC-269C-435d-A152-05C5408002CA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dc:creator>
  <cp:lastModifiedBy>Administrator</cp:lastModifiedBy>
  <cp:lastPrinted>2026-09-03T03:20:00Z</cp:lastPrinted>
  <dcterms:modified xsi:type="dcterms:W3CDTF">2026-09-03T08:14:26Z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ies>
</file>