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8962">
      <w:pPr>
        <w:widowControl/>
        <w:jc w:val="left"/>
        <w:rPr>
          <w:rFonts w:hint="eastAsia"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bidi="ar-SA"/>
        </w:rPr>
        <w:t>附件</w:t>
      </w:r>
      <w:r>
        <w:rPr>
          <w:rFonts w:hint="eastAsia" w:ascii="Times New Roman" w:hAnsi="Times New Roman" w:eastAsia="方正黑体_GBK" w:cs="Times New Roman"/>
          <w:sz w:val="32"/>
          <w:szCs w:val="32"/>
          <w:lang w:val="en-US" w:eastAsia="zh-CN" w:bidi="ar-SA"/>
        </w:rPr>
        <w:t>1：</w:t>
      </w:r>
    </w:p>
    <w:p w14:paraId="3041EEA1">
      <w:pPr>
        <w:spacing w:line="560" w:lineRule="exact"/>
        <w:rPr>
          <w:rFonts w:hint="eastAsia" w:ascii="Times New Roman" w:hAnsi="Times New Roman" w:eastAsia="方正楷体_GBK" w:cs="Times New Roman"/>
          <w:sz w:val="32"/>
          <w:szCs w:val="32"/>
          <w:lang w:eastAsia="zh-CN" w:bidi="ar-SA"/>
        </w:rPr>
      </w:pPr>
    </w:p>
    <w:p w14:paraId="4E76ED98">
      <w:pPr>
        <w:spacing w:line="580" w:lineRule="exact"/>
        <w:jc w:val="center"/>
        <w:outlineLvl w:val="0"/>
        <w:rPr>
          <w:rFonts w:hint="default" w:ascii="Times New Roman" w:hAnsi="Times New Roman" w:eastAsia="方正小标宋_GBK"/>
          <w:sz w:val="44"/>
          <w:szCs w:val="44"/>
        </w:rPr>
      </w:pPr>
      <w:r>
        <w:rPr>
          <w:rFonts w:hint="default" w:ascii="Times New Roman" w:hAnsi="Times New Roman" w:eastAsia="方正小标宋_GBK"/>
          <w:sz w:val="44"/>
          <w:szCs w:val="44"/>
        </w:rPr>
        <w:t>南京市秦淮区夫子庙-秦淮风光带风景名胜区管理委员会行政检查事项</w:t>
      </w:r>
    </w:p>
    <w:p w14:paraId="7E5EE02C">
      <w:pPr>
        <w:spacing w:line="580" w:lineRule="exact"/>
        <w:jc w:val="center"/>
        <w:outlineLvl w:val="0"/>
        <w:rPr>
          <w:rFonts w:hint="default" w:ascii="Times New Roman" w:hAnsi="Times New Roman" w:eastAsia="方正小标宋_GBK"/>
          <w:sz w:val="44"/>
          <w:szCs w:val="44"/>
        </w:rPr>
      </w:pPr>
    </w:p>
    <w:tbl>
      <w:tblPr>
        <w:tblStyle w:val="3"/>
        <w:tblW w:w="0" w:type="auto"/>
        <w:jc w:val="center"/>
        <w:tblLayout w:type="autofit"/>
        <w:tblCellMar>
          <w:top w:w="0" w:type="dxa"/>
          <w:left w:w="108" w:type="dxa"/>
          <w:bottom w:w="0" w:type="dxa"/>
          <w:right w:w="108" w:type="dxa"/>
        </w:tblCellMar>
      </w:tblPr>
      <w:tblGrid>
        <w:gridCol w:w="824"/>
        <w:gridCol w:w="2042"/>
        <w:gridCol w:w="3525"/>
        <w:gridCol w:w="1095"/>
        <w:gridCol w:w="1036"/>
      </w:tblGrid>
      <w:tr w14:paraId="1F9C12B5">
        <w:tblPrEx>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07204BEC">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0DC4F5A5">
            <w:pPr>
              <w:spacing w:line="400" w:lineRule="exact"/>
              <w:jc w:val="center"/>
              <w:rPr>
                <w:rFonts w:hint="default" w:ascii="Times New Roman" w:hAnsi="Times New Roman" w:eastAsia="方正黑体_GBK"/>
                <w:sz w:val="28"/>
                <w:szCs w:val="28"/>
              </w:rPr>
            </w:pPr>
            <w:r>
              <w:rPr>
                <w:rFonts w:hint="eastAsia" w:ascii="Times New Roman" w:hAnsi="Times New Roman" w:eastAsia="方正黑体_GBK"/>
                <w:sz w:val="28"/>
                <w:szCs w:val="28"/>
                <w:lang w:eastAsia="zh-CN"/>
              </w:rPr>
              <w:t>检查</w:t>
            </w:r>
            <w:r>
              <w:rPr>
                <w:rFonts w:hint="default" w:ascii="Times New Roman" w:hAnsi="Times New Roman" w:eastAsia="方正黑体_GBK"/>
                <w:sz w:val="28"/>
                <w:szCs w:val="28"/>
              </w:rPr>
              <w:t>事项名称</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313E6A98">
            <w:pPr>
              <w:spacing w:line="400" w:lineRule="exact"/>
              <w:jc w:val="center"/>
              <w:rPr>
                <w:rFonts w:hint="default" w:ascii="Times New Roman" w:hAnsi="Times New Roman" w:eastAsia="方正黑体_GBK"/>
                <w:sz w:val="28"/>
                <w:szCs w:val="28"/>
              </w:rPr>
            </w:pPr>
            <w:r>
              <w:rPr>
                <w:rFonts w:hint="eastAsia" w:ascii="Times New Roman" w:hAnsi="Times New Roman" w:eastAsia="方正黑体_GBK"/>
                <w:sz w:val="28"/>
                <w:szCs w:val="28"/>
                <w:lang w:eastAsia="zh-CN"/>
              </w:rPr>
              <w:t>检查</w:t>
            </w:r>
            <w:r>
              <w:rPr>
                <w:rFonts w:hint="default" w:ascii="Times New Roman" w:hAnsi="Times New Roman" w:eastAsia="方正黑体_GBK"/>
                <w:sz w:val="28"/>
                <w:szCs w:val="28"/>
              </w:rPr>
              <w:t>依据</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B1CB88E">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实施</w:t>
            </w:r>
          </w:p>
          <w:p w14:paraId="2D8DE6B7">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层级</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688FF97">
            <w:pPr>
              <w:spacing w:line="400" w:lineRule="exact"/>
              <w:jc w:val="center"/>
              <w:rPr>
                <w:rFonts w:hint="default" w:ascii="Times New Roman" w:hAnsi="Times New Roman" w:eastAsia="方正黑体_GBK"/>
                <w:sz w:val="28"/>
                <w:szCs w:val="28"/>
              </w:rPr>
            </w:pPr>
            <w:r>
              <w:rPr>
                <w:rFonts w:hint="default" w:ascii="Times New Roman" w:hAnsi="Times New Roman" w:eastAsia="方正黑体_GBK"/>
                <w:sz w:val="28"/>
                <w:szCs w:val="28"/>
              </w:rPr>
              <w:t>备注</w:t>
            </w:r>
          </w:p>
        </w:tc>
      </w:tr>
      <w:tr w14:paraId="0A5A3F9E">
        <w:tblPrEx>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9FC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48DA5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对生产经营单位未建立事故隐患排查治理制度的处罚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0C2FFD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i w:val="0"/>
                <w:iCs w:val="0"/>
                <w:color w:val="000000"/>
                <w:kern w:val="0"/>
                <w:sz w:val="21"/>
                <w:szCs w:val="21"/>
                <w:u w:val="none"/>
                <w:lang w:val="en-US" w:eastAsia="zh-CN" w:bidi="ar"/>
              </w:rPr>
              <w:t>【法律】《中华人民共和国安全生产法》</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第一百零一条第五项</w:t>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（五）未建立事故隐患排查治理制度，或者重大事故隐患排查治理情况未按照规定报告的。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1CF0E3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AB0E87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0C928E0B">
        <w:tblPrEx>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836E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52D0B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对生产经营单位未按规定上报事故隐患排查治理统计分析表的处罚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6B158A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eastAsia="zh-CN"/>
              </w:rPr>
            </w:pPr>
            <w:r>
              <w:rPr>
                <w:rStyle w:val="9"/>
                <w:rFonts w:hint="default" w:ascii="Times New Roman" w:hAnsi="Times New Roman" w:eastAsia="方正仿宋_GBK" w:cs="Times New Roman"/>
                <w:sz w:val="21"/>
                <w:szCs w:val="21"/>
                <w:lang w:val="en-US" w:eastAsia="zh-CN" w:bidi="ar"/>
              </w:rPr>
              <w:t>【部门规章】《安全生产事故隐患排查治理暂行规定》</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第二十六条第二项</w:t>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生产经营单位违反本规定，有下列行为之一的，由安全监管监察部门给予警告，并处三万元以下的罚款：</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（二）未按规定上报事故隐患排查治理统计分析表的；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E1102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226EBA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46EF06C9">
        <w:tblPrEx>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ED13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3</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51689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对生产经营单位未制定事故隐患治理方案的处罚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248F3D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eastAsia="zh-CN"/>
              </w:rPr>
            </w:pPr>
            <w:r>
              <w:rPr>
                <w:rStyle w:val="9"/>
                <w:rFonts w:hint="default" w:ascii="Times New Roman" w:hAnsi="Times New Roman" w:eastAsia="方正仿宋_GBK" w:cs="Times New Roman"/>
                <w:sz w:val="21"/>
                <w:szCs w:val="21"/>
                <w:lang w:val="en-US" w:eastAsia="zh-CN" w:bidi="ar"/>
              </w:rPr>
              <w:t>【部门规章】《安全生产事故隐患排查治理暂行规定》</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第二十六条第三项</w:t>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生产经营单位违反本规定，有下列行为之一的，由安全监管监察部门给予警告，并处三万元以下的罚款：</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9"/>
                <w:rFonts w:hint="default" w:ascii="Times New Roman" w:hAnsi="Times New Roman" w:eastAsia="方正仿宋_GBK" w:cs="Times New Roman"/>
                <w:sz w:val="21"/>
                <w:szCs w:val="21"/>
                <w:lang w:val="en-US" w:eastAsia="zh-CN" w:bidi="ar"/>
              </w:rPr>
              <w:t>（三）未制定事故隐患治理方案的；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79B4D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B18A51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1C44E560">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3532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4</w:t>
            </w:r>
          </w:p>
        </w:tc>
        <w:tc>
          <w:tcPr>
            <w:tcW w:w="20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C4B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对</w:t>
            </w:r>
            <w:r>
              <w:rPr>
                <w:rFonts w:hint="eastAsia" w:ascii="Times New Roman" w:hAnsi="Times New Roman" w:eastAsia="方正仿宋_GBK" w:cs="Times New Roman"/>
                <w:sz w:val="21"/>
                <w:szCs w:val="21"/>
                <w:lang w:eastAsia="zh-CN"/>
              </w:rPr>
              <w:t>未</w:t>
            </w:r>
            <w:r>
              <w:rPr>
                <w:rFonts w:hint="default" w:ascii="Times New Roman" w:hAnsi="Times New Roman" w:eastAsia="方正仿宋_GBK" w:cs="Times New Roman"/>
                <w:sz w:val="21"/>
                <w:szCs w:val="21"/>
                <w:lang w:eastAsia="zh-CN"/>
              </w:rPr>
              <w:t>经</w:t>
            </w:r>
            <w:r>
              <w:rPr>
                <w:rFonts w:hint="default" w:ascii="Times New Roman" w:hAnsi="Times New Roman" w:eastAsia="方正仿宋_GBK" w:cs="Times New Roman"/>
                <w:sz w:val="21"/>
                <w:szCs w:val="21"/>
              </w:rPr>
              <w:t>风景名胜区管理机构审核，在风景名胜区内新建、改建、扩建建设项目的</w:t>
            </w:r>
            <w:r>
              <w:rPr>
                <w:rFonts w:hint="eastAsia" w:ascii="Times New Roman" w:hAnsi="Times New Roman" w:eastAsia="方正仿宋_GBK" w:cs="Times New Roman"/>
                <w:sz w:val="21"/>
                <w:szCs w:val="21"/>
                <w:lang w:eastAsia="zh-CN"/>
              </w:rPr>
              <w:t>处罚</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3C1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Style w:val="9"/>
                <w:rFonts w:hint="default" w:ascii="Times New Roman" w:hAnsi="Times New Roman" w:eastAsia="方正仿宋_GBK" w:cs="Times New Roman"/>
                <w:sz w:val="21"/>
                <w:szCs w:val="21"/>
                <w:lang w:val="en-US" w:eastAsia="zh-CN" w:bidi="ar"/>
              </w:rPr>
              <w:t>【</w:t>
            </w:r>
            <w:r>
              <w:rPr>
                <w:rStyle w:val="9"/>
                <w:rFonts w:hint="eastAsia" w:ascii="Times New Roman" w:hAnsi="Times New Roman" w:eastAsia="方正仿宋_GBK" w:cs="Times New Roman"/>
                <w:sz w:val="21"/>
                <w:szCs w:val="21"/>
                <w:lang w:val="en-US" w:eastAsia="zh-CN" w:bidi="ar"/>
              </w:rPr>
              <w:t>地方性法规</w:t>
            </w:r>
            <w:r>
              <w:rPr>
                <w:rStyle w:val="9"/>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rPr>
              <w:t>《南京市夫子庙秦淮风光带风景名胜区条例》</w:t>
            </w:r>
          </w:p>
          <w:p w14:paraId="196BC8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第五十九条</w:t>
            </w:r>
            <w:r>
              <w:rPr>
                <w:rFonts w:hint="eastAsia" w:ascii="Times New Roman" w:hAnsi="Times New Roman" w:eastAsia="方正仿宋_GBK" w:cs="Times New Roman"/>
                <w:sz w:val="21"/>
                <w:szCs w:val="21"/>
                <w:lang w:val="en-US" w:eastAsia="zh-CN"/>
              </w:rPr>
              <w:t xml:space="preserve">  违反本条例第四十二条第一款第一项规定，在风景名胜区内新建、改建、扩建建设项目，未经风景名胜区管理机构审核的，由风景名胜区管理机构责令停止建设、限期拆除，对个人处以二万元以上五万 元以下罚款，对单位处以二十万元以上五十万元以下罚款。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C1C3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1AEDDD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624C3C8F">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32E9A0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5</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CE46C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w:t>
            </w:r>
            <w:r>
              <w:rPr>
                <w:rFonts w:hint="eastAsia" w:ascii="Times New Roman" w:hAnsi="Times New Roman" w:eastAsia="方正仿宋_GBK" w:cs="Times New Roman"/>
                <w:sz w:val="21"/>
                <w:szCs w:val="21"/>
                <w:lang w:eastAsia="zh-CN"/>
              </w:rPr>
              <w:t>未</w:t>
            </w:r>
            <w:r>
              <w:rPr>
                <w:rFonts w:hint="default" w:ascii="Times New Roman" w:hAnsi="Times New Roman" w:eastAsia="方正仿宋_GBK" w:cs="Times New Roman"/>
                <w:sz w:val="21"/>
                <w:szCs w:val="21"/>
              </w:rPr>
              <w:t>经风景名胜区管理机构审核，举办商业展销活动的</w:t>
            </w:r>
            <w:r>
              <w:rPr>
                <w:rFonts w:hint="eastAsia" w:ascii="Times New Roman" w:hAnsi="Times New Roman" w:eastAsia="方正仿宋_GBK" w:cs="Times New Roman"/>
                <w:sz w:val="21"/>
                <w:szCs w:val="21"/>
                <w:lang w:eastAsia="zh-CN"/>
              </w:rPr>
              <w:t>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7FDE52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Style w:val="9"/>
                <w:rFonts w:hint="default" w:ascii="Times New Roman" w:hAnsi="Times New Roman" w:eastAsia="方正仿宋_GBK" w:cs="Times New Roman"/>
                <w:sz w:val="21"/>
                <w:szCs w:val="21"/>
                <w:lang w:val="en-US" w:eastAsia="zh-CN" w:bidi="ar"/>
              </w:rPr>
              <w:t>【</w:t>
            </w:r>
            <w:r>
              <w:rPr>
                <w:rStyle w:val="9"/>
                <w:rFonts w:hint="eastAsia" w:ascii="Times New Roman" w:hAnsi="Times New Roman" w:eastAsia="方正仿宋_GBK" w:cs="Times New Roman"/>
                <w:sz w:val="21"/>
                <w:szCs w:val="21"/>
                <w:lang w:val="en-US" w:eastAsia="zh-CN" w:bidi="ar"/>
              </w:rPr>
              <w:t>地方性法规</w:t>
            </w:r>
            <w:r>
              <w:rPr>
                <w:rStyle w:val="9"/>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rPr>
              <w:t>《南京市夫子庙秦淮风光带风景名胜区条例》</w:t>
            </w:r>
          </w:p>
          <w:p w14:paraId="594C5DC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第五十九条</w:t>
            </w:r>
            <w:r>
              <w:rPr>
                <w:rFonts w:hint="eastAsia" w:ascii="Times New Roman" w:hAnsi="Times New Roman" w:eastAsia="方正仿宋_GBK" w:cs="Times New Roman"/>
                <w:sz w:val="21"/>
                <w:szCs w:val="21"/>
                <w:lang w:val="en-US" w:eastAsia="zh-CN"/>
              </w:rPr>
              <w:t xml:space="preserve">  违反本条例第四十二条第一款第二项、第三项规定，未经风景名胜区管理机构审核，擅自挖掘、占用道路、河道或者举办商业展销活动的，由风景名胜区管理机构责令停止，限期改正；逾期不改正的，处以五千元以 上三万元以下罚款。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2102D3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54B7D2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2E0A0750">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CD75FA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6</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3BD15D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对风景名胜区内的夜景灯光照明、店招标牌设置和店面装饰，</w:t>
            </w:r>
            <w:r>
              <w:rPr>
                <w:rFonts w:hint="eastAsia" w:ascii="Times New Roman" w:hAnsi="Times New Roman" w:eastAsia="方正仿宋_GBK" w:cs="Times New Roman"/>
                <w:sz w:val="21"/>
                <w:szCs w:val="21"/>
                <w:lang w:eastAsia="zh-CN"/>
              </w:rPr>
              <w:t>不</w:t>
            </w:r>
            <w:r>
              <w:rPr>
                <w:rFonts w:hint="default" w:ascii="Times New Roman" w:hAnsi="Times New Roman" w:eastAsia="方正仿宋_GBK" w:cs="Times New Roman"/>
                <w:sz w:val="21"/>
                <w:szCs w:val="21"/>
              </w:rPr>
              <w:t>符合风景名胜区容貌标准的</w:t>
            </w:r>
            <w:r>
              <w:rPr>
                <w:rFonts w:hint="eastAsia" w:ascii="Times New Roman" w:hAnsi="Times New Roman" w:eastAsia="方正仿宋_GBK" w:cs="Times New Roman"/>
                <w:sz w:val="21"/>
                <w:szCs w:val="21"/>
                <w:lang w:eastAsia="zh-CN"/>
              </w:rPr>
              <w:t>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075B97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Style w:val="9"/>
                <w:rFonts w:hint="default" w:ascii="Times New Roman" w:hAnsi="Times New Roman" w:eastAsia="方正仿宋_GBK" w:cs="Times New Roman"/>
                <w:sz w:val="21"/>
                <w:szCs w:val="21"/>
                <w:lang w:val="en-US" w:eastAsia="zh-CN" w:bidi="ar"/>
              </w:rPr>
              <w:t>【</w:t>
            </w:r>
            <w:r>
              <w:rPr>
                <w:rStyle w:val="9"/>
                <w:rFonts w:hint="eastAsia" w:ascii="Times New Roman" w:hAnsi="Times New Roman" w:eastAsia="方正仿宋_GBK" w:cs="Times New Roman"/>
                <w:sz w:val="21"/>
                <w:szCs w:val="21"/>
                <w:lang w:val="en-US" w:eastAsia="zh-CN" w:bidi="ar"/>
              </w:rPr>
              <w:t>地方性法规</w:t>
            </w:r>
            <w:r>
              <w:rPr>
                <w:rStyle w:val="9"/>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rPr>
              <w:t>《南京市夫子庙秦淮风光带风景名胜区条例》</w:t>
            </w:r>
          </w:p>
          <w:p w14:paraId="54E2BB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第六十条</w:t>
            </w:r>
            <w:r>
              <w:rPr>
                <w:rFonts w:hint="eastAsia" w:ascii="Times New Roman" w:hAnsi="Times New Roman" w:eastAsia="方正仿宋_GBK" w:cs="Times New Roman"/>
                <w:sz w:val="21"/>
                <w:szCs w:val="21"/>
                <w:lang w:val="en-US" w:eastAsia="zh-CN"/>
              </w:rPr>
              <w:t xml:space="preserve">  违反本条例第四十八条第一款规定，风景名胜区内的夜景 灯光照明、店招标牌设置和店面装饰，不符合风景名胜区容貌标准的，由风景名胜区管理机构责令限期改正；逾期不改正的，处以一千元以上一万 元以下罚款。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FCF9AE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483EA2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6C6B4121">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14E24D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7</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4C9CB5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w:t>
            </w:r>
            <w:r>
              <w:rPr>
                <w:rFonts w:hint="eastAsia" w:ascii="Times New Roman" w:hAnsi="Times New Roman" w:eastAsia="方正仿宋_GBK" w:cs="Times New Roman"/>
                <w:sz w:val="21"/>
                <w:szCs w:val="21"/>
                <w:lang w:eastAsia="zh-CN"/>
              </w:rPr>
              <w:t>未</w:t>
            </w:r>
            <w:r>
              <w:rPr>
                <w:rFonts w:hint="default" w:ascii="Times New Roman" w:hAnsi="Times New Roman" w:eastAsia="方正仿宋_GBK" w:cs="Times New Roman"/>
                <w:sz w:val="21"/>
                <w:szCs w:val="21"/>
              </w:rPr>
              <w:t>按照风景名胜区容貌标准清洗、粉刷、修复临街建（构）筑物及其附属设施，影响风景名胜区景观的</w:t>
            </w:r>
            <w:r>
              <w:rPr>
                <w:rFonts w:hint="eastAsia" w:ascii="Times New Roman" w:hAnsi="Times New Roman" w:eastAsia="方正仿宋_GBK" w:cs="Times New Roman"/>
                <w:sz w:val="21"/>
                <w:szCs w:val="21"/>
                <w:lang w:eastAsia="zh-CN"/>
              </w:rPr>
              <w:t>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55145B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rPr>
            </w:pPr>
            <w:r>
              <w:rPr>
                <w:rStyle w:val="9"/>
                <w:rFonts w:hint="default" w:ascii="Times New Roman" w:hAnsi="Times New Roman" w:eastAsia="方正仿宋_GBK" w:cs="Times New Roman"/>
                <w:sz w:val="21"/>
                <w:szCs w:val="21"/>
                <w:lang w:val="en-US" w:eastAsia="zh-CN" w:bidi="ar"/>
              </w:rPr>
              <w:t>【</w:t>
            </w:r>
            <w:r>
              <w:rPr>
                <w:rStyle w:val="9"/>
                <w:rFonts w:hint="eastAsia" w:ascii="Times New Roman" w:hAnsi="Times New Roman" w:eastAsia="方正仿宋_GBK" w:cs="Times New Roman"/>
                <w:sz w:val="21"/>
                <w:szCs w:val="21"/>
                <w:lang w:val="en-US" w:eastAsia="zh-CN" w:bidi="ar"/>
              </w:rPr>
              <w:t>地方性法规</w:t>
            </w:r>
            <w:r>
              <w:rPr>
                <w:rStyle w:val="9"/>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rPr>
              <w:t>《南京市夫子庙秦淮风光带风景名胜区条例》</w:t>
            </w:r>
          </w:p>
          <w:p w14:paraId="0633ADA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第六十一条</w:t>
            </w:r>
            <w:r>
              <w:rPr>
                <w:rFonts w:hint="eastAsia" w:ascii="Times New Roman" w:hAnsi="Times New Roman" w:eastAsia="方正仿宋_GBK" w:cs="Times New Roman"/>
                <w:sz w:val="21"/>
                <w:szCs w:val="21"/>
                <w:lang w:val="en-US" w:eastAsia="zh-CN"/>
              </w:rPr>
              <w:t xml:space="preserve">  违反本条例第四十九条规定，风景名胜区内的建(构) 筑物及其附属设施所有权人、管理人或者使用人未按照风景名胜区容貌标 准清洗、粉刷、修复临街建(构)筑物及其附属设施，影响风景名胜区景观的，由风景名胜区管理机构责令限期改正。</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CB6FA5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523442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p>
        </w:tc>
      </w:tr>
      <w:tr w14:paraId="4FC77373">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8B488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588DB7DC">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对门窗上设置影响逃生、灭火救援的障碍物的处罚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56D3F5FA">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【法律】《中华人民共和国消防法》</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第六十条　单位违反本法规定，有下列行为之一的，责令改正，处五千元以上五万元以下罚款：</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（六）人员密集场所在门窗上设置影响逃生和灭火救援的障碍物的；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FDE86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E8D4F0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34580BB5">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B6C89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D96A76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对占用、堵塞、封闭疏散通道、安全出口或者有其他妨碍安全疏散行为的处罚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1579752C">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【法律】《中华人民共和国消防法》</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第六十条</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单位违反本法规定，有下列行为之一的，责令改正，处五千元以上五万元以下罚款</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三</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占用、堵塞、封闭疏散通道、安全出口或者有其他妨碍安全疏散行为的。个人有前款第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二</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三</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四</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五</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项行为之一的，处警告或者五百元以下罚款。对个人处罚，同时引用第六十条第二款。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06BAE0">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13A793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2FB68D9B">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49FDE8C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390D55D">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对占用、堵塞、封闭消防车通道，妨碍消防车通行的处罚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138F2254">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【法律】《中华人民共和国消防法》</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第六十条</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单位违反本法规定，有下列行为之一的，责令改正，处五千元以上五万元以下罚款</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五</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占用、堵塞、封闭消防车通道，妨碍消防车通行的。个人有前款第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二</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三</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四</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项、第</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五</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项行为之一的，处警告或者五百元以下罚款。对个人处罚，同时引用第六十条第二款。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AB0C1D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6DFAD8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64DA82A6">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2DBD1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321098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对人员密集场所防火门未按照规定保持常闭或者不能保证在火灾时自动关闭的处罚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4343515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【地方性法规】《江苏省消防条例》</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第八十三条第二款</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人员密集场所的疏散通道、楼梯间及前室的门，未按照规定保持常闭，或者不能保证在火灾时自动关闭的，由消防救援机构责令改正，处警告或者一千元以上二千元以下罚款。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A9A3F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930D73D">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0EF8894C">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58A84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34D000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对宾馆、饭店厨房油烟气管道以及大型商业综合体共用油烟气管道未按照规定定期清洗的处罚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185BD0B7">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【地方性法规】《南京市消防条例》</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第七十二条</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违反本条例第三十九条第三款规定，宾馆、饭店厨房油烟气管道以及大型商业综合体共用油烟气管道未按照规定定期清洗的，由消防救援机构责令限期改正</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逾期不改正的，处警告或者五百元以下罚款</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造成严重后果的，处二千元以上二万元以下罚款。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C76BCB4">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F9007C2">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4CA7FE6B">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57BFC96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5291CBE">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对生产、储存、经营其他场所与居住场所设置在同一建筑物内不符合消防技术标准的处罚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5361593D">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【法律】《中华人民共和国消防法》</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第六十一条</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生产、储存、经营其他物品的场所与居住场所设置在同一建筑物内，不符合消防技术标准的，依照前款规定处罚。</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BCA0A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A2E568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73BC322A">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4D400EA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2C2946D2">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对在高层民用建筑的公共门厅、疏散走道、楼梯间、安全出口停放电动自行车或者为电动自行车充电，拒不改正的处罚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73E8B35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【部门规章】《高层民用建筑消防安全管理规定》</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第四十七条</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违反本规定，有下列行为之一的，由消防救援机构责令改正，对经营性单位和个人处</w:t>
            </w:r>
            <w:r>
              <w:rPr>
                <w:rFonts w:hint="default" w:ascii="Times New Roman" w:hAnsi="Times New Roman" w:eastAsia="方正仿宋_GBK" w:cs="Times New Roman"/>
                <w:sz w:val="21"/>
                <w:szCs w:val="21"/>
                <w:lang w:val="en-US" w:eastAsia="zh-CN"/>
              </w:rPr>
              <w:t>2000</w:t>
            </w:r>
            <w:r>
              <w:rPr>
                <w:rFonts w:hint="eastAsia" w:ascii="Times New Roman" w:hAnsi="Times New Roman" w:eastAsia="方正仿宋_GBK" w:cs="Times New Roman"/>
                <w:sz w:val="21"/>
                <w:szCs w:val="21"/>
                <w:lang w:val="en-US" w:eastAsia="zh-CN"/>
              </w:rPr>
              <w:t>元以上</w:t>
            </w:r>
            <w:r>
              <w:rPr>
                <w:rFonts w:hint="default" w:ascii="Times New Roman" w:hAnsi="Times New Roman" w:eastAsia="方正仿宋_GBK" w:cs="Times New Roman"/>
                <w:sz w:val="21"/>
                <w:szCs w:val="21"/>
                <w:lang w:val="en-US" w:eastAsia="zh-CN"/>
              </w:rPr>
              <w:t>10000</w:t>
            </w:r>
            <w:r>
              <w:rPr>
                <w:rFonts w:hint="eastAsia" w:ascii="Times New Roman" w:hAnsi="Times New Roman" w:eastAsia="方正仿宋_GBK" w:cs="Times New Roman"/>
                <w:sz w:val="21"/>
                <w:szCs w:val="21"/>
                <w:lang w:val="en-US" w:eastAsia="zh-CN"/>
              </w:rPr>
              <w:t>元以下罚款，对非经营性单位和个人处</w:t>
            </w:r>
            <w:r>
              <w:rPr>
                <w:rFonts w:hint="default" w:ascii="Times New Roman" w:hAnsi="Times New Roman" w:eastAsia="方正仿宋_GBK" w:cs="Times New Roman"/>
                <w:sz w:val="21"/>
                <w:szCs w:val="21"/>
                <w:lang w:val="en-US" w:eastAsia="zh-CN"/>
              </w:rPr>
              <w:t>500</w:t>
            </w:r>
            <w:r>
              <w:rPr>
                <w:rFonts w:hint="eastAsia" w:ascii="Times New Roman" w:hAnsi="Times New Roman" w:eastAsia="方正仿宋_GBK" w:cs="Times New Roman"/>
                <w:sz w:val="21"/>
                <w:szCs w:val="21"/>
                <w:lang w:val="en-US" w:eastAsia="zh-CN"/>
              </w:rPr>
              <w:t>元以上</w:t>
            </w:r>
            <w:r>
              <w:rPr>
                <w:rFonts w:hint="default" w:ascii="Times New Roman" w:hAnsi="Times New Roman" w:eastAsia="方正仿宋_GBK" w:cs="Times New Roman"/>
                <w:sz w:val="21"/>
                <w:szCs w:val="21"/>
                <w:lang w:val="en-US" w:eastAsia="zh-CN"/>
              </w:rPr>
              <w:t>1000</w:t>
            </w:r>
            <w:r>
              <w:rPr>
                <w:rFonts w:hint="eastAsia" w:ascii="Times New Roman" w:hAnsi="Times New Roman" w:eastAsia="方正仿宋_GBK" w:cs="Times New Roman"/>
                <w:sz w:val="21"/>
                <w:szCs w:val="21"/>
                <w:lang w:val="en-US" w:eastAsia="zh-CN"/>
              </w:rPr>
              <w:t>元以下罚款</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七</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在高层民用建筑的公共门厅、疏散走道、楼梯间、安全出口停放电动自行车或者为电动自行车充电，拒不改正的。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DD73F2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AF4C5C6">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r w14:paraId="6E0DFF0B">
        <w:tblPrEx>
          <w:tblCellMar>
            <w:top w:w="0" w:type="dxa"/>
            <w:left w:w="108" w:type="dxa"/>
            <w:bottom w:w="0" w:type="dxa"/>
            <w:right w:w="108" w:type="dxa"/>
          </w:tblCellMar>
        </w:tblPrEx>
        <w:trPr>
          <w:trHeight w:val="110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237A00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5721162">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对携带电动自行车或者其蓄电池进入乘客电梯不听劝阻、制止的处罚</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301994E0">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【部门规章】《南京市电梯安全条例》</w:t>
            </w:r>
            <w:r>
              <w:rPr>
                <w:rFonts w:hint="default" w:ascii="Times New Roman" w:hAnsi="Times New Roman" w:eastAsia="方正仿宋_GBK" w:cs="Times New Roman"/>
                <w:sz w:val="21"/>
                <w:szCs w:val="21"/>
                <w:lang w:val="en-US" w:eastAsia="zh-CN"/>
              </w:rPr>
              <w:br w:type="textWrapping"/>
            </w:r>
            <w:r>
              <w:rPr>
                <w:rFonts w:hint="eastAsia" w:ascii="Times New Roman" w:hAnsi="Times New Roman" w:eastAsia="方正仿宋_GBK" w:cs="Times New Roman"/>
                <w:sz w:val="21"/>
                <w:szCs w:val="21"/>
                <w:lang w:val="en-US" w:eastAsia="zh-CN"/>
              </w:rPr>
              <w:t>第六十条</w:t>
            </w:r>
            <w:r>
              <w:rPr>
                <w:rFonts w:hint="default"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lang w:val="en-US" w:eastAsia="zh-CN"/>
              </w:rPr>
              <w:t>乘客违反本条例第三十二条第二款规定，携带电动自行车或者其蓄电池进入乘客电梯，拒不听从劝阻、制止的，由消防救援机构处以二百元以上一千元以下罚款。</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B7B7EFC">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区政府派出机构</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3279556">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1"/>
                <w:szCs w:val="21"/>
                <w:lang w:val="en-US" w:eastAsia="zh-CN"/>
              </w:rPr>
            </w:pPr>
          </w:p>
        </w:tc>
      </w:tr>
    </w:tbl>
    <w:p w14:paraId="5532E0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83EA3"/>
    <w:rsid w:val="06C83EA3"/>
    <w:rsid w:val="3BEE8D91"/>
    <w:rsid w:val="3DF24687"/>
    <w:rsid w:val="5F38017E"/>
    <w:rsid w:val="77FB1791"/>
    <w:rsid w:val="7BF5FA44"/>
    <w:rsid w:val="7D651DD6"/>
    <w:rsid w:val="7DF5BA24"/>
    <w:rsid w:val="D75F8630"/>
    <w:rsid w:val="EEEE555A"/>
    <w:rsid w:val="F6BA5243"/>
    <w:rsid w:val="FBCF3615"/>
    <w:rsid w:val="FC8FEF7A"/>
    <w:rsid w:val="FECF1169"/>
    <w:rsid w:val="FFE85D7C"/>
    <w:rsid w:val="FFFE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uiPriority w:val="0"/>
    <w:rPr>
      <w:rFonts w:hint="default" w:ascii="Times New Roman" w:hAnsi="Times New Roman" w:cs="Times New Roman"/>
      <w:color w:val="000000"/>
      <w:sz w:val="32"/>
      <w:szCs w:val="32"/>
      <w:u w:val="none"/>
    </w:rPr>
  </w:style>
  <w:style w:type="character" w:customStyle="1" w:styleId="6">
    <w:name w:val="font41"/>
    <w:basedOn w:val="4"/>
    <w:uiPriority w:val="0"/>
    <w:rPr>
      <w:rFonts w:hint="default" w:ascii="方正仿宋_GB2312" w:hAnsi="方正仿宋_GB2312" w:eastAsia="方正仿宋_GB2312" w:cs="方正仿宋_GB2312"/>
      <w:color w:val="FF0000"/>
      <w:sz w:val="32"/>
      <w:szCs w:val="32"/>
      <w:u w:val="none"/>
    </w:rPr>
  </w:style>
  <w:style w:type="character" w:customStyle="1" w:styleId="7">
    <w:name w:val="font51"/>
    <w:basedOn w:val="4"/>
    <w:qFormat/>
    <w:uiPriority w:val="0"/>
    <w:rPr>
      <w:rFonts w:hint="default" w:ascii="Times New Roman" w:hAnsi="Times New Roman" w:cs="Times New Roman"/>
      <w:color w:val="FF0000"/>
      <w:sz w:val="32"/>
      <w:szCs w:val="32"/>
      <w:u w:val="none"/>
    </w:rPr>
  </w:style>
  <w:style w:type="character" w:customStyle="1" w:styleId="8">
    <w:name w:val="font61"/>
    <w:basedOn w:val="4"/>
    <w:qFormat/>
    <w:uiPriority w:val="0"/>
    <w:rPr>
      <w:rFonts w:hint="default" w:ascii="Times New Roman" w:hAnsi="Times New Roman" w:cs="Times New Roman"/>
      <w:color w:val="000000"/>
      <w:sz w:val="18"/>
      <w:szCs w:val="18"/>
      <w:u w:val="none"/>
    </w:rPr>
  </w:style>
  <w:style w:type="character" w:customStyle="1" w:styleId="9">
    <w:name w:val="font2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2025-05-28T09:32:00Z</dcterms:created>
  <dc:creator>崔♥mao</dc:creator>
  <cp:lastModifiedBy>ZJY</cp:lastModifiedBy>
  <dcterms:modified xsi:type="dcterms:W3CDTF">2026-03-31T14:20:51Z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A18DA82ACAA44EF11363BA6993D25B9D_43</vt:lpwstr>
  </property>
  <property fmtid="{D5CDD505-2E9C-101B-9397-08002B2CF9AE}" pid="4" name="KSOTemplateDocerSaveRecord">
    <vt:lpwstr>eyJoZGlkIjoiYWQ5MTc2ZGI0ZGRhZjEzMDNlOGFjMjkyY2RiMTQ4ZjkiLCJ1c2VySWQiOiIzNTY0MzUzNzEifQ==</vt:lpwstr>
  </property>
</Properties>
</file>