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290A33">
      <w:pPr>
        <w:spacing w:line="600" w:lineRule="atLeast"/>
        <w:jc w:val="center"/>
        <w:rPr>
          <w:rFonts w:eastAsia="宋体" w:cs="Times New Roman"/>
          <w:b/>
          <w:sz w:val="48"/>
          <w:szCs w:val="48"/>
        </w:rPr>
      </w:pPr>
    </w:p>
    <w:p w14:paraId="113AD6A3">
      <w:pPr>
        <w:spacing w:line="600" w:lineRule="atLeast"/>
        <w:jc w:val="center"/>
        <w:rPr>
          <w:rFonts w:eastAsia="黑体" w:cs="Times New Roman"/>
          <w:b/>
          <w:sz w:val="48"/>
          <w:szCs w:val="48"/>
        </w:rPr>
      </w:pPr>
    </w:p>
    <w:p w14:paraId="59CE767A">
      <w:pPr>
        <w:spacing w:line="600" w:lineRule="atLeast"/>
        <w:jc w:val="center"/>
        <w:rPr>
          <w:rFonts w:eastAsia="黑体" w:cs="Times New Roman"/>
          <w:b/>
          <w:sz w:val="48"/>
          <w:szCs w:val="48"/>
        </w:rPr>
      </w:pPr>
    </w:p>
    <w:p w14:paraId="40407C44">
      <w:pPr>
        <w:spacing w:line="600" w:lineRule="atLeast"/>
        <w:jc w:val="center"/>
        <w:rPr>
          <w:rFonts w:eastAsia="方正小标宋_GBK" w:cs="Times New Roman"/>
          <w:sz w:val="44"/>
          <w:szCs w:val="44"/>
        </w:rPr>
      </w:pPr>
      <w:r>
        <w:rPr>
          <w:rFonts w:eastAsia="方正小标宋_GBK" w:cs="Times New Roman"/>
          <w:sz w:val="44"/>
          <w:szCs w:val="44"/>
        </w:rPr>
        <w:t>南京市秦淮区“十四五”水务发展规划</w:t>
      </w:r>
    </w:p>
    <w:p w14:paraId="79CFAC71">
      <w:pPr>
        <w:spacing w:line="600" w:lineRule="atLeast"/>
        <w:jc w:val="center"/>
        <w:rPr>
          <w:rFonts w:eastAsia="黑体" w:cs="Times New Roman"/>
          <w:b/>
          <w:sz w:val="48"/>
          <w:szCs w:val="48"/>
        </w:rPr>
      </w:pPr>
    </w:p>
    <w:p w14:paraId="7C6413E9">
      <w:pPr>
        <w:spacing w:line="600" w:lineRule="atLeast"/>
        <w:jc w:val="center"/>
        <w:rPr>
          <w:rFonts w:eastAsia="方正小标宋_GBK" w:cs="Times New Roman"/>
          <w:sz w:val="36"/>
          <w:szCs w:val="32"/>
        </w:rPr>
      </w:pPr>
      <w:r>
        <w:rPr>
          <w:rFonts w:eastAsia="方正小标宋_GBK" w:cs="Times New Roman"/>
          <w:sz w:val="36"/>
          <w:szCs w:val="32"/>
        </w:rPr>
        <w:t>（征求意见稿）</w:t>
      </w:r>
    </w:p>
    <w:p w14:paraId="457D3F16">
      <w:pPr>
        <w:spacing w:line="600" w:lineRule="atLeast"/>
        <w:jc w:val="center"/>
        <w:rPr>
          <w:rFonts w:eastAsia="黑体" w:cs="Times New Roman"/>
          <w:b/>
          <w:sz w:val="48"/>
          <w:szCs w:val="48"/>
        </w:rPr>
      </w:pPr>
    </w:p>
    <w:p w14:paraId="4603EB16">
      <w:pPr>
        <w:spacing w:line="600" w:lineRule="atLeast"/>
        <w:jc w:val="center"/>
        <w:rPr>
          <w:rFonts w:eastAsia="宋体" w:cs="Times New Roman"/>
          <w:b/>
          <w:sz w:val="52"/>
          <w:szCs w:val="52"/>
        </w:rPr>
      </w:pPr>
    </w:p>
    <w:p w14:paraId="196ED982">
      <w:pPr>
        <w:spacing w:line="600" w:lineRule="atLeast"/>
        <w:jc w:val="center"/>
        <w:rPr>
          <w:rFonts w:eastAsia="宋体" w:cs="Times New Roman"/>
          <w:b/>
          <w:sz w:val="52"/>
          <w:szCs w:val="52"/>
        </w:rPr>
      </w:pPr>
    </w:p>
    <w:p w14:paraId="28DF7C1A">
      <w:pPr>
        <w:spacing w:line="600" w:lineRule="atLeast"/>
        <w:jc w:val="center"/>
        <w:rPr>
          <w:rFonts w:eastAsia="宋体" w:cs="Times New Roman"/>
          <w:b/>
          <w:sz w:val="52"/>
          <w:szCs w:val="52"/>
        </w:rPr>
      </w:pPr>
    </w:p>
    <w:p w14:paraId="0DD7A598">
      <w:pPr>
        <w:spacing w:line="600" w:lineRule="atLeast"/>
        <w:jc w:val="center"/>
        <w:rPr>
          <w:rFonts w:eastAsia="宋体" w:cs="Times New Roman"/>
          <w:b/>
          <w:sz w:val="52"/>
          <w:szCs w:val="52"/>
        </w:rPr>
      </w:pPr>
    </w:p>
    <w:p w14:paraId="4FD3AC33">
      <w:pPr>
        <w:spacing w:line="600" w:lineRule="atLeast"/>
        <w:jc w:val="center"/>
        <w:rPr>
          <w:rFonts w:eastAsia="宋体" w:cs="Times New Roman"/>
          <w:b/>
          <w:sz w:val="52"/>
          <w:szCs w:val="52"/>
        </w:rPr>
      </w:pPr>
    </w:p>
    <w:p w14:paraId="40DEAFC6">
      <w:pPr>
        <w:spacing w:line="600" w:lineRule="atLeast"/>
        <w:jc w:val="center"/>
        <w:rPr>
          <w:rFonts w:eastAsia="宋体" w:cs="Times New Roman"/>
          <w:b/>
          <w:sz w:val="52"/>
          <w:szCs w:val="52"/>
        </w:rPr>
      </w:pPr>
    </w:p>
    <w:p w14:paraId="77F35D68">
      <w:pPr>
        <w:spacing w:line="600" w:lineRule="atLeast"/>
        <w:jc w:val="center"/>
        <w:rPr>
          <w:rFonts w:eastAsia="宋体" w:cs="Times New Roman"/>
          <w:b/>
          <w:sz w:val="52"/>
          <w:szCs w:val="52"/>
        </w:rPr>
      </w:pPr>
    </w:p>
    <w:p w14:paraId="2AC810E1">
      <w:pPr>
        <w:spacing w:line="600" w:lineRule="atLeast"/>
        <w:jc w:val="center"/>
        <w:rPr>
          <w:rFonts w:eastAsia="楷体_GB2312" w:cs="Times New Roman"/>
          <w:b/>
          <w:snapToGrid w:val="0"/>
          <w:spacing w:val="20"/>
          <w:kern w:val="6"/>
          <w:sz w:val="36"/>
          <w:szCs w:val="36"/>
          <w:lang w:val="zh-CN"/>
        </w:rPr>
      </w:pPr>
      <w:bookmarkStart w:id="0" w:name="_Toc25764811"/>
      <w:bookmarkStart w:id="1" w:name="_Toc26773285"/>
      <w:bookmarkStart w:id="2" w:name="_Toc415240088"/>
      <w:bookmarkStart w:id="3" w:name="_Toc25764897"/>
      <w:bookmarkStart w:id="4" w:name="_Toc360353789"/>
      <w:bookmarkStart w:id="5" w:name="_Toc28266410"/>
      <w:bookmarkStart w:id="6" w:name="_Toc26363394"/>
      <w:bookmarkStart w:id="7" w:name="_Toc28348895"/>
      <w:bookmarkStart w:id="8" w:name="_Toc26258312"/>
      <w:bookmarkStart w:id="9" w:name="_Toc25764738"/>
      <w:bookmarkStart w:id="10" w:name="_Toc415583743"/>
      <w:bookmarkStart w:id="11" w:name="_Toc415584482"/>
      <w:bookmarkStart w:id="12" w:name="_Toc25764943"/>
      <w:bookmarkStart w:id="13" w:name="_Toc26290019"/>
    </w:p>
    <w:p w14:paraId="6DE85E8D">
      <w:pPr>
        <w:spacing w:line="600" w:lineRule="atLeast"/>
        <w:jc w:val="center"/>
        <w:rPr>
          <w:rFonts w:eastAsia="黑体" w:cs="Times New Roman"/>
          <w:b/>
          <w:snapToGrid w:val="0"/>
          <w:spacing w:val="20"/>
          <w:kern w:val="6"/>
          <w:sz w:val="44"/>
          <w:szCs w:val="44"/>
          <w:lang w:val="zh-CN"/>
        </w:rPr>
      </w:pPr>
    </w:p>
    <w:p w14:paraId="586922EC">
      <w:pPr>
        <w:spacing w:line="600" w:lineRule="atLeast"/>
        <w:jc w:val="center"/>
        <w:rPr>
          <w:rFonts w:eastAsia="黑体" w:cs="Times New Roman"/>
          <w:b/>
          <w:snapToGrid w:val="0"/>
          <w:spacing w:val="20"/>
          <w:kern w:val="6"/>
          <w:sz w:val="44"/>
          <w:szCs w:val="44"/>
          <w:lang w:val="zh-CN"/>
        </w:rPr>
      </w:pPr>
    </w:p>
    <w:p w14:paraId="69620DC3">
      <w:pPr>
        <w:spacing w:line="600" w:lineRule="atLeast"/>
        <w:jc w:val="center"/>
        <w:rPr>
          <w:rFonts w:eastAsia="黑体" w:cs="Times New Roman"/>
          <w:b/>
          <w:snapToGrid w:val="0"/>
          <w:spacing w:val="20"/>
          <w:kern w:val="6"/>
          <w:sz w:val="44"/>
          <w:szCs w:val="44"/>
          <w:lang w:val="zh-CN"/>
        </w:rPr>
      </w:pPr>
    </w:p>
    <w:p w14:paraId="1B216FB5">
      <w:pPr>
        <w:spacing w:line="600" w:lineRule="atLeast"/>
        <w:jc w:val="center"/>
        <w:rPr>
          <w:rFonts w:eastAsia="方正小标宋_GBK" w:cs="Times New Roman"/>
          <w:snapToGrid w:val="0"/>
          <w:spacing w:val="20"/>
          <w:kern w:val="6"/>
          <w:szCs w:val="32"/>
          <w:lang w:val="zh-CN"/>
        </w:rPr>
      </w:pPr>
      <w:r>
        <w:rPr>
          <w:rFonts w:eastAsia="方正小标宋_GBK" w:cs="Times New Roman"/>
          <w:snapToGrid w:val="0"/>
          <w:spacing w:val="20"/>
          <w:kern w:val="6"/>
          <w:szCs w:val="32"/>
          <w:lang w:val="zh-CN"/>
        </w:rPr>
        <w:t>南京市秦淮水务局</w:t>
      </w:r>
    </w:p>
    <w:p w14:paraId="31B9F4C2">
      <w:pPr>
        <w:spacing w:line="600" w:lineRule="atLeast"/>
        <w:jc w:val="center"/>
        <w:rPr>
          <w:rFonts w:eastAsia="方正小标宋_GBK" w:cs="Times New Roman"/>
          <w:szCs w:val="32"/>
          <w:lang w:val="zh-CN"/>
        </w:rPr>
      </w:pPr>
      <w:r>
        <w:rPr>
          <w:rFonts w:eastAsia="方正小标宋_GBK" w:cs="Times New Roman"/>
          <w:szCs w:val="32"/>
          <w:lang w:val="zh-CN"/>
        </w:rPr>
        <w:t>2021年7月</w:t>
      </w:r>
      <w:bookmarkEnd w:id="0"/>
      <w:bookmarkEnd w:id="1"/>
      <w:bookmarkEnd w:id="2"/>
      <w:bookmarkEnd w:id="3"/>
      <w:bookmarkEnd w:id="4"/>
      <w:bookmarkEnd w:id="5"/>
      <w:bookmarkEnd w:id="6"/>
      <w:bookmarkEnd w:id="7"/>
      <w:bookmarkEnd w:id="8"/>
      <w:bookmarkEnd w:id="9"/>
      <w:bookmarkEnd w:id="10"/>
      <w:bookmarkEnd w:id="11"/>
      <w:bookmarkEnd w:id="12"/>
      <w:bookmarkEnd w:id="13"/>
    </w:p>
    <w:p w14:paraId="40173FBF">
      <w:pPr>
        <w:spacing w:line="600" w:lineRule="atLeast"/>
        <w:jc w:val="center"/>
        <w:rPr>
          <w:rFonts w:eastAsia="方正黑体_GBK" w:cs="Times New Roman"/>
          <w:b/>
          <w:szCs w:val="32"/>
        </w:rPr>
      </w:pPr>
    </w:p>
    <w:p w14:paraId="203A1F1A">
      <w:pPr>
        <w:spacing w:line="600" w:lineRule="atLeast"/>
        <w:jc w:val="center"/>
        <w:rPr>
          <w:rFonts w:eastAsia="方正黑体_GBK" w:cs="Times New Roman"/>
          <w:b/>
          <w:szCs w:val="32"/>
        </w:rPr>
      </w:pPr>
    </w:p>
    <w:p w14:paraId="18663F14">
      <w:pPr>
        <w:spacing w:line="600" w:lineRule="atLeast"/>
        <w:jc w:val="center"/>
        <w:rPr>
          <w:rFonts w:eastAsia="方正小标宋_GBK" w:cs="Times New Roman"/>
          <w:b/>
          <w:szCs w:val="32"/>
        </w:rPr>
      </w:pPr>
      <w:r>
        <w:rPr>
          <w:rFonts w:eastAsia="方正小标宋_GBK" w:cs="Times New Roman"/>
          <w:b/>
          <w:szCs w:val="32"/>
        </w:rPr>
        <w:t>序言</w:t>
      </w:r>
    </w:p>
    <w:p w14:paraId="6A38BCEB">
      <w:pPr>
        <w:spacing w:line="600" w:lineRule="atLeast"/>
        <w:ind w:firstLine="640" w:firstLineChars="200"/>
        <w:rPr>
          <w:rFonts w:cs="Times New Roman"/>
          <w:szCs w:val="32"/>
        </w:rPr>
      </w:pPr>
      <w:r>
        <w:rPr>
          <w:rFonts w:cs="Times New Roman"/>
          <w:szCs w:val="32"/>
        </w:rPr>
        <w:t>“十四五”时期（2021-2025年）是我国全面建成小康社会、实现第一个百年奋斗目标之后，开启全面建设社会主义现代化国家新征程、向第二个百年奋斗目标进军的第一个五年，是秦淮区深入贯彻党的十九大和十九届二中、三中、四中、五中全会精神，和省委十三届九次全会、市委十四届十一次全会精神，认真落实习近平新时代中国特色社会主义思想，特别是习近平总书记对江苏工作重要讲话指示精神，推动高质量发展，坚定“特而精、最南京”、“创新名城示范区，美丽古都核心区”目标追求，践行“争当表率、争做示范、走在前列”重大使命，建设“强富美高”新秦淮的关键阶段。</w:t>
      </w:r>
    </w:p>
    <w:p w14:paraId="04C2C17A">
      <w:pPr>
        <w:spacing w:line="600" w:lineRule="atLeast"/>
        <w:ind w:firstLine="640" w:firstLineChars="200"/>
        <w:rPr>
          <w:rFonts w:cs="Times New Roman"/>
          <w:szCs w:val="32"/>
        </w:rPr>
      </w:pPr>
      <w:r>
        <w:rPr>
          <w:rFonts w:cs="Times New Roman"/>
          <w:szCs w:val="32"/>
        </w:rPr>
        <w:t>“十四五”时期对于秦淮水务构筑新发展格局、实现高质量发展，率先基本实现现代化具有乘上启下的重大意义。全面评估秦淮区当前水务发展的基础，认清发展形势，明确发展需求，准确把握“十四五”水务发展方向、目标、制定合理的“十四五”水务发展专项规划，有效指导“十四五”期间补足水务短板，完善水务基础设施网络建设，强化监管能力，提升水务治理体系和治理能力现代化，为全区国民经济和社会发展提供坚强的基础支撑。</w:t>
      </w:r>
    </w:p>
    <w:p w14:paraId="163EC280">
      <w:pPr>
        <w:spacing w:line="600" w:lineRule="atLeast"/>
        <w:ind w:firstLine="640" w:firstLineChars="200"/>
        <w:rPr>
          <w:rFonts w:cs="Times New Roman"/>
          <w:szCs w:val="32"/>
        </w:rPr>
        <w:sectPr>
          <w:pgSz w:w="11906" w:h="16838"/>
          <w:pgMar w:top="1440" w:right="1800" w:bottom="1440" w:left="1800" w:header="851" w:footer="992" w:gutter="0"/>
          <w:pgNumType w:start="1"/>
          <w:cols w:space="425" w:num="1"/>
          <w:docGrid w:type="lines" w:linePitch="312" w:charSpace="0"/>
        </w:sectPr>
      </w:pPr>
      <w:r>
        <w:rPr>
          <w:rFonts w:cs="Times New Roman"/>
          <w:szCs w:val="32"/>
        </w:rPr>
        <w:t>本规划依据国家、江苏省及南京市国民经济和社会发展第十四个五年规划纲要，江苏省“十四五”水利发展规划等上位专项规划，南京城市总体规划、防洪规划及相关流域、区域水利规划编制，根据秦淮区水务发展的特点，制定“共建水系流域花园，共享美丽幸福河湖”的总体目标，围绕水安全、水资源、水环境、水生态、水文化、水管理六个方面，提出了“十四五”期间水务发展主要建设内容。本规划是秦淮区规划体系中的专项规划，是今后5年全区水务改革发展的重要依据。</w:t>
      </w:r>
    </w:p>
    <w:p w14:paraId="75842E6A">
      <w:pPr>
        <w:pStyle w:val="12"/>
        <w:spacing w:line="600" w:lineRule="atLeast"/>
        <w:rPr>
          <w:rFonts w:eastAsia="方正小标宋_GBK" w:cs="Times New Roman"/>
          <w:szCs w:val="32"/>
        </w:rPr>
      </w:pPr>
      <w:r>
        <w:rPr>
          <w:rFonts w:eastAsia="方正小标宋_GBK" w:cs="Times New Roman"/>
          <w:szCs w:val="32"/>
        </w:rPr>
        <w:t>目录</w:t>
      </w:r>
    </w:p>
    <w:p w14:paraId="79554A20">
      <w:pPr>
        <w:pStyle w:val="12"/>
        <w:rPr>
          <w:rFonts w:asciiTheme="minorHAnsi" w:hAnsiTheme="minorHAnsi" w:eastAsiaTheme="minorEastAsia"/>
          <w:b w:val="0"/>
          <w:sz w:val="20"/>
          <w:szCs w:val="22"/>
          <w:lang w:val="en-US"/>
        </w:rPr>
      </w:pPr>
      <w:r>
        <w:rPr>
          <w:rFonts w:eastAsia="方正仿宋_GBK" w:cs="Times New Roman"/>
          <w:b w:val="0"/>
          <w:sz w:val="24"/>
        </w:rPr>
        <w:fldChar w:fldCharType="begin"/>
      </w:r>
      <w:r>
        <w:rPr>
          <w:rFonts w:eastAsia="方正仿宋_GBK" w:cs="Times New Roman"/>
          <w:b w:val="0"/>
          <w:sz w:val="24"/>
        </w:rPr>
        <w:instrText xml:space="preserve"> TOC \o "1-2" \h \z \u </w:instrText>
      </w:r>
      <w:r>
        <w:rPr>
          <w:rFonts w:eastAsia="方正仿宋_GBK" w:cs="Times New Roman"/>
          <w:b w:val="0"/>
          <w:sz w:val="24"/>
        </w:rPr>
        <w:fldChar w:fldCharType="separate"/>
      </w:r>
      <w:r>
        <w:fldChar w:fldCharType="begin"/>
      </w:r>
      <w:r>
        <w:instrText xml:space="preserve"> HYPERLINK \l "_Toc81566726" </w:instrText>
      </w:r>
      <w:r>
        <w:fldChar w:fldCharType="separate"/>
      </w:r>
      <w:r>
        <w:rPr>
          <w:rStyle w:val="21"/>
          <w:rFonts w:eastAsia="方正黑体_GBK"/>
          <w:b w:val="0"/>
          <w:sz w:val="28"/>
        </w:rPr>
        <w:t>一、水务发展成就及面临形势</w:t>
      </w:r>
      <w:r>
        <w:rPr>
          <w:b w:val="0"/>
          <w:sz w:val="28"/>
        </w:rPr>
        <w:tab/>
      </w:r>
      <w:r>
        <w:rPr>
          <w:b w:val="0"/>
          <w:sz w:val="28"/>
        </w:rPr>
        <w:fldChar w:fldCharType="begin"/>
      </w:r>
      <w:r>
        <w:rPr>
          <w:b w:val="0"/>
          <w:sz w:val="28"/>
        </w:rPr>
        <w:instrText xml:space="preserve"> PAGEREF _Toc81566726 \h </w:instrText>
      </w:r>
      <w:r>
        <w:rPr>
          <w:b w:val="0"/>
          <w:sz w:val="28"/>
        </w:rPr>
        <w:fldChar w:fldCharType="separate"/>
      </w:r>
      <w:r>
        <w:rPr>
          <w:b w:val="0"/>
          <w:sz w:val="28"/>
        </w:rPr>
        <w:t>1</w:t>
      </w:r>
      <w:r>
        <w:rPr>
          <w:b w:val="0"/>
          <w:sz w:val="28"/>
        </w:rPr>
        <w:fldChar w:fldCharType="end"/>
      </w:r>
      <w:r>
        <w:rPr>
          <w:b w:val="0"/>
          <w:sz w:val="28"/>
        </w:rPr>
        <w:fldChar w:fldCharType="end"/>
      </w:r>
    </w:p>
    <w:p w14:paraId="3D4B6418">
      <w:pPr>
        <w:pStyle w:val="13"/>
        <w:tabs>
          <w:tab w:val="right" w:leader="dot" w:pos="8296"/>
        </w:tabs>
        <w:ind w:left="640"/>
        <w:rPr>
          <w:rFonts w:asciiTheme="minorHAnsi" w:hAnsiTheme="minorHAnsi" w:eastAsiaTheme="minorEastAsia"/>
          <w:sz w:val="20"/>
        </w:rPr>
      </w:pPr>
      <w:r>
        <w:fldChar w:fldCharType="begin"/>
      </w:r>
      <w:r>
        <w:instrText xml:space="preserve"> HYPERLINK \l "_Toc81566727" </w:instrText>
      </w:r>
      <w:r>
        <w:fldChar w:fldCharType="separate"/>
      </w:r>
      <w:r>
        <w:rPr>
          <w:rStyle w:val="21"/>
          <w:rFonts w:eastAsia="方正楷体_GBK" w:cs="Times New Roman"/>
          <w:sz w:val="28"/>
        </w:rPr>
        <w:t>（一）“十三五”水务发展成就</w:t>
      </w:r>
      <w:r>
        <w:rPr>
          <w:sz w:val="28"/>
        </w:rPr>
        <w:tab/>
      </w:r>
      <w:r>
        <w:rPr>
          <w:sz w:val="28"/>
        </w:rPr>
        <w:fldChar w:fldCharType="begin"/>
      </w:r>
      <w:r>
        <w:rPr>
          <w:sz w:val="28"/>
        </w:rPr>
        <w:instrText xml:space="preserve"> PAGEREF _Toc81566727 \h </w:instrText>
      </w:r>
      <w:r>
        <w:rPr>
          <w:sz w:val="28"/>
        </w:rPr>
        <w:fldChar w:fldCharType="separate"/>
      </w:r>
      <w:r>
        <w:rPr>
          <w:sz w:val="28"/>
        </w:rPr>
        <w:t>1</w:t>
      </w:r>
      <w:r>
        <w:rPr>
          <w:sz w:val="28"/>
        </w:rPr>
        <w:fldChar w:fldCharType="end"/>
      </w:r>
      <w:r>
        <w:rPr>
          <w:sz w:val="28"/>
        </w:rPr>
        <w:fldChar w:fldCharType="end"/>
      </w:r>
    </w:p>
    <w:p w14:paraId="4DD713EC">
      <w:pPr>
        <w:pStyle w:val="13"/>
        <w:tabs>
          <w:tab w:val="right" w:leader="dot" w:pos="8296"/>
        </w:tabs>
        <w:ind w:left="640"/>
        <w:rPr>
          <w:rFonts w:asciiTheme="minorHAnsi" w:hAnsiTheme="minorHAnsi" w:eastAsiaTheme="minorEastAsia"/>
          <w:sz w:val="20"/>
        </w:rPr>
      </w:pPr>
      <w:r>
        <w:fldChar w:fldCharType="begin"/>
      </w:r>
      <w:r>
        <w:instrText xml:space="preserve"> HYPERLINK \l "_Toc81566728" </w:instrText>
      </w:r>
      <w:r>
        <w:fldChar w:fldCharType="separate"/>
      </w:r>
      <w:r>
        <w:rPr>
          <w:rStyle w:val="21"/>
          <w:rFonts w:eastAsia="方正楷体_GBK" w:cs="Times New Roman"/>
          <w:sz w:val="28"/>
        </w:rPr>
        <w:t>（二）指标完成情况</w:t>
      </w:r>
      <w:r>
        <w:rPr>
          <w:sz w:val="28"/>
        </w:rPr>
        <w:tab/>
      </w:r>
      <w:r>
        <w:rPr>
          <w:sz w:val="28"/>
        </w:rPr>
        <w:fldChar w:fldCharType="begin"/>
      </w:r>
      <w:r>
        <w:rPr>
          <w:sz w:val="28"/>
        </w:rPr>
        <w:instrText xml:space="preserve"> PAGEREF _Toc81566728 \h </w:instrText>
      </w:r>
      <w:r>
        <w:rPr>
          <w:sz w:val="28"/>
        </w:rPr>
        <w:fldChar w:fldCharType="separate"/>
      </w:r>
      <w:r>
        <w:rPr>
          <w:sz w:val="28"/>
        </w:rPr>
        <w:t>14</w:t>
      </w:r>
      <w:r>
        <w:rPr>
          <w:sz w:val="28"/>
        </w:rPr>
        <w:fldChar w:fldCharType="end"/>
      </w:r>
      <w:r>
        <w:rPr>
          <w:sz w:val="28"/>
        </w:rPr>
        <w:fldChar w:fldCharType="end"/>
      </w:r>
    </w:p>
    <w:p w14:paraId="3380BB2F">
      <w:pPr>
        <w:pStyle w:val="13"/>
        <w:tabs>
          <w:tab w:val="right" w:leader="dot" w:pos="8296"/>
        </w:tabs>
        <w:ind w:left="640"/>
        <w:rPr>
          <w:rFonts w:asciiTheme="minorHAnsi" w:hAnsiTheme="minorHAnsi" w:eastAsiaTheme="minorEastAsia"/>
          <w:sz w:val="20"/>
        </w:rPr>
      </w:pPr>
      <w:r>
        <w:fldChar w:fldCharType="begin"/>
      </w:r>
      <w:r>
        <w:instrText xml:space="preserve"> HYPERLINK \l "_Toc81566729" </w:instrText>
      </w:r>
      <w:r>
        <w:fldChar w:fldCharType="separate"/>
      </w:r>
      <w:r>
        <w:rPr>
          <w:rStyle w:val="21"/>
          <w:rFonts w:eastAsia="方正楷体_GBK" w:cs="Times New Roman"/>
          <w:sz w:val="28"/>
        </w:rPr>
        <w:t>（三）水务发展面临形势和挑战</w:t>
      </w:r>
      <w:r>
        <w:rPr>
          <w:sz w:val="28"/>
        </w:rPr>
        <w:tab/>
      </w:r>
      <w:r>
        <w:rPr>
          <w:sz w:val="28"/>
        </w:rPr>
        <w:fldChar w:fldCharType="begin"/>
      </w:r>
      <w:r>
        <w:rPr>
          <w:sz w:val="28"/>
        </w:rPr>
        <w:instrText xml:space="preserve"> PAGEREF _Toc81566729 \h </w:instrText>
      </w:r>
      <w:r>
        <w:rPr>
          <w:sz w:val="28"/>
        </w:rPr>
        <w:fldChar w:fldCharType="separate"/>
      </w:r>
      <w:r>
        <w:rPr>
          <w:sz w:val="28"/>
        </w:rPr>
        <w:t>18</w:t>
      </w:r>
      <w:r>
        <w:rPr>
          <w:sz w:val="28"/>
        </w:rPr>
        <w:fldChar w:fldCharType="end"/>
      </w:r>
      <w:r>
        <w:rPr>
          <w:sz w:val="28"/>
        </w:rPr>
        <w:fldChar w:fldCharType="end"/>
      </w:r>
    </w:p>
    <w:p w14:paraId="71FD7E4A">
      <w:pPr>
        <w:pStyle w:val="12"/>
        <w:rPr>
          <w:rFonts w:asciiTheme="minorHAnsi" w:hAnsiTheme="minorHAnsi" w:eastAsiaTheme="minorEastAsia"/>
          <w:b w:val="0"/>
          <w:sz w:val="20"/>
          <w:szCs w:val="22"/>
          <w:lang w:val="en-US"/>
        </w:rPr>
      </w:pPr>
      <w:r>
        <w:fldChar w:fldCharType="begin"/>
      </w:r>
      <w:r>
        <w:instrText xml:space="preserve"> HYPERLINK \l "_Toc81566730" </w:instrText>
      </w:r>
      <w:r>
        <w:fldChar w:fldCharType="separate"/>
      </w:r>
      <w:r>
        <w:rPr>
          <w:rStyle w:val="21"/>
          <w:rFonts w:eastAsia="方正黑体_GBK"/>
          <w:b w:val="0"/>
          <w:sz w:val="28"/>
        </w:rPr>
        <w:t>二、“十四五”水务发展规划总体思路</w:t>
      </w:r>
      <w:r>
        <w:rPr>
          <w:b w:val="0"/>
          <w:sz w:val="28"/>
        </w:rPr>
        <w:tab/>
      </w:r>
      <w:r>
        <w:rPr>
          <w:b w:val="0"/>
          <w:sz w:val="28"/>
        </w:rPr>
        <w:fldChar w:fldCharType="begin"/>
      </w:r>
      <w:r>
        <w:rPr>
          <w:b w:val="0"/>
          <w:sz w:val="28"/>
        </w:rPr>
        <w:instrText xml:space="preserve"> PAGEREF _Toc81566730 \h </w:instrText>
      </w:r>
      <w:r>
        <w:rPr>
          <w:b w:val="0"/>
          <w:sz w:val="28"/>
        </w:rPr>
        <w:fldChar w:fldCharType="separate"/>
      </w:r>
      <w:r>
        <w:rPr>
          <w:b w:val="0"/>
          <w:sz w:val="28"/>
        </w:rPr>
        <w:t>25</w:t>
      </w:r>
      <w:r>
        <w:rPr>
          <w:b w:val="0"/>
          <w:sz w:val="28"/>
        </w:rPr>
        <w:fldChar w:fldCharType="end"/>
      </w:r>
      <w:r>
        <w:rPr>
          <w:b w:val="0"/>
          <w:sz w:val="28"/>
        </w:rPr>
        <w:fldChar w:fldCharType="end"/>
      </w:r>
    </w:p>
    <w:p w14:paraId="106E6569">
      <w:pPr>
        <w:pStyle w:val="13"/>
        <w:tabs>
          <w:tab w:val="right" w:leader="dot" w:pos="8296"/>
        </w:tabs>
        <w:ind w:left="640"/>
        <w:rPr>
          <w:rFonts w:asciiTheme="minorHAnsi" w:hAnsiTheme="minorHAnsi" w:eastAsiaTheme="minorEastAsia"/>
          <w:sz w:val="20"/>
        </w:rPr>
      </w:pPr>
      <w:r>
        <w:fldChar w:fldCharType="begin"/>
      </w:r>
      <w:r>
        <w:instrText xml:space="preserve"> HYPERLINK \l "_Toc81566731" </w:instrText>
      </w:r>
      <w:r>
        <w:fldChar w:fldCharType="separate"/>
      </w:r>
      <w:r>
        <w:rPr>
          <w:rStyle w:val="21"/>
          <w:rFonts w:eastAsia="方正楷体_GBK" w:cs="Times New Roman"/>
          <w:sz w:val="28"/>
        </w:rPr>
        <w:t>（一）指导思想</w:t>
      </w:r>
      <w:r>
        <w:rPr>
          <w:sz w:val="28"/>
        </w:rPr>
        <w:tab/>
      </w:r>
      <w:r>
        <w:rPr>
          <w:sz w:val="28"/>
        </w:rPr>
        <w:fldChar w:fldCharType="begin"/>
      </w:r>
      <w:r>
        <w:rPr>
          <w:sz w:val="28"/>
        </w:rPr>
        <w:instrText xml:space="preserve"> PAGEREF _Toc81566731 \h </w:instrText>
      </w:r>
      <w:r>
        <w:rPr>
          <w:sz w:val="28"/>
        </w:rPr>
        <w:fldChar w:fldCharType="separate"/>
      </w:r>
      <w:r>
        <w:rPr>
          <w:sz w:val="28"/>
        </w:rPr>
        <w:t>25</w:t>
      </w:r>
      <w:r>
        <w:rPr>
          <w:sz w:val="28"/>
        </w:rPr>
        <w:fldChar w:fldCharType="end"/>
      </w:r>
      <w:r>
        <w:rPr>
          <w:sz w:val="28"/>
        </w:rPr>
        <w:fldChar w:fldCharType="end"/>
      </w:r>
    </w:p>
    <w:p w14:paraId="75D6DFD3">
      <w:pPr>
        <w:pStyle w:val="13"/>
        <w:tabs>
          <w:tab w:val="right" w:leader="dot" w:pos="8296"/>
        </w:tabs>
        <w:ind w:left="640"/>
        <w:rPr>
          <w:rFonts w:asciiTheme="minorHAnsi" w:hAnsiTheme="minorHAnsi" w:eastAsiaTheme="minorEastAsia"/>
          <w:sz w:val="20"/>
        </w:rPr>
      </w:pPr>
      <w:r>
        <w:fldChar w:fldCharType="begin"/>
      </w:r>
      <w:r>
        <w:instrText xml:space="preserve"> HYPERLINK \l "_Toc81566732" </w:instrText>
      </w:r>
      <w:r>
        <w:fldChar w:fldCharType="separate"/>
      </w:r>
      <w:r>
        <w:rPr>
          <w:rStyle w:val="21"/>
          <w:rFonts w:eastAsia="方正楷体_GBK" w:cs="Times New Roman"/>
          <w:sz w:val="28"/>
        </w:rPr>
        <w:t>（二）规划原则</w:t>
      </w:r>
      <w:r>
        <w:rPr>
          <w:sz w:val="28"/>
        </w:rPr>
        <w:tab/>
      </w:r>
      <w:r>
        <w:rPr>
          <w:sz w:val="28"/>
        </w:rPr>
        <w:fldChar w:fldCharType="begin"/>
      </w:r>
      <w:r>
        <w:rPr>
          <w:sz w:val="28"/>
        </w:rPr>
        <w:instrText xml:space="preserve"> PAGEREF _Toc81566732 \h </w:instrText>
      </w:r>
      <w:r>
        <w:rPr>
          <w:sz w:val="28"/>
        </w:rPr>
        <w:fldChar w:fldCharType="separate"/>
      </w:r>
      <w:r>
        <w:rPr>
          <w:sz w:val="28"/>
        </w:rPr>
        <w:t>25</w:t>
      </w:r>
      <w:r>
        <w:rPr>
          <w:sz w:val="28"/>
        </w:rPr>
        <w:fldChar w:fldCharType="end"/>
      </w:r>
      <w:r>
        <w:rPr>
          <w:sz w:val="28"/>
        </w:rPr>
        <w:fldChar w:fldCharType="end"/>
      </w:r>
    </w:p>
    <w:p w14:paraId="217D5000">
      <w:pPr>
        <w:pStyle w:val="13"/>
        <w:tabs>
          <w:tab w:val="right" w:leader="dot" w:pos="8296"/>
        </w:tabs>
        <w:ind w:left="640"/>
        <w:rPr>
          <w:rFonts w:asciiTheme="minorHAnsi" w:hAnsiTheme="minorHAnsi" w:eastAsiaTheme="minorEastAsia"/>
          <w:sz w:val="20"/>
        </w:rPr>
      </w:pPr>
      <w:r>
        <w:fldChar w:fldCharType="begin"/>
      </w:r>
      <w:r>
        <w:instrText xml:space="preserve"> HYPERLINK \l "_Toc81566733" </w:instrText>
      </w:r>
      <w:r>
        <w:fldChar w:fldCharType="separate"/>
      </w:r>
      <w:r>
        <w:rPr>
          <w:rStyle w:val="21"/>
          <w:rFonts w:eastAsia="方正楷体_GBK" w:cs="Times New Roman"/>
          <w:sz w:val="28"/>
        </w:rPr>
        <w:t>（三）规划目标</w:t>
      </w:r>
      <w:r>
        <w:rPr>
          <w:sz w:val="28"/>
        </w:rPr>
        <w:tab/>
      </w:r>
      <w:r>
        <w:rPr>
          <w:sz w:val="28"/>
        </w:rPr>
        <w:fldChar w:fldCharType="begin"/>
      </w:r>
      <w:r>
        <w:rPr>
          <w:sz w:val="28"/>
        </w:rPr>
        <w:instrText xml:space="preserve"> PAGEREF _Toc81566733 \h </w:instrText>
      </w:r>
      <w:r>
        <w:rPr>
          <w:sz w:val="28"/>
        </w:rPr>
        <w:fldChar w:fldCharType="separate"/>
      </w:r>
      <w:r>
        <w:rPr>
          <w:sz w:val="28"/>
        </w:rPr>
        <w:t>27</w:t>
      </w:r>
      <w:r>
        <w:rPr>
          <w:sz w:val="28"/>
        </w:rPr>
        <w:fldChar w:fldCharType="end"/>
      </w:r>
      <w:r>
        <w:rPr>
          <w:sz w:val="28"/>
        </w:rPr>
        <w:fldChar w:fldCharType="end"/>
      </w:r>
    </w:p>
    <w:p w14:paraId="60FCED42">
      <w:pPr>
        <w:pStyle w:val="13"/>
        <w:tabs>
          <w:tab w:val="right" w:leader="dot" w:pos="8296"/>
        </w:tabs>
        <w:ind w:left="640"/>
        <w:rPr>
          <w:rFonts w:asciiTheme="minorHAnsi" w:hAnsiTheme="minorHAnsi" w:eastAsiaTheme="minorEastAsia"/>
          <w:sz w:val="20"/>
        </w:rPr>
      </w:pPr>
      <w:r>
        <w:fldChar w:fldCharType="begin"/>
      </w:r>
      <w:r>
        <w:instrText xml:space="preserve"> HYPERLINK \l "_Toc81566734" </w:instrText>
      </w:r>
      <w:r>
        <w:fldChar w:fldCharType="separate"/>
      </w:r>
      <w:r>
        <w:rPr>
          <w:rStyle w:val="21"/>
          <w:rFonts w:eastAsia="方正楷体_GBK" w:cs="Times New Roman"/>
          <w:sz w:val="28"/>
        </w:rPr>
        <w:t>（四）总体布局</w:t>
      </w:r>
      <w:r>
        <w:rPr>
          <w:sz w:val="28"/>
        </w:rPr>
        <w:tab/>
      </w:r>
      <w:r>
        <w:rPr>
          <w:sz w:val="28"/>
        </w:rPr>
        <w:fldChar w:fldCharType="begin"/>
      </w:r>
      <w:r>
        <w:rPr>
          <w:sz w:val="28"/>
        </w:rPr>
        <w:instrText xml:space="preserve"> PAGEREF _Toc81566734 \h </w:instrText>
      </w:r>
      <w:r>
        <w:rPr>
          <w:sz w:val="28"/>
        </w:rPr>
        <w:fldChar w:fldCharType="separate"/>
      </w:r>
      <w:r>
        <w:rPr>
          <w:sz w:val="28"/>
        </w:rPr>
        <w:t>30</w:t>
      </w:r>
      <w:r>
        <w:rPr>
          <w:sz w:val="28"/>
        </w:rPr>
        <w:fldChar w:fldCharType="end"/>
      </w:r>
      <w:r>
        <w:rPr>
          <w:sz w:val="28"/>
        </w:rPr>
        <w:fldChar w:fldCharType="end"/>
      </w:r>
    </w:p>
    <w:p w14:paraId="5CBB5B71">
      <w:pPr>
        <w:pStyle w:val="13"/>
        <w:tabs>
          <w:tab w:val="right" w:leader="dot" w:pos="8296"/>
        </w:tabs>
        <w:ind w:left="640"/>
        <w:rPr>
          <w:rFonts w:asciiTheme="minorHAnsi" w:hAnsiTheme="minorHAnsi" w:eastAsiaTheme="minorEastAsia"/>
          <w:sz w:val="20"/>
        </w:rPr>
      </w:pPr>
      <w:r>
        <w:fldChar w:fldCharType="begin"/>
      </w:r>
      <w:r>
        <w:instrText xml:space="preserve"> HYPERLINK \l "_Toc81566735" </w:instrText>
      </w:r>
      <w:r>
        <w:fldChar w:fldCharType="separate"/>
      </w:r>
      <w:r>
        <w:rPr>
          <w:rStyle w:val="21"/>
          <w:rFonts w:eastAsia="方正楷体_GBK" w:cs="Times New Roman"/>
          <w:sz w:val="28"/>
        </w:rPr>
        <w:t>（五）2035年远景目标</w:t>
      </w:r>
      <w:r>
        <w:rPr>
          <w:sz w:val="28"/>
        </w:rPr>
        <w:tab/>
      </w:r>
      <w:r>
        <w:rPr>
          <w:sz w:val="28"/>
        </w:rPr>
        <w:fldChar w:fldCharType="begin"/>
      </w:r>
      <w:r>
        <w:rPr>
          <w:sz w:val="28"/>
        </w:rPr>
        <w:instrText xml:space="preserve"> PAGEREF _Toc81566735 \h </w:instrText>
      </w:r>
      <w:r>
        <w:rPr>
          <w:sz w:val="28"/>
        </w:rPr>
        <w:fldChar w:fldCharType="separate"/>
      </w:r>
      <w:r>
        <w:rPr>
          <w:sz w:val="28"/>
        </w:rPr>
        <w:t>31</w:t>
      </w:r>
      <w:r>
        <w:rPr>
          <w:sz w:val="28"/>
        </w:rPr>
        <w:fldChar w:fldCharType="end"/>
      </w:r>
      <w:r>
        <w:rPr>
          <w:sz w:val="28"/>
        </w:rPr>
        <w:fldChar w:fldCharType="end"/>
      </w:r>
    </w:p>
    <w:p w14:paraId="692885BF">
      <w:pPr>
        <w:pStyle w:val="12"/>
        <w:rPr>
          <w:rFonts w:asciiTheme="minorHAnsi" w:hAnsiTheme="minorHAnsi" w:eastAsiaTheme="minorEastAsia"/>
          <w:b w:val="0"/>
          <w:sz w:val="20"/>
          <w:szCs w:val="22"/>
          <w:lang w:val="en-US"/>
        </w:rPr>
      </w:pPr>
      <w:r>
        <w:fldChar w:fldCharType="begin"/>
      </w:r>
      <w:r>
        <w:instrText xml:space="preserve"> HYPERLINK \l "_Toc81566736" </w:instrText>
      </w:r>
      <w:r>
        <w:fldChar w:fldCharType="separate"/>
      </w:r>
      <w:r>
        <w:rPr>
          <w:rStyle w:val="21"/>
          <w:rFonts w:eastAsia="方正黑体_GBK"/>
          <w:b w:val="0"/>
          <w:sz w:val="28"/>
        </w:rPr>
        <w:t>三、“十四五”水务发展重点任务</w:t>
      </w:r>
      <w:r>
        <w:rPr>
          <w:b w:val="0"/>
          <w:sz w:val="28"/>
        </w:rPr>
        <w:tab/>
      </w:r>
      <w:r>
        <w:rPr>
          <w:b w:val="0"/>
          <w:sz w:val="28"/>
        </w:rPr>
        <w:fldChar w:fldCharType="begin"/>
      </w:r>
      <w:r>
        <w:rPr>
          <w:b w:val="0"/>
          <w:sz w:val="28"/>
        </w:rPr>
        <w:instrText xml:space="preserve"> PAGEREF _Toc81566736 \h </w:instrText>
      </w:r>
      <w:r>
        <w:rPr>
          <w:b w:val="0"/>
          <w:sz w:val="28"/>
        </w:rPr>
        <w:fldChar w:fldCharType="separate"/>
      </w:r>
      <w:r>
        <w:rPr>
          <w:b w:val="0"/>
          <w:sz w:val="28"/>
        </w:rPr>
        <w:t>33</w:t>
      </w:r>
      <w:r>
        <w:rPr>
          <w:b w:val="0"/>
          <w:sz w:val="28"/>
        </w:rPr>
        <w:fldChar w:fldCharType="end"/>
      </w:r>
      <w:r>
        <w:rPr>
          <w:b w:val="0"/>
          <w:sz w:val="28"/>
        </w:rPr>
        <w:fldChar w:fldCharType="end"/>
      </w:r>
    </w:p>
    <w:p w14:paraId="5168D3E0">
      <w:pPr>
        <w:pStyle w:val="13"/>
        <w:tabs>
          <w:tab w:val="right" w:leader="dot" w:pos="8296"/>
        </w:tabs>
        <w:ind w:left="640"/>
        <w:rPr>
          <w:rFonts w:asciiTheme="minorHAnsi" w:hAnsiTheme="minorHAnsi" w:eastAsiaTheme="minorEastAsia"/>
          <w:sz w:val="20"/>
        </w:rPr>
      </w:pPr>
      <w:r>
        <w:fldChar w:fldCharType="begin"/>
      </w:r>
      <w:r>
        <w:instrText xml:space="preserve"> HYPERLINK \l "_Toc81566737" </w:instrText>
      </w:r>
      <w:r>
        <w:fldChar w:fldCharType="separate"/>
      </w:r>
      <w:r>
        <w:rPr>
          <w:rStyle w:val="21"/>
          <w:rFonts w:eastAsia="方正楷体_GBK" w:cs="Times New Roman"/>
          <w:sz w:val="28"/>
        </w:rPr>
        <w:t>（一）构筑高标准防洪除涝体系，建韧性城市</w:t>
      </w:r>
      <w:r>
        <w:rPr>
          <w:sz w:val="28"/>
        </w:rPr>
        <w:tab/>
      </w:r>
      <w:r>
        <w:rPr>
          <w:sz w:val="28"/>
        </w:rPr>
        <w:fldChar w:fldCharType="begin"/>
      </w:r>
      <w:r>
        <w:rPr>
          <w:sz w:val="28"/>
        </w:rPr>
        <w:instrText xml:space="preserve"> PAGEREF _Toc81566737 \h </w:instrText>
      </w:r>
      <w:r>
        <w:rPr>
          <w:sz w:val="28"/>
        </w:rPr>
        <w:fldChar w:fldCharType="separate"/>
      </w:r>
      <w:r>
        <w:rPr>
          <w:sz w:val="28"/>
        </w:rPr>
        <w:t>33</w:t>
      </w:r>
      <w:r>
        <w:rPr>
          <w:sz w:val="28"/>
        </w:rPr>
        <w:fldChar w:fldCharType="end"/>
      </w:r>
      <w:r>
        <w:rPr>
          <w:sz w:val="28"/>
        </w:rPr>
        <w:fldChar w:fldCharType="end"/>
      </w:r>
    </w:p>
    <w:p w14:paraId="6F7E41C5">
      <w:pPr>
        <w:pStyle w:val="13"/>
        <w:tabs>
          <w:tab w:val="right" w:leader="dot" w:pos="8296"/>
        </w:tabs>
        <w:ind w:left="640"/>
        <w:rPr>
          <w:rFonts w:asciiTheme="minorHAnsi" w:hAnsiTheme="minorHAnsi" w:eastAsiaTheme="minorEastAsia"/>
          <w:sz w:val="20"/>
        </w:rPr>
      </w:pPr>
      <w:r>
        <w:fldChar w:fldCharType="begin"/>
      </w:r>
      <w:r>
        <w:instrText xml:space="preserve"> HYPERLINK \l "_Toc81566738" </w:instrText>
      </w:r>
      <w:r>
        <w:fldChar w:fldCharType="separate"/>
      </w:r>
      <w:r>
        <w:rPr>
          <w:rStyle w:val="21"/>
          <w:rFonts w:eastAsia="方正楷体_GBK" w:cs="Times New Roman"/>
          <w:sz w:val="28"/>
        </w:rPr>
        <w:t>（二）建设高效能管网设施系统，促全面提升</w:t>
      </w:r>
      <w:r>
        <w:rPr>
          <w:sz w:val="28"/>
        </w:rPr>
        <w:tab/>
      </w:r>
      <w:r>
        <w:rPr>
          <w:sz w:val="28"/>
        </w:rPr>
        <w:fldChar w:fldCharType="begin"/>
      </w:r>
      <w:r>
        <w:rPr>
          <w:sz w:val="28"/>
        </w:rPr>
        <w:instrText xml:space="preserve"> PAGEREF _Toc81566738 \h </w:instrText>
      </w:r>
      <w:r>
        <w:rPr>
          <w:sz w:val="28"/>
        </w:rPr>
        <w:fldChar w:fldCharType="separate"/>
      </w:r>
      <w:r>
        <w:rPr>
          <w:sz w:val="28"/>
        </w:rPr>
        <w:t>34</w:t>
      </w:r>
      <w:r>
        <w:rPr>
          <w:sz w:val="28"/>
        </w:rPr>
        <w:fldChar w:fldCharType="end"/>
      </w:r>
      <w:r>
        <w:rPr>
          <w:sz w:val="28"/>
        </w:rPr>
        <w:fldChar w:fldCharType="end"/>
      </w:r>
    </w:p>
    <w:p w14:paraId="33DE70F7">
      <w:pPr>
        <w:pStyle w:val="13"/>
        <w:tabs>
          <w:tab w:val="right" w:leader="dot" w:pos="8296"/>
        </w:tabs>
        <w:ind w:left="640"/>
        <w:rPr>
          <w:rFonts w:asciiTheme="minorHAnsi" w:hAnsiTheme="minorHAnsi" w:eastAsiaTheme="minorEastAsia"/>
          <w:sz w:val="20"/>
        </w:rPr>
      </w:pPr>
      <w:r>
        <w:fldChar w:fldCharType="begin"/>
      </w:r>
      <w:r>
        <w:instrText xml:space="preserve"> HYPERLINK \l "_Toc81566739" </w:instrText>
      </w:r>
      <w:r>
        <w:fldChar w:fldCharType="separate"/>
      </w:r>
      <w:r>
        <w:rPr>
          <w:rStyle w:val="21"/>
          <w:rFonts w:eastAsia="方正楷体_GBK" w:cs="Times New Roman"/>
          <w:sz w:val="28"/>
        </w:rPr>
        <w:t>（三）构建高要求水资源管理体系，保优质高效</w:t>
      </w:r>
      <w:r>
        <w:rPr>
          <w:sz w:val="28"/>
        </w:rPr>
        <w:tab/>
      </w:r>
      <w:r>
        <w:rPr>
          <w:sz w:val="28"/>
        </w:rPr>
        <w:fldChar w:fldCharType="begin"/>
      </w:r>
      <w:r>
        <w:rPr>
          <w:sz w:val="28"/>
        </w:rPr>
        <w:instrText xml:space="preserve"> PAGEREF _Toc81566739 \h </w:instrText>
      </w:r>
      <w:r>
        <w:rPr>
          <w:sz w:val="28"/>
        </w:rPr>
        <w:fldChar w:fldCharType="separate"/>
      </w:r>
      <w:r>
        <w:rPr>
          <w:sz w:val="28"/>
        </w:rPr>
        <w:t>36</w:t>
      </w:r>
      <w:r>
        <w:rPr>
          <w:sz w:val="28"/>
        </w:rPr>
        <w:fldChar w:fldCharType="end"/>
      </w:r>
      <w:r>
        <w:rPr>
          <w:sz w:val="28"/>
        </w:rPr>
        <w:fldChar w:fldCharType="end"/>
      </w:r>
    </w:p>
    <w:p w14:paraId="38A3B077">
      <w:pPr>
        <w:pStyle w:val="13"/>
        <w:tabs>
          <w:tab w:val="right" w:leader="dot" w:pos="8296"/>
        </w:tabs>
        <w:ind w:left="640"/>
        <w:rPr>
          <w:rFonts w:asciiTheme="minorHAnsi" w:hAnsiTheme="minorHAnsi" w:eastAsiaTheme="minorEastAsia"/>
          <w:sz w:val="20"/>
        </w:rPr>
      </w:pPr>
      <w:r>
        <w:fldChar w:fldCharType="begin"/>
      </w:r>
      <w:r>
        <w:instrText xml:space="preserve"> HYPERLINK \l "_Toc81566740" </w:instrText>
      </w:r>
      <w:r>
        <w:fldChar w:fldCharType="separate"/>
      </w:r>
      <w:r>
        <w:rPr>
          <w:rStyle w:val="21"/>
          <w:rFonts w:eastAsia="方正楷体_GBK" w:cs="Times New Roman"/>
          <w:sz w:val="28"/>
        </w:rPr>
        <w:t>（四）打造高质量水环境生态集成，守长制久清</w:t>
      </w:r>
      <w:r>
        <w:rPr>
          <w:sz w:val="28"/>
        </w:rPr>
        <w:tab/>
      </w:r>
      <w:r>
        <w:rPr>
          <w:sz w:val="28"/>
        </w:rPr>
        <w:fldChar w:fldCharType="begin"/>
      </w:r>
      <w:r>
        <w:rPr>
          <w:sz w:val="28"/>
        </w:rPr>
        <w:instrText xml:space="preserve"> PAGEREF _Toc81566740 \h </w:instrText>
      </w:r>
      <w:r>
        <w:rPr>
          <w:sz w:val="28"/>
        </w:rPr>
        <w:fldChar w:fldCharType="separate"/>
      </w:r>
      <w:r>
        <w:rPr>
          <w:sz w:val="28"/>
        </w:rPr>
        <w:t>38</w:t>
      </w:r>
      <w:r>
        <w:rPr>
          <w:sz w:val="28"/>
        </w:rPr>
        <w:fldChar w:fldCharType="end"/>
      </w:r>
      <w:r>
        <w:rPr>
          <w:sz w:val="28"/>
        </w:rPr>
        <w:fldChar w:fldCharType="end"/>
      </w:r>
    </w:p>
    <w:p w14:paraId="31E2877A">
      <w:pPr>
        <w:pStyle w:val="13"/>
        <w:tabs>
          <w:tab w:val="right" w:leader="dot" w:pos="8296"/>
        </w:tabs>
        <w:ind w:left="640"/>
        <w:rPr>
          <w:rFonts w:asciiTheme="minorHAnsi" w:hAnsiTheme="minorHAnsi" w:eastAsiaTheme="minorEastAsia"/>
          <w:sz w:val="20"/>
        </w:rPr>
      </w:pPr>
      <w:r>
        <w:fldChar w:fldCharType="begin"/>
      </w:r>
      <w:r>
        <w:instrText xml:space="preserve"> HYPERLINK \l "_Toc81566741" </w:instrText>
      </w:r>
      <w:r>
        <w:fldChar w:fldCharType="separate"/>
      </w:r>
      <w:r>
        <w:rPr>
          <w:rStyle w:val="21"/>
          <w:rFonts w:eastAsia="方正楷体_GBK" w:cs="Times New Roman"/>
          <w:sz w:val="28"/>
        </w:rPr>
        <w:t>（五）塑造高品质文旅融合水名片，颂风雅秦淮</w:t>
      </w:r>
      <w:r>
        <w:rPr>
          <w:sz w:val="28"/>
        </w:rPr>
        <w:tab/>
      </w:r>
      <w:r>
        <w:rPr>
          <w:sz w:val="28"/>
        </w:rPr>
        <w:fldChar w:fldCharType="begin"/>
      </w:r>
      <w:r>
        <w:rPr>
          <w:sz w:val="28"/>
        </w:rPr>
        <w:instrText xml:space="preserve"> PAGEREF _Toc81566741 \h </w:instrText>
      </w:r>
      <w:r>
        <w:rPr>
          <w:sz w:val="28"/>
        </w:rPr>
        <w:fldChar w:fldCharType="separate"/>
      </w:r>
      <w:r>
        <w:rPr>
          <w:sz w:val="28"/>
        </w:rPr>
        <w:t>41</w:t>
      </w:r>
      <w:r>
        <w:rPr>
          <w:sz w:val="28"/>
        </w:rPr>
        <w:fldChar w:fldCharType="end"/>
      </w:r>
      <w:r>
        <w:rPr>
          <w:sz w:val="28"/>
        </w:rPr>
        <w:fldChar w:fldCharType="end"/>
      </w:r>
    </w:p>
    <w:p w14:paraId="28784084">
      <w:pPr>
        <w:pStyle w:val="13"/>
        <w:tabs>
          <w:tab w:val="right" w:leader="dot" w:pos="8296"/>
        </w:tabs>
        <w:ind w:left="640"/>
        <w:rPr>
          <w:rFonts w:asciiTheme="minorHAnsi" w:hAnsiTheme="minorHAnsi" w:eastAsiaTheme="minorEastAsia"/>
          <w:sz w:val="20"/>
        </w:rPr>
      </w:pPr>
      <w:r>
        <w:fldChar w:fldCharType="begin"/>
      </w:r>
      <w:r>
        <w:instrText xml:space="preserve"> HYPERLINK \l "_Toc81566742" </w:instrText>
      </w:r>
      <w:r>
        <w:fldChar w:fldCharType="separate"/>
      </w:r>
      <w:r>
        <w:rPr>
          <w:rStyle w:val="21"/>
          <w:rFonts w:eastAsia="方正楷体_GBK" w:cs="Times New Roman"/>
          <w:sz w:val="28"/>
        </w:rPr>
        <w:t>（六）推进高水平水监管能力建设，树服务标杆</w:t>
      </w:r>
      <w:r>
        <w:rPr>
          <w:sz w:val="28"/>
        </w:rPr>
        <w:tab/>
      </w:r>
      <w:r>
        <w:rPr>
          <w:sz w:val="28"/>
        </w:rPr>
        <w:fldChar w:fldCharType="begin"/>
      </w:r>
      <w:r>
        <w:rPr>
          <w:sz w:val="28"/>
        </w:rPr>
        <w:instrText xml:space="preserve"> PAGEREF _Toc81566742 \h </w:instrText>
      </w:r>
      <w:r>
        <w:rPr>
          <w:sz w:val="28"/>
        </w:rPr>
        <w:fldChar w:fldCharType="separate"/>
      </w:r>
      <w:r>
        <w:rPr>
          <w:sz w:val="28"/>
        </w:rPr>
        <w:t>43</w:t>
      </w:r>
      <w:r>
        <w:rPr>
          <w:sz w:val="28"/>
        </w:rPr>
        <w:fldChar w:fldCharType="end"/>
      </w:r>
      <w:r>
        <w:rPr>
          <w:sz w:val="28"/>
        </w:rPr>
        <w:fldChar w:fldCharType="end"/>
      </w:r>
    </w:p>
    <w:p w14:paraId="324C8AB9">
      <w:pPr>
        <w:pStyle w:val="12"/>
        <w:rPr>
          <w:rFonts w:asciiTheme="minorHAnsi" w:hAnsiTheme="minorHAnsi" w:eastAsiaTheme="minorEastAsia"/>
          <w:b w:val="0"/>
          <w:sz w:val="20"/>
          <w:szCs w:val="22"/>
          <w:lang w:val="en-US"/>
        </w:rPr>
      </w:pPr>
      <w:r>
        <w:fldChar w:fldCharType="begin"/>
      </w:r>
      <w:r>
        <w:instrText xml:space="preserve"> HYPERLINK \l "_Toc81566743" </w:instrText>
      </w:r>
      <w:r>
        <w:fldChar w:fldCharType="separate"/>
      </w:r>
      <w:r>
        <w:rPr>
          <w:rStyle w:val="21"/>
          <w:rFonts w:eastAsia="方正黑体_GBK"/>
          <w:b w:val="0"/>
          <w:sz w:val="28"/>
        </w:rPr>
        <w:t>四、保障措施</w:t>
      </w:r>
      <w:r>
        <w:rPr>
          <w:b w:val="0"/>
          <w:sz w:val="28"/>
        </w:rPr>
        <w:tab/>
      </w:r>
      <w:r>
        <w:rPr>
          <w:b w:val="0"/>
          <w:sz w:val="28"/>
        </w:rPr>
        <w:fldChar w:fldCharType="begin"/>
      </w:r>
      <w:r>
        <w:rPr>
          <w:b w:val="0"/>
          <w:sz w:val="28"/>
        </w:rPr>
        <w:instrText xml:space="preserve"> PAGEREF _Toc81566743 \h </w:instrText>
      </w:r>
      <w:r>
        <w:rPr>
          <w:b w:val="0"/>
          <w:sz w:val="28"/>
        </w:rPr>
        <w:fldChar w:fldCharType="separate"/>
      </w:r>
      <w:r>
        <w:rPr>
          <w:b w:val="0"/>
          <w:sz w:val="28"/>
        </w:rPr>
        <w:t>48</w:t>
      </w:r>
      <w:r>
        <w:rPr>
          <w:b w:val="0"/>
          <w:sz w:val="28"/>
        </w:rPr>
        <w:fldChar w:fldCharType="end"/>
      </w:r>
      <w:r>
        <w:rPr>
          <w:b w:val="0"/>
          <w:sz w:val="28"/>
        </w:rPr>
        <w:fldChar w:fldCharType="end"/>
      </w:r>
    </w:p>
    <w:p w14:paraId="4CD7A311">
      <w:pPr>
        <w:pStyle w:val="13"/>
        <w:tabs>
          <w:tab w:val="right" w:leader="dot" w:pos="8296"/>
        </w:tabs>
        <w:ind w:left="640"/>
        <w:rPr>
          <w:rFonts w:asciiTheme="minorHAnsi" w:hAnsiTheme="minorHAnsi" w:eastAsiaTheme="minorEastAsia"/>
          <w:sz w:val="20"/>
        </w:rPr>
      </w:pPr>
      <w:r>
        <w:fldChar w:fldCharType="begin"/>
      </w:r>
      <w:r>
        <w:instrText xml:space="preserve"> HYPERLINK \l "_Toc81566744" </w:instrText>
      </w:r>
      <w:r>
        <w:fldChar w:fldCharType="separate"/>
      </w:r>
      <w:r>
        <w:rPr>
          <w:rStyle w:val="21"/>
          <w:rFonts w:eastAsia="方正楷体_GBK" w:cs="Times New Roman"/>
          <w:sz w:val="28"/>
        </w:rPr>
        <w:t>（一）加强组织保障</w:t>
      </w:r>
      <w:r>
        <w:rPr>
          <w:sz w:val="28"/>
        </w:rPr>
        <w:tab/>
      </w:r>
      <w:r>
        <w:rPr>
          <w:sz w:val="28"/>
        </w:rPr>
        <w:fldChar w:fldCharType="begin"/>
      </w:r>
      <w:r>
        <w:rPr>
          <w:sz w:val="28"/>
        </w:rPr>
        <w:instrText xml:space="preserve"> PAGEREF _Toc81566744 \h </w:instrText>
      </w:r>
      <w:r>
        <w:rPr>
          <w:sz w:val="28"/>
        </w:rPr>
        <w:fldChar w:fldCharType="separate"/>
      </w:r>
      <w:r>
        <w:rPr>
          <w:sz w:val="28"/>
        </w:rPr>
        <w:t>48</w:t>
      </w:r>
      <w:r>
        <w:rPr>
          <w:sz w:val="28"/>
        </w:rPr>
        <w:fldChar w:fldCharType="end"/>
      </w:r>
      <w:r>
        <w:rPr>
          <w:sz w:val="28"/>
        </w:rPr>
        <w:fldChar w:fldCharType="end"/>
      </w:r>
    </w:p>
    <w:p w14:paraId="2791BDE4">
      <w:pPr>
        <w:pStyle w:val="13"/>
        <w:tabs>
          <w:tab w:val="right" w:leader="dot" w:pos="8296"/>
        </w:tabs>
        <w:ind w:left="640"/>
        <w:rPr>
          <w:rFonts w:asciiTheme="minorHAnsi" w:hAnsiTheme="minorHAnsi" w:eastAsiaTheme="minorEastAsia"/>
          <w:sz w:val="20"/>
        </w:rPr>
      </w:pPr>
      <w:r>
        <w:fldChar w:fldCharType="begin"/>
      </w:r>
      <w:r>
        <w:instrText xml:space="preserve"> HYPERLINK \l "_Toc81566745" </w:instrText>
      </w:r>
      <w:r>
        <w:fldChar w:fldCharType="separate"/>
      </w:r>
      <w:r>
        <w:rPr>
          <w:rStyle w:val="21"/>
          <w:rFonts w:eastAsia="方正楷体_GBK" w:cs="Times New Roman"/>
          <w:sz w:val="28"/>
        </w:rPr>
        <w:t>（二）严格依法治水</w:t>
      </w:r>
      <w:r>
        <w:rPr>
          <w:sz w:val="28"/>
        </w:rPr>
        <w:tab/>
      </w:r>
      <w:r>
        <w:rPr>
          <w:sz w:val="28"/>
        </w:rPr>
        <w:fldChar w:fldCharType="begin"/>
      </w:r>
      <w:r>
        <w:rPr>
          <w:sz w:val="28"/>
        </w:rPr>
        <w:instrText xml:space="preserve"> PAGEREF _Toc81566745 \h </w:instrText>
      </w:r>
      <w:r>
        <w:rPr>
          <w:sz w:val="28"/>
        </w:rPr>
        <w:fldChar w:fldCharType="separate"/>
      </w:r>
      <w:r>
        <w:rPr>
          <w:sz w:val="28"/>
        </w:rPr>
        <w:t>48</w:t>
      </w:r>
      <w:r>
        <w:rPr>
          <w:sz w:val="28"/>
        </w:rPr>
        <w:fldChar w:fldCharType="end"/>
      </w:r>
      <w:r>
        <w:rPr>
          <w:sz w:val="28"/>
        </w:rPr>
        <w:fldChar w:fldCharType="end"/>
      </w:r>
    </w:p>
    <w:p w14:paraId="71F29548">
      <w:pPr>
        <w:pStyle w:val="13"/>
        <w:tabs>
          <w:tab w:val="right" w:leader="dot" w:pos="8296"/>
        </w:tabs>
        <w:ind w:left="640"/>
        <w:rPr>
          <w:rFonts w:asciiTheme="minorHAnsi" w:hAnsiTheme="minorHAnsi" w:eastAsiaTheme="minorEastAsia"/>
          <w:sz w:val="20"/>
        </w:rPr>
      </w:pPr>
      <w:r>
        <w:fldChar w:fldCharType="begin"/>
      </w:r>
      <w:r>
        <w:instrText xml:space="preserve"> HYPERLINK \l "_Toc81566746" </w:instrText>
      </w:r>
      <w:r>
        <w:fldChar w:fldCharType="separate"/>
      </w:r>
      <w:r>
        <w:rPr>
          <w:rStyle w:val="21"/>
          <w:rFonts w:eastAsia="方正楷体_GBK" w:cs="Times New Roman"/>
          <w:sz w:val="28"/>
        </w:rPr>
        <w:t>（三）强化资金保障</w:t>
      </w:r>
      <w:r>
        <w:rPr>
          <w:sz w:val="28"/>
        </w:rPr>
        <w:tab/>
      </w:r>
      <w:r>
        <w:rPr>
          <w:sz w:val="28"/>
        </w:rPr>
        <w:fldChar w:fldCharType="begin"/>
      </w:r>
      <w:r>
        <w:rPr>
          <w:sz w:val="28"/>
        </w:rPr>
        <w:instrText xml:space="preserve"> PAGEREF _Toc81566746 \h </w:instrText>
      </w:r>
      <w:r>
        <w:rPr>
          <w:sz w:val="28"/>
        </w:rPr>
        <w:fldChar w:fldCharType="separate"/>
      </w:r>
      <w:r>
        <w:rPr>
          <w:sz w:val="28"/>
        </w:rPr>
        <w:t>49</w:t>
      </w:r>
      <w:r>
        <w:rPr>
          <w:sz w:val="28"/>
        </w:rPr>
        <w:fldChar w:fldCharType="end"/>
      </w:r>
      <w:r>
        <w:rPr>
          <w:sz w:val="28"/>
        </w:rPr>
        <w:fldChar w:fldCharType="end"/>
      </w:r>
    </w:p>
    <w:p w14:paraId="0A37558E">
      <w:pPr>
        <w:pStyle w:val="13"/>
        <w:tabs>
          <w:tab w:val="right" w:leader="dot" w:pos="8296"/>
        </w:tabs>
        <w:ind w:left="640"/>
        <w:rPr>
          <w:rFonts w:asciiTheme="minorHAnsi" w:hAnsiTheme="minorHAnsi" w:eastAsiaTheme="minorEastAsia"/>
          <w:sz w:val="20"/>
        </w:rPr>
      </w:pPr>
      <w:r>
        <w:fldChar w:fldCharType="begin"/>
      </w:r>
      <w:r>
        <w:instrText xml:space="preserve"> HYPERLINK \l "_Toc81566747" </w:instrText>
      </w:r>
      <w:r>
        <w:fldChar w:fldCharType="separate"/>
      </w:r>
      <w:r>
        <w:rPr>
          <w:rStyle w:val="21"/>
          <w:rFonts w:eastAsia="方正楷体_GBK" w:cs="Times New Roman"/>
          <w:sz w:val="28"/>
        </w:rPr>
        <w:t>（四）突出改革创新</w:t>
      </w:r>
      <w:r>
        <w:rPr>
          <w:sz w:val="28"/>
        </w:rPr>
        <w:tab/>
      </w:r>
      <w:r>
        <w:rPr>
          <w:sz w:val="28"/>
        </w:rPr>
        <w:fldChar w:fldCharType="begin"/>
      </w:r>
      <w:r>
        <w:rPr>
          <w:sz w:val="28"/>
        </w:rPr>
        <w:instrText xml:space="preserve"> PAGEREF _Toc81566747 \h </w:instrText>
      </w:r>
      <w:r>
        <w:rPr>
          <w:sz w:val="28"/>
        </w:rPr>
        <w:fldChar w:fldCharType="separate"/>
      </w:r>
      <w:r>
        <w:rPr>
          <w:sz w:val="28"/>
        </w:rPr>
        <w:t>49</w:t>
      </w:r>
      <w:r>
        <w:rPr>
          <w:sz w:val="28"/>
        </w:rPr>
        <w:fldChar w:fldCharType="end"/>
      </w:r>
      <w:r>
        <w:rPr>
          <w:sz w:val="28"/>
        </w:rPr>
        <w:fldChar w:fldCharType="end"/>
      </w:r>
    </w:p>
    <w:p w14:paraId="3830CB28">
      <w:pPr>
        <w:pStyle w:val="13"/>
        <w:tabs>
          <w:tab w:val="right" w:leader="dot" w:pos="8296"/>
        </w:tabs>
        <w:ind w:left="640"/>
        <w:rPr>
          <w:rFonts w:asciiTheme="minorHAnsi" w:hAnsiTheme="minorHAnsi" w:eastAsiaTheme="minorEastAsia"/>
          <w:sz w:val="20"/>
        </w:rPr>
      </w:pPr>
      <w:r>
        <w:fldChar w:fldCharType="begin"/>
      </w:r>
      <w:r>
        <w:instrText xml:space="preserve"> HYPERLINK \l "_Toc81566748" </w:instrText>
      </w:r>
      <w:r>
        <w:fldChar w:fldCharType="separate"/>
      </w:r>
      <w:r>
        <w:rPr>
          <w:rStyle w:val="21"/>
          <w:rFonts w:eastAsia="方正楷体_GBK" w:cs="Times New Roman"/>
          <w:sz w:val="28"/>
        </w:rPr>
        <w:t>（五）加强人才科技支撑</w:t>
      </w:r>
      <w:r>
        <w:rPr>
          <w:sz w:val="28"/>
        </w:rPr>
        <w:tab/>
      </w:r>
      <w:r>
        <w:rPr>
          <w:sz w:val="28"/>
        </w:rPr>
        <w:fldChar w:fldCharType="begin"/>
      </w:r>
      <w:r>
        <w:rPr>
          <w:sz w:val="28"/>
        </w:rPr>
        <w:instrText xml:space="preserve"> PAGEREF _Toc81566748 \h </w:instrText>
      </w:r>
      <w:r>
        <w:rPr>
          <w:sz w:val="28"/>
        </w:rPr>
        <w:fldChar w:fldCharType="separate"/>
      </w:r>
      <w:r>
        <w:rPr>
          <w:sz w:val="28"/>
        </w:rPr>
        <w:t>50</w:t>
      </w:r>
      <w:r>
        <w:rPr>
          <w:sz w:val="28"/>
        </w:rPr>
        <w:fldChar w:fldCharType="end"/>
      </w:r>
      <w:r>
        <w:rPr>
          <w:sz w:val="28"/>
        </w:rPr>
        <w:fldChar w:fldCharType="end"/>
      </w:r>
    </w:p>
    <w:p w14:paraId="024DD347">
      <w:pPr>
        <w:pStyle w:val="13"/>
        <w:tabs>
          <w:tab w:val="right" w:leader="dot" w:pos="8296"/>
        </w:tabs>
        <w:ind w:left="640"/>
        <w:rPr>
          <w:rFonts w:asciiTheme="minorHAnsi" w:hAnsiTheme="minorHAnsi" w:eastAsiaTheme="minorEastAsia"/>
          <w:sz w:val="20"/>
        </w:rPr>
      </w:pPr>
      <w:r>
        <w:fldChar w:fldCharType="begin"/>
      </w:r>
      <w:r>
        <w:instrText xml:space="preserve"> HYPERLINK \l "_Toc81566749" </w:instrText>
      </w:r>
      <w:r>
        <w:fldChar w:fldCharType="separate"/>
      </w:r>
      <w:r>
        <w:rPr>
          <w:rStyle w:val="21"/>
          <w:rFonts w:eastAsia="方正楷体_GBK" w:cs="Times New Roman"/>
          <w:sz w:val="28"/>
        </w:rPr>
        <w:t>（六）强化社会参与</w:t>
      </w:r>
      <w:r>
        <w:rPr>
          <w:sz w:val="28"/>
        </w:rPr>
        <w:tab/>
      </w:r>
      <w:r>
        <w:rPr>
          <w:sz w:val="28"/>
        </w:rPr>
        <w:fldChar w:fldCharType="begin"/>
      </w:r>
      <w:r>
        <w:rPr>
          <w:sz w:val="28"/>
        </w:rPr>
        <w:instrText xml:space="preserve"> PAGEREF _Toc81566749 \h </w:instrText>
      </w:r>
      <w:r>
        <w:rPr>
          <w:sz w:val="28"/>
        </w:rPr>
        <w:fldChar w:fldCharType="separate"/>
      </w:r>
      <w:r>
        <w:rPr>
          <w:sz w:val="28"/>
        </w:rPr>
        <w:t>51</w:t>
      </w:r>
      <w:r>
        <w:rPr>
          <w:sz w:val="28"/>
        </w:rPr>
        <w:fldChar w:fldCharType="end"/>
      </w:r>
      <w:r>
        <w:rPr>
          <w:sz w:val="28"/>
        </w:rPr>
        <w:fldChar w:fldCharType="end"/>
      </w:r>
    </w:p>
    <w:p w14:paraId="6B4C7411">
      <w:pPr>
        <w:pStyle w:val="12"/>
        <w:rPr>
          <w:rFonts w:asciiTheme="minorHAnsi" w:hAnsiTheme="minorHAnsi" w:eastAsiaTheme="minorEastAsia"/>
          <w:b w:val="0"/>
          <w:sz w:val="20"/>
          <w:szCs w:val="22"/>
          <w:lang w:val="en-US"/>
        </w:rPr>
      </w:pPr>
      <w:r>
        <w:fldChar w:fldCharType="begin"/>
      </w:r>
      <w:r>
        <w:instrText xml:space="preserve"> HYPERLINK \l "_Toc81566750" </w:instrText>
      </w:r>
      <w:r>
        <w:fldChar w:fldCharType="separate"/>
      </w:r>
      <w:r>
        <w:rPr>
          <w:rStyle w:val="21"/>
          <w:rFonts w:eastAsia="黑体"/>
          <w:b w:val="0"/>
          <w:sz w:val="28"/>
        </w:rPr>
        <w:t>附件：</w:t>
      </w:r>
      <w:r>
        <w:rPr>
          <w:b w:val="0"/>
          <w:sz w:val="28"/>
        </w:rPr>
        <w:tab/>
      </w:r>
      <w:r>
        <w:rPr>
          <w:b w:val="0"/>
          <w:sz w:val="28"/>
        </w:rPr>
        <w:fldChar w:fldCharType="begin"/>
      </w:r>
      <w:r>
        <w:rPr>
          <w:b w:val="0"/>
          <w:sz w:val="28"/>
        </w:rPr>
        <w:instrText xml:space="preserve"> PAGEREF _Toc81566750 \h </w:instrText>
      </w:r>
      <w:r>
        <w:rPr>
          <w:b w:val="0"/>
          <w:sz w:val="28"/>
        </w:rPr>
        <w:fldChar w:fldCharType="separate"/>
      </w:r>
      <w:r>
        <w:rPr>
          <w:b w:val="0"/>
          <w:sz w:val="28"/>
        </w:rPr>
        <w:t>52</w:t>
      </w:r>
      <w:r>
        <w:rPr>
          <w:b w:val="0"/>
          <w:sz w:val="28"/>
        </w:rPr>
        <w:fldChar w:fldCharType="end"/>
      </w:r>
      <w:r>
        <w:rPr>
          <w:b w:val="0"/>
          <w:sz w:val="28"/>
        </w:rPr>
        <w:fldChar w:fldCharType="end"/>
      </w:r>
    </w:p>
    <w:p w14:paraId="31DDA1CA">
      <w:pPr>
        <w:pStyle w:val="13"/>
        <w:tabs>
          <w:tab w:val="right" w:leader="dot" w:pos="8296"/>
        </w:tabs>
        <w:ind w:left="640"/>
        <w:rPr>
          <w:rFonts w:asciiTheme="minorHAnsi" w:hAnsiTheme="minorHAnsi" w:eastAsiaTheme="minorEastAsia"/>
          <w:sz w:val="20"/>
        </w:rPr>
      </w:pPr>
      <w:r>
        <w:fldChar w:fldCharType="begin"/>
      </w:r>
      <w:r>
        <w:instrText xml:space="preserve"> HYPERLINK \l "_Toc81566751" </w:instrText>
      </w:r>
      <w:r>
        <w:fldChar w:fldCharType="separate"/>
      </w:r>
      <w:r>
        <w:rPr>
          <w:rStyle w:val="21"/>
          <w:rFonts w:hint="eastAsia" w:ascii="方正楷体_GBK" w:eastAsia="方正楷体_GBK" w:cs="Times New Roman"/>
          <w:bCs/>
          <w:sz w:val="28"/>
        </w:rPr>
        <w:t>附表1 秦淮区“十三五”期间水务重点项目实施情况汇总表</w:t>
      </w:r>
      <w:r>
        <w:rPr>
          <w:sz w:val="28"/>
        </w:rPr>
        <w:tab/>
      </w:r>
      <w:r>
        <w:rPr>
          <w:sz w:val="28"/>
        </w:rPr>
        <w:fldChar w:fldCharType="begin"/>
      </w:r>
      <w:r>
        <w:rPr>
          <w:sz w:val="28"/>
        </w:rPr>
        <w:instrText xml:space="preserve"> PAGEREF _Toc81566751 \h </w:instrText>
      </w:r>
      <w:r>
        <w:rPr>
          <w:sz w:val="28"/>
        </w:rPr>
        <w:fldChar w:fldCharType="separate"/>
      </w:r>
      <w:r>
        <w:rPr>
          <w:sz w:val="28"/>
        </w:rPr>
        <w:t>52</w:t>
      </w:r>
      <w:r>
        <w:rPr>
          <w:sz w:val="28"/>
        </w:rPr>
        <w:fldChar w:fldCharType="end"/>
      </w:r>
      <w:r>
        <w:rPr>
          <w:sz w:val="28"/>
        </w:rPr>
        <w:fldChar w:fldCharType="end"/>
      </w:r>
    </w:p>
    <w:p w14:paraId="2271972F">
      <w:pPr>
        <w:pStyle w:val="13"/>
        <w:tabs>
          <w:tab w:val="right" w:leader="dot" w:pos="8296"/>
        </w:tabs>
        <w:ind w:left="640"/>
        <w:rPr>
          <w:rFonts w:asciiTheme="minorHAnsi" w:hAnsiTheme="minorHAnsi" w:eastAsiaTheme="minorEastAsia"/>
          <w:sz w:val="20"/>
        </w:rPr>
      </w:pPr>
      <w:r>
        <w:fldChar w:fldCharType="begin"/>
      </w:r>
      <w:r>
        <w:instrText xml:space="preserve"> HYPERLINK \l "_Toc81566752" </w:instrText>
      </w:r>
      <w:r>
        <w:fldChar w:fldCharType="separate"/>
      </w:r>
      <w:r>
        <w:rPr>
          <w:rStyle w:val="21"/>
          <w:rFonts w:hint="eastAsia" w:ascii="方正楷体_GBK" w:eastAsia="方正楷体_GBK" w:cs="Times New Roman"/>
          <w:bCs/>
          <w:sz w:val="28"/>
        </w:rPr>
        <w:t>附表2 秦淮区“十四五”期间水务重点项目计划表</w:t>
      </w:r>
      <w:r>
        <w:rPr>
          <w:sz w:val="28"/>
        </w:rPr>
        <w:tab/>
      </w:r>
      <w:r>
        <w:rPr>
          <w:sz w:val="28"/>
        </w:rPr>
        <w:fldChar w:fldCharType="begin"/>
      </w:r>
      <w:r>
        <w:rPr>
          <w:sz w:val="28"/>
        </w:rPr>
        <w:instrText xml:space="preserve"> PAGEREF _Toc81566752 \h </w:instrText>
      </w:r>
      <w:r>
        <w:rPr>
          <w:sz w:val="28"/>
        </w:rPr>
        <w:fldChar w:fldCharType="separate"/>
      </w:r>
      <w:r>
        <w:rPr>
          <w:sz w:val="28"/>
        </w:rPr>
        <w:t>55</w:t>
      </w:r>
      <w:r>
        <w:rPr>
          <w:sz w:val="28"/>
        </w:rPr>
        <w:fldChar w:fldCharType="end"/>
      </w:r>
      <w:r>
        <w:rPr>
          <w:sz w:val="28"/>
        </w:rPr>
        <w:fldChar w:fldCharType="end"/>
      </w:r>
    </w:p>
    <w:p w14:paraId="50719250">
      <w:pPr>
        <w:spacing w:line="600" w:lineRule="atLeast"/>
        <w:rPr>
          <w:rFonts w:eastAsia="楷体_GB2312" w:cs="Times New Roman"/>
          <w:lang w:val="zh-CN"/>
        </w:rPr>
        <w:sectPr>
          <w:footerReference r:id="rId3" w:type="default"/>
          <w:pgSz w:w="11906" w:h="16838"/>
          <w:pgMar w:top="1440" w:right="1800" w:bottom="1440" w:left="1800" w:header="851" w:footer="992" w:gutter="0"/>
          <w:cols w:space="425" w:num="1"/>
          <w:docGrid w:type="lines" w:linePitch="312" w:charSpace="0"/>
        </w:sectPr>
      </w:pPr>
      <w:r>
        <w:rPr>
          <w:rFonts w:cs="Times New Roman"/>
          <w:sz w:val="24"/>
          <w:szCs w:val="28"/>
          <w:lang w:val="zh-CN"/>
        </w:rPr>
        <w:fldChar w:fldCharType="end"/>
      </w:r>
    </w:p>
    <w:p w14:paraId="0477AB73">
      <w:pPr>
        <w:pStyle w:val="2"/>
        <w:spacing w:before="191" w:beforeLines="50" w:after="191" w:afterLines="50" w:line="600" w:lineRule="atLeast"/>
        <w:jc w:val="center"/>
        <w:rPr>
          <w:rFonts w:eastAsia="方正黑体_GBK"/>
        </w:rPr>
      </w:pPr>
      <w:bookmarkStart w:id="14" w:name="_Toc81566726"/>
      <w:r>
        <w:rPr>
          <w:rFonts w:eastAsia="方正黑体_GBK"/>
        </w:rPr>
        <w:t>一、水务发展成就及面临形势</w:t>
      </w:r>
      <w:bookmarkEnd w:id="14"/>
    </w:p>
    <w:p w14:paraId="1D609BA8">
      <w:pPr>
        <w:pStyle w:val="26"/>
        <w:spacing w:line="600" w:lineRule="atLeast"/>
        <w:rPr>
          <w:rFonts w:eastAsia="方正楷体_GBK" w:cs="Times New Roman"/>
          <w:sz w:val="32"/>
          <w:szCs w:val="32"/>
        </w:rPr>
      </w:pPr>
      <w:bookmarkStart w:id="15" w:name="_Toc81566727"/>
      <w:bookmarkStart w:id="16" w:name="_Toc14942329"/>
      <w:bookmarkStart w:id="17" w:name="_Toc14942326"/>
      <w:r>
        <w:rPr>
          <w:rFonts w:eastAsia="方正楷体_GBK" w:cs="Times New Roman"/>
          <w:sz w:val="32"/>
          <w:szCs w:val="32"/>
        </w:rPr>
        <w:t>（一）“十三五”水务发展成就</w:t>
      </w:r>
      <w:bookmarkEnd w:id="15"/>
    </w:p>
    <w:p w14:paraId="267072C5">
      <w:pPr>
        <w:pStyle w:val="32"/>
        <w:spacing w:line="600" w:lineRule="atLeast"/>
        <w:rPr>
          <w:rFonts w:eastAsia="方正楷体_GBK" w:cs="Times New Roman"/>
          <w:szCs w:val="32"/>
        </w:rPr>
      </w:pPr>
      <w:r>
        <w:rPr>
          <w:rFonts w:eastAsia="方正楷体_GBK" w:cs="Times New Roman"/>
          <w:szCs w:val="32"/>
        </w:rPr>
        <w:t>1、防洪减灾保障能力稳步提升</w:t>
      </w:r>
    </w:p>
    <w:p w14:paraId="5BFDE881">
      <w:pPr>
        <w:pStyle w:val="8"/>
        <w:kinsoku w:val="0"/>
        <w:overflowPunct w:val="0"/>
        <w:spacing w:before="97" w:line="600" w:lineRule="atLeast"/>
        <w:ind w:right="257" w:firstLine="578" w:firstLineChars="200"/>
        <w:rPr>
          <w:rFonts w:ascii="Times New Roman" w:eastAsia="方正仿宋_GBK" w:cs="Times New Roman"/>
          <w:spacing w:val="-4"/>
          <w:szCs w:val="32"/>
        </w:rPr>
      </w:pPr>
      <w:r>
        <w:rPr>
          <w:rFonts w:ascii="Times New Roman" w:eastAsia="方正仿宋_GBK" w:cs="Times New Roman"/>
          <w:spacing w:val="-4"/>
          <w:szCs w:val="32"/>
        </w:rPr>
        <w:t>“十三五”期间，秦淮区狠抓防汛防旱各项工作，五年间累计投入81256.64万元。区域内河道堤防、排水设施、非工程设施等防洪标准得到明显的提升。秦淮河堤防加固工程已经全面完成，区域水系河道整治工作有序推进，全区防洪减灾能力和保障能力得到进一步提升，成功应对了2016年秦淮河超历史洪水和2020年长江超历史、超保证洪水。</w:t>
      </w:r>
    </w:p>
    <w:p w14:paraId="70E1EBF1">
      <w:pPr>
        <w:pStyle w:val="8"/>
        <w:kinsoku w:val="0"/>
        <w:overflowPunct w:val="0"/>
        <w:spacing w:before="97" w:line="600" w:lineRule="atLeast"/>
        <w:ind w:right="257" w:firstLine="578" w:firstLineChars="200"/>
        <w:rPr>
          <w:rFonts w:ascii="Times New Roman" w:eastAsia="方正仿宋_GBK" w:cs="Times New Roman"/>
          <w:spacing w:val="-4"/>
          <w:szCs w:val="32"/>
        </w:rPr>
      </w:pPr>
      <w:r>
        <w:rPr>
          <w:rFonts w:ascii="Times New Roman" w:eastAsia="方正仿宋_GBK" w:cs="Times New Roman"/>
          <w:b/>
          <w:spacing w:val="-4"/>
          <w:szCs w:val="32"/>
        </w:rPr>
        <w:t>流域区域防洪能力稳步提升。</w:t>
      </w:r>
      <w:r>
        <w:rPr>
          <w:rFonts w:ascii="Times New Roman" w:eastAsia="方正仿宋_GBK" w:cs="Times New Roman"/>
          <w:spacing w:val="-4"/>
          <w:szCs w:val="32"/>
        </w:rPr>
        <w:t>完成了秦淮河上坊门桥至中和桥段综合整治工程，完成了长乐东路、石杨路西延段外秦淮河堤防加固及达标改造工程；实施了秦淮河中和桥至汉中门桥段清淤工程，总计实施堤防加固改造11.7km，河道清淤拓浚14.3km。完成秦淮河广洋段、肖家盘段、七桥瓮湿地公园段、象房南村段堤防消险4处；完成运粮河银龙桥至友谊路桥段</w:t>
      </w:r>
      <w:r>
        <w:rPr>
          <w:rFonts w:hint="eastAsia" w:ascii="Times New Roman" w:eastAsia="方正仿宋_GBK" w:cs="Times New Roman"/>
          <w:spacing w:val="-4"/>
          <w:szCs w:val="32"/>
        </w:rPr>
        <w:t>、</w:t>
      </w:r>
      <w:r>
        <w:rPr>
          <w:rFonts w:ascii="Times New Roman" w:eastAsia="方正仿宋_GBK" w:cs="Times New Roman"/>
          <w:spacing w:val="-4"/>
          <w:szCs w:val="32"/>
        </w:rPr>
        <w:t>友谊河四方新村段堤防消险工程。</w:t>
      </w:r>
    </w:p>
    <w:p w14:paraId="115F1F3D">
      <w:pPr>
        <w:pStyle w:val="8"/>
        <w:kinsoku w:val="0"/>
        <w:overflowPunct w:val="0"/>
        <w:spacing w:before="97" w:line="600" w:lineRule="atLeast"/>
        <w:ind w:right="257" w:firstLine="578" w:firstLineChars="200"/>
        <w:rPr>
          <w:rFonts w:ascii="Times New Roman" w:eastAsia="方正仿宋_GBK" w:cs="Times New Roman"/>
          <w:spacing w:val="-4"/>
          <w:szCs w:val="32"/>
        </w:rPr>
      </w:pPr>
      <w:r>
        <w:rPr>
          <w:rFonts w:ascii="Times New Roman" w:eastAsia="方正仿宋_GBK" w:cs="Times New Roman"/>
          <w:b/>
          <w:spacing w:val="-4"/>
          <w:szCs w:val="32"/>
        </w:rPr>
        <w:t>城市防洪排涝能力显著改善。</w:t>
      </w:r>
      <w:r>
        <w:rPr>
          <w:rFonts w:ascii="Times New Roman" w:eastAsia="方正仿宋_GBK" w:cs="Times New Roman"/>
          <w:spacing w:val="-4"/>
          <w:szCs w:val="32"/>
        </w:rPr>
        <w:t>完成南部新城响水河、机场河、广洋北河河道水系改造建设</w:t>
      </w:r>
      <w:r>
        <w:rPr>
          <w:rFonts w:hint="eastAsia" w:ascii="Times New Roman" w:eastAsia="方正仿宋_GBK" w:cs="Times New Roman"/>
          <w:spacing w:val="-4"/>
          <w:szCs w:val="32"/>
        </w:rPr>
        <w:t>；</w:t>
      </w:r>
      <w:r>
        <w:rPr>
          <w:rFonts w:ascii="Times New Roman" w:eastAsia="方正仿宋_GBK" w:cs="Times New Roman"/>
          <w:spacing w:val="-4"/>
          <w:szCs w:val="32"/>
        </w:rPr>
        <w:t>新建石杨路闸站、响水河泵站，完成翁家营泵站、肖家盘泵站等13座重点城市泵站改扩建，新增排水量约120m³/s。完成友谊河、</w:t>
      </w:r>
      <w:r>
        <w:rPr>
          <w:rFonts w:hint="eastAsia" w:ascii="Times New Roman" w:eastAsia="方正仿宋_GBK" w:cs="Times New Roman"/>
          <w:spacing w:val="-4"/>
          <w:szCs w:val="32"/>
        </w:rPr>
        <w:t>月牙湖</w:t>
      </w:r>
      <w:r>
        <w:rPr>
          <w:rFonts w:ascii="Times New Roman" w:eastAsia="方正仿宋_GBK" w:cs="Times New Roman"/>
          <w:spacing w:val="-4"/>
          <w:szCs w:val="32"/>
        </w:rPr>
        <w:t>、</w:t>
      </w:r>
      <w:r>
        <w:rPr>
          <w:rFonts w:hint="eastAsia" w:ascii="Times New Roman" w:eastAsia="方正仿宋_GBK" w:cs="Times New Roman"/>
          <w:spacing w:val="-4"/>
          <w:szCs w:val="32"/>
        </w:rPr>
        <w:t>内秦淮河</w:t>
      </w:r>
      <w:r>
        <w:rPr>
          <w:rFonts w:ascii="Times New Roman" w:eastAsia="方正仿宋_GBK" w:cs="Times New Roman"/>
          <w:spacing w:val="-4"/>
          <w:szCs w:val="32"/>
        </w:rPr>
        <w:t>等城市重点河道整治，对区内26条主要排涝河道进行疏浚。完成雨水管道清疏4445km，清捞雨水检查井32.8万余座，清理雨水收集井35.85万余座。开展积淹水点整治32处。完成内秦淮河朝天宫段和象房村泵站三孔闸修缮等河道泵站维修工作。</w:t>
      </w:r>
    </w:p>
    <w:p w14:paraId="111DD45B">
      <w:pPr>
        <w:pStyle w:val="8"/>
        <w:kinsoku w:val="0"/>
        <w:overflowPunct w:val="0"/>
        <w:spacing w:before="97" w:line="600" w:lineRule="atLeast"/>
        <w:ind w:right="257" w:firstLine="578" w:firstLineChars="200"/>
        <w:rPr>
          <w:rFonts w:ascii="Times New Roman" w:eastAsia="方正仿宋_GBK" w:cs="Times New Roman"/>
          <w:spacing w:val="-4"/>
          <w:szCs w:val="32"/>
        </w:rPr>
      </w:pPr>
      <w:r>
        <w:rPr>
          <w:rFonts w:ascii="Times New Roman" w:eastAsia="方正仿宋_GBK" w:cs="Times New Roman"/>
          <w:b/>
          <w:spacing w:val="-4"/>
          <w:szCs w:val="32"/>
        </w:rPr>
        <w:t>全面完成各项预案编制工作。</w:t>
      </w:r>
      <w:r>
        <w:rPr>
          <w:rFonts w:ascii="Times New Roman" w:eastAsia="方正仿宋_GBK" w:cs="Times New Roman"/>
          <w:spacing w:val="-4"/>
          <w:szCs w:val="32"/>
        </w:rPr>
        <w:t>编制了《秦淮区防洪水应急预案》、《秦淮区防台风预案》、《秦淮区防汛应急预案》、《秦淮区抗旱应急预案》、《内秦淮河河道水位调度预案》、《月牙湖水位调度预案》、《秦淮区易积淹水点应急处置预案》、《秦淮区堤防险情处置预案》。</w:t>
      </w:r>
    </w:p>
    <w:p w14:paraId="014E74F0">
      <w:pPr>
        <w:pStyle w:val="8"/>
        <w:kinsoku w:val="0"/>
        <w:overflowPunct w:val="0"/>
        <w:spacing w:before="97" w:line="600" w:lineRule="atLeast"/>
        <w:ind w:right="257" w:firstLine="578" w:firstLineChars="200"/>
        <w:rPr>
          <w:rFonts w:ascii="Times New Roman" w:eastAsia="方正仿宋_GBK" w:cs="Times New Roman"/>
          <w:spacing w:val="-4"/>
          <w:szCs w:val="32"/>
        </w:rPr>
      </w:pPr>
      <w:r>
        <w:rPr>
          <w:rFonts w:ascii="Times New Roman" w:eastAsia="方正仿宋_GBK" w:cs="Times New Roman"/>
          <w:b/>
          <w:spacing w:val="-4"/>
          <w:szCs w:val="32"/>
        </w:rPr>
        <w:t>防汛制度建设逐步得到完善。</w:t>
      </w:r>
      <w:r>
        <w:rPr>
          <w:rFonts w:ascii="Times New Roman" w:eastAsia="方正仿宋_GBK" w:cs="Times New Roman"/>
          <w:spacing w:val="-4"/>
          <w:szCs w:val="32"/>
        </w:rPr>
        <w:t>建立了区、街领导分片挂包防汛抗旱责任区机制，防汛抗旱工作组织、协调、指导、整改、督查等工作</w:t>
      </w:r>
      <w:r>
        <w:rPr>
          <w:rFonts w:hint="eastAsia" w:ascii="Times New Roman" w:eastAsia="方正仿宋_GBK" w:cs="Times New Roman"/>
          <w:spacing w:val="-4"/>
          <w:szCs w:val="32"/>
        </w:rPr>
        <w:t>统一协调</w:t>
      </w:r>
      <w:r>
        <w:rPr>
          <w:rFonts w:ascii="Times New Roman" w:eastAsia="方正仿宋_GBK" w:cs="Times New Roman"/>
          <w:spacing w:val="-4"/>
          <w:szCs w:val="32"/>
        </w:rPr>
        <w:t>。编制秦淮区年度防汛手册，包括秦淮区防汛组织责任机构联络通信表、秦淮区汛期应急抢险情况统计报表、秦淮区汛期受灾情况统计表、秦淮区汛期应急抢险投入情况统计表、秦淮区主要防汛物资统计表、秦淮区防汛抢险队伍情况统计表、秦淮区地下空间防汛责任人统计表、秦淮区隧道防汛责任统计表、秦淮区主要河道堤防巡查责任统计表、秦淮区防汛泵站责任统计表、秦淮区水闸防汛责任表、秦淮区易积淹水点整治责任表、秦淮区防汛(台风)应急响应管理细则、启动预警时参加应急指挥人员表、秦淮区防汛值班制度、秦淮区防汛工作图。</w:t>
      </w:r>
    </w:p>
    <w:p w14:paraId="7042D75E">
      <w:pPr>
        <w:pStyle w:val="8"/>
        <w:kinsoku w:val="0"/>
        <w:overflowPunct w:val="0"/>
        <w:spacing w:before="97" w:line="600" w:lineRule="atLeast"/>
        <w:ind w:right="257" w:firstLine="578" w:firstLineChars="200"/>
        <w:jc w:val="both"/>
        <w:rPr>
          <w:rFonts w:ascii="Times New Roman" w:eastAsia="方正仿宋_GBK" w:cs="Times New Roman"/>
          <w:spacing w:val="-4"/>
          <w:szCs w:val="32"/>
        </w:rPr>
      </w:pPr>
      <w:r>
        <w:rPr>
          <w:rFonts w:ascii="Times New Roman" w:eastAsia="方正仿宋_GBK" w:cs="Times New Roman"/>
          <w:b/>
          <w:spacing w:val="-4"/>
          <w:szCs w:val="32"/>
        </w:rPr>
        <w:t>注重预警与信息化管理。</w:t>
      </w:r>
      <w:r>
        <w:rPr>
          <w:rFonts w:ascii="Times New Roman" w:eastAsia="方正仿宋_GBK" w:cs="Times New Roman"/>
          <w:spacing w:val="-4"/>
          <w:szCs w:val="32"/>
        </w:rPr>
        <w:t>建成覆盖全区的水雨情监测体系、城市汛情监测体系和防汛防旱指挥信息系统；在22个排水泵站设置了泵站工作及前池水位遥测系统，在8个低洼道路、地下隧洞等易积淹水点安装了积水情况遥测系统。在区综治中心设置了省、市、区防汛防旱指挥视频终端系统，建立了区、街、社区三级防汛防旱组织机构，建立了区防汛防旱组织指挥、信息报告的微信群和QQ群。</w:t>
      </w:r>
    </w:p>
    <w:p w14:paraId="3376C6F3">
      <w:pPr>
        <w:pStyle w:val="32"/>
        <w:spacing w:line="600" w:lineRule="atLeast"/>
        <w:rPr>
          <w:rFonts w:eastAsia="方正楷体_GBK" w:cs="Times New Roman"/>
          <w:szCs w:val="32"/>
        </w:rPr>
      </w:pPr>
      <w:r>
        <w:rPr>
          <w:rFonts w:eastAsia="方正楷体_GBK" w:cs="Times New Roman"/>
          <w:szCs w:val="32"/>
        </w:rPr>
        <w:t>2、供水保障节水成效明显增强</w:t>
      </w:r>
    </w:p>
    <w:p w14:paraId="735C4C1B">
      <w:pPr>
        <w:pStyle w:val="8"/>
        <w:kinsoku w:val="0"/>
        <w:overflowPunct w:val="0"/>
        <w:spacing w:line="600" w:lineRule="atLeast"/>
        <w:ind w:firstLine="578" w:firstLineChars="200"/>
        <w:rPr>
          <w:rFonts w:ascii="Times New Roman" w:eastAsia="方正仿宋_GBK" w:cs="Times New Roman"/>
          <w:spacing w:val="-4"/>
          <w:szCs w:val="32"/>
        </w:rPr>
      </w:pPr>
      <w:r>
        <w:rPr>
          <w:rFonts w:ascii="Times New Roman" w:eastAsia="方正仿宋_GBK" w:cs="Times New Roman"/>
          <w:b/>
          <w:spacing w:val="-4"/>
          <w:szCs w:val="32"/>
        </w:rPr>
        <w:t>供水保障能力不断提高。</w:t>
      </w:r>
      <w:r>
        <w:rPr>
          <w:rFonts w:ascii="Times New Roman" w:eastAsia="方正仿宋_GBK" w:cs="Times New Roman"/>
          <w:spacing w:val="-4"/>
          <w:szCs w:val="32"/>
        </w:rPr>
        <w:t>秦淮区用水量主要包括城镇公共用水，居民生活用水和生态环境用水，“十三五”期间，出台《秦淮区最严格水资源管理制度实施方案》，用水总量严格控制在考核目标红线内，2019年全区用水总量约0.94亿m</w:t>
      </w:r>
      <w:r>
        <w:rPr>
          <w:rFonts w:ascii="Times New Roman" w:eastAsia="方正仿宋_GBK" w:cs="Times New Roman"/>
          <w:spacing w:val="-4"/>
          <w:szCs w:val="32"/>
          <w:vertAlign w:val="superscript"/>
        </w:rPr>
        <w:t>3</w:t>
      </w:r>
      <w:r>
        <w:rPr>
          <w:rFonts w:ascii="Times New Roman" w:eastAsia="方正仿宋_GBK" w:cs="Times New Roman"/>
          <w:spacing w:val="-4"/>
          <w:szCs w:val="32"/>
        </w:rPr>
        <w:t>；严格取水管理，全面开展取水口核查登记，确认红花河引换水工程1处取水口。水资源区域和行业间配置格局日趋完善，一般干旱年份，全区生活、生产用水基本不受影响，特殊干旱年份，城乡居民饮用水和重点行业用水有保障；秦淮区为南京水务集团供水范围，已全面落实区域供水全覆盖，实现城乡一体化供水的目标，供水设施规模已适度超前。</w:t>
      </w:r>
    </w:p>
    <w:p w14:paraId="4A8DED45">
      <w:pPr>
        <w:pStyle w:val="8"/>
        <w:kinsoku w:val="0"/>
        <w:overflowPunct w:val="0"/>
        <w:spacing w:before="97" w:line="600" w:lineRule="atLeast"/>
        <w:ind w:right="257" w:firstLine="578" w:firstLineChars="200"/>
        <w:rPr>
          <w:rFonts w:ascii="Times New Roman" w:eastAsia="方正仿宋_GBK" w:cs="Times New Roman"/>
          <w:spacing w:val="-4"/>
          <w:szCs w:val="32"/>
        </w:rPr>
      </w:pPr>
      <w:r>
        <w:rPr>
          <w:rFonts w:ascii="Times New Roman" w:eastAsia="方正仿宋_GBK" w:cs="Times New Roman"/>
          <w:spacing w:val="-4"/>
          <w:szCs w:val="32"/>
        </w:rPr>
        <w:t>“十三五”期间秦淮区全面完成城区二次供水改造任务，保障供水安全。积极推进非常规水资源利用，实施天阙苑等小区雨水收集系统建设，充分利用城东污水处理厂尾水约15万t/d补充运粮河生态需水量。</w:t>
      </w:r>
    </w:p>
    <w:p w14:paraId="55F090B6">
      <w:pPr>
        <w:pStyle w:val="8"/>
        <w:kinsoku w:val="0"/>
        <w:overflowPunct w:val="0"/>
        <w:spacing w:before="97" w:line="600" w:lineRule="atLeast"/>
        <w:ind w:right="257" w:firstLine="578" w:firstLineChars="200"/>
        <w:rPr>
          <w:rFonts w:ascii="Times New Roman" w:eastAsia="方正仿宋_GBK" w:cs="Times New Roman"/>
          <w:spacing w:val="-4"/>
          <w:szCs w:val="32"/>
        </w:rPr>
      </w:pPr>
      <w:r>
        <w:rPr>
          <w:rFonts w:ascii="Times New Roman" w:eastAsia="方正仿宋_GBK" w:cs="Times New Roman"/>
          <w:spacing w:val="-4"/>
          <w:szCs w:val="32"/>
        </w:rPr>
        <w:t>管网建设不断推进。秦淮区给水管网结构基本完善，北河口水厂通过汉中路、升州路和集庆路上的三条给水主干管向秦淮区供水。“十三五”期间，秦淮区配合市级实施区域供水工程建设，完成供水管道建设任务，城镇供水管网漏损率下降到9.36%。</w:t>
      </w:r>
    </w:p>
    <w:p w14:paraId="0B2BCBD3">
      <w:pPr>
        <w:pStyle w:val="8"/>
        <w:kinsoku w:val="0"/>
        <w:overflowPunct w:val="0"/>
        <w:spacing w:before="97" w:line="600" w:lineRule="atLeast"/>
        <w:ind w:right="257" w:firstLine="578" w:firstLineChars="200"/>
        <w:rPr>
          <w:rFonts w:ascii="Times New Roman" w:eastAsia="方正仿宋_GBK" w:cs="Times New Roman"/>
          <w:spacing w:val="-4"/>
          <w:szCs w:val="32"/>
        </w:rPr>
      </w:pPr>
      <w:r>
        <w:rPr>
          <w:rFonts w:ascii="Times New Roman" w:eastAsia="方正仿宋_GBK" w:cs="Times New Roman"/>
          <w:b/>
          <w:spacing w:val="-4"/>
          <w:szCs w:val="32"/>
        </w:rPr>
        <w:t>节水优先行动不断深化。</w:t>
      </w:r>
      <w:r>
        <w:rPr>
          <w:rFonts w:ascii="Times New Roman" w:eastAsia="方正仿宋_GBK" w:cs="Times New Roman"/>
          <w:spacing w:val="-4"/>
          <w:szCs w:val="32"/>
        </w:rPr>
        <w:t>秦淮区强化水资源刚性约束，使区域发展与水资源水环境承载力相适应。“十三五”期间，完善配套制度，出台了《秦淮区生态河湖行动计划》、《秦淮区水资源消耗总量和强度双控方案》，编制了《秦淮区水资源公报》；</w:t>
      </w:r>
    </w:p>
    <w:p w14:paraId="2A309FE7">
      <w:pPr>
        <w:pStyle w:val="8"/>
        <w:kinsoku w:val="0"/>
        <w:overflowPunct w:val="0"/>
        <w:spacing w:before="97" w:line="600" w:lineRule="atLeast"/>
        <w:ind w:right="257" w:firstLine="578" w:firstLineChars="200"/>
        <w:rPr>
          <w:rFonts w:ascii="Times New Roman" w:eastAsia="方正仿宋_GBK" w:cs="Times New Roman"/>
          <w:spacing w:val="-4"/>
          <w:szCs w:val="32"/>
        </w:rPr>
      </w:pPr>
      <w:r>
        <w:rPr>
          <w:rFonts w:ascii="Times New Roman" w:eastAsia="方正仿宋_GBK" w:cs="Times New Roman"/>
          <w:spacing w:val="-4"/>
          <w:szCs w:val="32"/>
        </w:rPr>
        <w:t>严格用水效率控制红线管理，积极推进节水型单位创建工作，节水型社会建设，共创建省、市、区级节水型单位95家；建成月牙湖区级节水教育基地，并申报市级节水教育基地；指导市第一医院完善资料，积极创建省级水效领跑者；2019年全区万元GDP用水量为8.11m</w:t>
      </w:r>
      <w:r>
        <w:rPr>
          <w:rFonts w:ascii="Times New Roman" w:eastAsia="方正仿宋_GBK" w:cs="Times New Roman"/>
          <w:spacing w:val="-4"/>
          <w:szCs w:val="32"/>
          <w:vertAlign w:val="superscript"/>
        </w:rPr>
        <w:t>3</w:t>
      </w:r>
      <w:r>
        <w:rPr>
          <w:rFonts w:ascii="Times New Roman" w:eastAsia="方正仿宋_GBK" w:cs="Times New Roman"/>
          <w:spacing w:val="-4"/>
          <w:szCs w:val="32"/>
        </w:rPr>
        <w:t>，较2015年分别下降23.8%。大力开展保护水、爱惜水和节约水主题宣传活动，结合“世界水日”“中国水周”开展形式多样的宣传活动，共开展节水讲座30余次，发放宣传册6000余份，营造浓厚的节水护水氛围。</w:t>
      </w:r>
    </w:p>
    <w:p w14:paraId="75D4B1F7">
      <w:pPr>
        <w:pStyle w:val="32"/>
        <w:spacing w:line="600" w:lineRule="atLeast"/>
        <w:rPr>
          <w:rFonts w:eastAsia="方正楷体_GBK" w:cs="Times New Roman"/>
          <w:szCs w:val="32"/>
        </w:rPr>
      </w:pPr>
      <w:r>
        <w:rPr>
          <w:rFonts w:eastAsia="方正楷体_GBK" w:cs="Times New Roman"/>
          <w:szCs w:val="32"/>
        </w:rPr>
        <w:t>3、污水收集处理体系更加完善</w:t>
      </w:r>
    </w:p>
    <w:p w14:paraId="2BAED935">
      <w:pPr>
        <w:pStyle w:val="8"/>
        <w:kinsoku w:val="0"/>
        <w:overflowPunct w:val="0"/>
        <w:spacing w:before="51" w:line="600" w:lineRule="atLeast"/>
        <w:ind w:right="113" w:firstLine="594" w:firstLineChars="200"/>
        <w:rPr>
          <w:rFonts w:ascii="Times New Roman" w:eastAsia="方正仿宋_GBK" w:cs="Times New Roman"/>
          <w:szCs w:val="32"/>
        </w:rPr>
      </w:pPr>
      <w:r>
        <w:rPr>
          <w:rFonts w:ascii="Times New Roman" w:eastAsia="方正仿宋_GBK" w:cs="Times New Roman"/>
          <w:b/>
          <w:szCs w:val="32"/>
        </w:rPr>
        <w:t>生活污水处理设施建设与改造。</w:t>
      </w:r>
      <w:r>
        <w:rPr>
          <w:rFonts w:ascii="Times New Roman" w:eastAsia="方正仿宋_GBK" w:cs="Times New Roman"/>
          <w:szCs w:val="32"/>
        </w:rPr>
        <w:t>根据全市统一部署，实施了友谊河及四方新村、安江河2座分散式污水处理净水站，</w:t>
      </w:r>
      <w:r>
        <w:rPr>
          <w:rFonts w:hint="eastAsia" w:ascii="Times New Roman" w:eastAsia="方正仿宋_GBK" w:cs="Times New Roman"/>
          <w:szCs w:val="32"/>
        </w:rPr>
        <w:t>以政府购买服务方式组织实施，</w:t>
      </w:r>
      <w:r>
        <w:rPr>
          <w:rFonts w:ascii="Times New Roman" w:eastAsia="方正仿宋_GBK" w:cs="Times New Roman"/>
          <w:szCs w:val="32"/>
        </w:rPr>
        <w:t>运营服务</w:t>
      </w:r>
      <w:r>
        <w:rPr>
          <w:rFonts w:hint="eastAsia" w:ascii="Times New Roman" w:eastAsia="方正仿宋_GBK" w:cs="Times New Roman"/>
          <w:szCs w:val="32"/>
        </w:rPr>
        <w:t>期</w:t>
      </w:r>
      <w:r>
        <w:rPr>
          <w:rFonts w:ascii="Times New Roman" w:eastAsia="方正仿宋_GBK" w:cs="Times New Roman"/>
          <w:szCs w:val="32"/>
        </w:rPr>
        <w:t>3年，按吨水处理费结算，新增临时污水处理能力2.05万m</w:t>
      </w:r>
      <w:r>
        <w:rPr>
          <w:rFonts w:ascii="Times New Roman" w:eastAsia="方正仿宋_GBK" w:cs="Times New Roman"/>
          <w:szCs w:val="32"/>
          <w:vertAlign w:val="superscript"/>
        </w:rPr>
        <w:t>3</w:t>
      </w:r>
      <w:r>
        <w:rPr>
          <w:rFonts w:ascii="Times New Roman" w:eastAsia="方正仿宋_GBK" w:cs="Times New Roman"/>
          <w:szCs w:val="32"/>
        </w:rPr>
        <w:t>/d，实现了经济效益和社会效益。</w:t>
      </w:r>
    </w:p>
    <w:p w14:paraId="5E2614EF">
      <w:pPr>
        <w:pStyle w:val="8"/>
        <w:kinsoku w:val="0"/>
        <w:overflowPunct w:val="0"/>
        <w:spacing w:before="51" w:line="600" w:lineRule="atLeast"/>
        <w:ind w:right="113" w:firstLine="594" w:firstLineChars="200"/>
        <w:rPr>
          <w:rFonts w:ascii="Times New Roman" w:eastAsia="方正仿宋_GBK" w:cs="Times New Roman"/>
          <w:szCs w:val="32"/>
          <w:highlight w:val="yellow"/>
        </w:rPr>
      </w:pPr>
      <w:r>
        <w:rPr>
          <w:rFonts w:ascii="Times New Roman" w:eastAsia="方正仿宋_GBK" w:cs="Times New Roman"/>
          <w:b/>
          <w:szCs w:val="32"/>
        </w:rPr>
        <w:t>污水收集管网建设与改造。</w:t>
      </w:r>
      <w:r>
        <w:rPr>
          <w:rFonts w:hint="eastAsia" w:ascii="Times New Roman" w:eastAsia="方正仿宋_GBK" w:cs="Times New Roman"/>
          <w:b/>
          <w:szCs w:val="32"/>
        </w:rPr>
        <w:t>“</w:t>
      </w:r>
      <w:r>
        <w:rPr>
          <w:rFonts w:hint="eastAsia" w:ascii="Times New Roman" w:eastAsia="方正仿宋_GBK" w:cs="Times New Roman"/>
          <w:szCs w:val="32"/>
        </w:rPr>
        <w:t>十三五</w:t>
      </w:r>
      <w:r>
        <w:rPr>
          <w:rFonts w:hint="eastAsia" w:ascii="Times New Roman" w:eastAsia="方正仿宋_GBK" w:cs="Times New Roman"/>
          <w:b/>
          <w:szCs w:val="32"/>
        </w:rPr>
        <w:t>”</w:t>
      </w:r>
      <w:r>
        <w:rPr>
          <w:rFonts w:hint="eastAsia" w:ascii="Times New Roman" w:eastAsia="方正仿宋_GBK" w:cs="Times New Roman"/>
          <w:szCs w:val="32"/>
        </w:rPr>
        <w:t>期间，全</w:t>
      </w:r>
      <w:r>
        <w:rPr>
          <w:rFonts w:ascii="Times New Roman" w:eastAsia="方正仿宋_GBK" w:cs="Times New Roman"/>
          <w:szCs w:val="32"/>
        </w:rPr>
        <w:t>区</w:t>
      </w:r>
      <w:r>
        <w:rPr>
          <w:rFonts w:hint="eastAsia" w:ascii="Times New Roman" w:eastAsia="方正仿宋_GBK" w:cs="Times New Roman"/>
          <w:szCs w:val="32"/>
        </w:rPr>
        <w:t>共</w:t>
      </w:r>
      <w:r>
        <w:rPr>
          <w:rFonts w:ascii="Times New Roman" w:eastAsia="方正仿宋_GBK" w:cs="Times New Roman"/>
          <w:szCs w:val="32"/>
        </w:rPr>
        <w:t>完成乌衣巷、育仁路等</w:t>
      </w:r>
      <w:r>
        <w:rPr>
          <w:rFonts w:hint="eastAsia" w:ascii="Times New Roman" w:eastAsia="方正仿宋_GBK" w:cs="Times New Roman"/>
          <w:szCs w:val="32"/>
        </w:rPr>
        <w:t>87条</w:t>
      </w:r>
      <w:r>
        <w:rPr>
          <w:rFonts w:ascii="Times New Roman" w:eastAsia="方正仿宋_GBK" w:cs="Times New Roman"/>
          <w:szCs w:val="32"/>
        </w:rPr>
        <w:t>市政道路共计</w:t>
      </w:r>
      <w:r>
        <w:rPr>
          <w:rFonts w:hint="eastAsia" w:ascii="Times New Roman" w:eastAsia="方正仿宋_GBK" w:cs="Times New Roman"/>
          <w:szCs w:val="32"/>
        </w:rPr>
        <w:t>41</w:t>
      </w:r>
      <w:r>
        <w:rPr>
          <w:rFonts w:ascii="Times New Roman" w:eastAsia="方正仿宋_GBK" w:cs="Times New Roman"/>
          <w:szCs w:val="32"/>
        </w:rPr>
        <w:t>km污水主次干管</w:t>
      </w:r>
      <w:r>
        <w:rPr>
          <w:rFonts w:hint="eastAsia" w:ascii="Times New Roman" w:eastAsia="方正仿宋_GBK" w:cs="Times New Roman"/>
          <w:szCs w:val="32"/>
        </w:rPr>
        <w:t>新建（改造）</w:t>
      </w:r>
      <w:r>
        <w:rPr>
          <w:rFonts w:ascii="Times New Roman" w:eastAsia="方正仿宋_GBK" w:cs="Times New Roman"/>
          <w:szCs w:val="32"/>
        </w:rPr>
        <w:t>建设。</w:t>
      </w:r>
      <w:r>
        <w:rPr>
          <w:rFonts w:hint="eastAsia" w:ascii="Times New Roman" w:eastAsia="方正仿宋_GBK" w:cs="Times New Roman"/>
          <w:szCs w:val="32"/>
        </w:rPr>
        <w:t>同时区内仍存在部分市管道路污水管网改造滞后情况，缺失管网建设还需要逐年填补，沿内秦淮河截流沟系统改造正在配合市级部门启动研究。</w:t>
      </w:r>
    </w:p>
    <w:p w14:paraId="2A497F52">
      <w:pPr>
        <w:spacing w:line="600" w:lineRule="atLeast"/>
        <w:ind w:firstLine="594" w:firstLineChars="200"/>
        <w:rPr>
          <w:rFonts w:cs="Times New Roman"/>
          <w:bCs/>
          <w:szCs w:val="32"/>
        </w:rPr>
      </w:pPr>
      <w:r>
        <w:rPr>
          <w:rFonts w:cs="Times New Roman"/>
          <w:b/>
          <w:szCs w:val="32"/>
        </w:rPr>
        <w:t>再生水利用系统建设。</w:t>
      </w:r>
      <w:r>
        <w:rPr>
          <w:rFonts w:cs="Times New Roman"/>
          <w:szCs w:val="32"/>
        </w:rPr>
        <w:t>城东污水处理厂再生水回用管道建设按计划分期实施。</w:t>
      </w:r>
      <w:r>
        <w:rPr>
          <w:rFonts w:cs="Times New Roman"/>
          <w:bCs/>
          <w:szCs w:val="32"/>
        </w:rPr>
        <w:t>城东三期污水处理厂再生水泵房共有6台水泵，单台泵流量1250m</w:t>
      </w:r>
      <w:r>
        <w:rPr>
          <w:rFonts w:cs="Times New Roman"/>
          <w:bCs/>
          <w:szCs w:val="32"/>
          <w:vertAlign w:val="superscript"/>
        </w:rPr>
        <w:t>3</w:t>
      </w:r>
      <w:r>
        <w:rPr>
          <w:rFonts w:cs="Times New Roman"/>
          <w:bCs/>
          <w:szCs w:val="32"/>
        </w:rPr>
        <w:t>/h，设计5用1备，再生水供水能力15万m</w:t>
      </w:r>
      <w:r>
        <w:rPr>
          <w:rFonts w:cs="Times New Roman"/>
          <w:bCs/>
          <w:szCs w:val="32"/>
          <w:vertAlign w:val="superscript"/>
        </w:rPr>
        <w:t>3</w:t>
      </w:r>
      <w:r>
        <w:rPr>
          <w:rFonts w:cs="Times New Roman"/>
          <w:bCs/>
          <w:szCs w:val="32"/>
        </w:rPr>
        <w:t>/d。城东厂再生水（一期）供水管道建设完成约7.4km，管径DN1400~DN500，城东厂再生水（二期）输送管网建设项目已启动，管道总长约8.22km，管径为DN800~DN200。两期项目用途均为区域河道补水、绿化灌溉以及浇洒道路。</w:t>
      </w:r>
    </w:p>
    <w:p w14:paraId="507DBB85">
      <w:pPr>
        <w:pStyle w:val="8"/>
        <w:kinsoku w:val="0"/>
        <w:overflowPunct w:val="0"/>
        <w:spacing w:before="51" w:line="600" w:lineRule="atLeast"/>
        <w:ind w:right="113" w:firstLine="594" w:firstLineChars="200"/>
        <w:rPr>
          <w:rFonts w:ascii="Times New Roman" w:eastAsia="方正仿宋_GBK" w:cs="Times New Roman"/>
          <w:szCs w:val="32"/>
        </w:rPr>
      </w:pPr>
      <w:r>
        <w:rPr>
          <w:rFonts w:ascii="Times New Roman" w:eastAsia="方正仿宋_GBK" w:cs="Times New Roman"/>
          <w:b/>
          <w:szCs w:val="32"/>
        </w:rPr>
        <w:t>加强监督管理和排水许可管理。</w:t>
      </w:r>
      <w:r>
        <w:rPr>
          <w:rFonts w:ascii="Times New Roman" w:eastAsia="方正仿宋_GBK" w:cs="Times New Roman"/>
          <w:szCs w:val="32"/>
        </w:rPr>
        <w:t>全面推进排水管网排查与修复工作；探索同一服务片区管网由一个单位实施专业化养护机制，实施污水处理系统“片管长制”，建立污水管网的“总片长、片长、管长”三级管护责任体系和配套工作制度，健全“管进水、管设施、管运行”的精细化管护机制，实行排水全过程监管，提升排水系统整体管护水平；新增办理排水许可4420件，总体办证率达100%，</w:t>
      </w:r>
      <w:r>
        <w:rPr>
          <w:rFonts w:hint="eastAsia" w:ascii="Times New Roman" w:eastAsia="方正仿宋_GBK" w:cs="Times New Roman"/>
          <w:szCs w:val="32"/>
        </w:rPr>
        <w:t>执行</w:t>
      </w:r>
      <w:r>
        <w:rPr>
          <w:rFonts w:ascii="Times New Roman" w:eastAsia="方正仿宋_GBK" w:cs="Times New Roman"/>
          <w:szCs w:val="32"/>
        </w:rPr>
        <w:t>《关于进一步加强排水许可批后监管工作的实施意见》，明确批后管理的相关要求和与执法部门做好衔接的工作流程。</w:t>
      </w:r>
    </w:p>
    <w:p w14:paraId="052C53D9">
      <w:pPr>
        <w:pStyle w:val="32"/>
        <w:spacing w:line="600" w:lineRule="atLeast"/>
        <w:rPr>
          <w:rFonts w:eastAsia="方正楷体_GBK" w:cs="Times New Roman"/>
          <w:szCs w:val="32"/>
        </w:rPr>
      </w:pPr>
      <w:r>
        <w:rPr>
          <w:rFonts w:eastAsia="方正楷体_GBK" w:cs="Times New Roman"/>
          <w:szCs w:val="32"/>
        </w:rPr>
        <w:t>4、水环境治理与管护效果显著</w:t>
      </w:r>
    </w:p>
    <w:p w14:paraId="3A7045C8">
      <w:pPr>
        <w:pStyle w:val="8"/>
        <w:kinsoku w:val="0"/>
        <w:overflowPunct w:val="0"/>
        <w:spacing w:before="51" w:line="600" w:lineRule="atLeast"/>
        <w:ind w:right="113" w:firstLine="594" w:firstLineChars="200"/>
        <w:rPr>
          <w:rFonts w:ascii="Times New Roman" w:eastAsia="方正仿宋_GBK" w:cs="Times New Roman"/>
          <w:szCs w:val="32"/>
        </w:rPr>
      </w:pPr>
      <w:r>
        <w:rPr>
          <w:rFonts w:ascii="Times New Roman" w:eastAsia="方正仿宋_GBK" w:cs="Times New Roman"/>
          <w:szCs w:val="32"/>
        </w:rPr>
        <w:t>自2016年新一轮治水以来，秦淮区水务工作始终瞄准“水清、岸绿、景美”的五年总目标，全面实施水下岸上的统筹治理，重点实施河道整治和雨污分流建设，着力打造秦淮水系流域花园，取得了群众看得见、摸得着的成效。</w:t>
      </w:r>
    </w:p>
    <w:p w14:paraId="43C452DC">
      <w:pPr>
        <w:pStyle w:val="8"/>
        <w:kinsoku w:val="0"/>
        <w:overflowPunct w:val="0"/>
        <w:spacing w:before="51" w:line="600" w:lineRule="atLeast"/>
        <w:ind w:right="113" w:firstLine="594" w:firstLineChars="200"/>
        <w:rPr>
          <w:rFonts w:ascii="Times New Roman" w:eastAsia="方正仿宋_GBK" w:cs="Times New Roman"/>
          <w:szCs w:val="32"/>
        </w:rPr>
      </w:pPr>
      <w:r>
        <w:rPr>
          <w:rFonts w:ascii="Times New Roman" w:eastAsia="方正仿宋_GBK" w:cs="Times New Roman"/>
          <w:b/>
          <w:szCs w:val="32"/>
        </w:rPr>
        <w:t>全面完成黑臭水体整治及消除劣</w:t>
      </w:r>
      <w:r>
        <w:rPr>
          <w:rFonts w:ascii="Times New Roman" w:eastAsia="方正仿宋_GBK" w:cs="Times New Roman"/>
          <w:szCs w:val="32"/>
        </w:rPr>
        <w:t>V</w:t>
      </w:r>
      <w:r>
        <w:rPr>
          <w:rFonts w:ascii="Times New Roman" w:eastAsia="方正仿宋_GBK" w:cs="Times New Roman"/>
          <w:b/>
          <w:szCs w:val="32"/>
        </w:rPr>
        <w:t>类水体任务。</w:t>
      </w:r>
      <w:r>
        <w:rPr>
          <w:rFonts w:ascii="Times New Roman" w:eastAsia="方正仿宋_GBK" w:cs="Times New Roman"/>
          <w:szCs w:val="32"/>
        </w:rPr>
        <w:t>执行落实《2017年全市建成区黑臭河道整治攻坚方案》、《南京市水环境提升行动计划（2018—2020 年）》，编制并落实《秦淮区2016年水环境整治实施方案》、《秦淮区2018年率先实现消除劣V类水体攻坚方案》、《秦淮区2019年水环境治理攻坚战实施方案》、《秦淮区2020年全面歼灭劣Ｖ类水体攻坚方案》，</w:t>
      </w:r>
      <w:r>
        <w:rPr>
          <w:rFonts w:hint="eastAsia" w:ascii="Times New Roman" w:eastAsia="方正仿宋_GBK" w:cs="Times New Roman"/>
          <w:szCs w:val="32"/>
        </w:rPr>
        <w:t>全区主要河道及重要小微水体均已全部完成了黑臭河整治，并开展了水环境提升30个水体，实施景观提升25个水体，</w:t>
      </w:r>
      <w:r>
        <w:rPr>
          <w:rFonts w:ascii="Times New Roman" w:eastAsia="方正仿宋_GBK" w:cs="Times New Roman"/>
          <w:bCs/>
          <w:szCs w:val="32"/>
        </w:rPr>
        <w:t>连续3年完成两部委督查零交办，达到三个100%</w:t>
      </w:r>
      <w:r>
        <w:rPr>
          <w:rFonts w:hint="eastAsia" w:ascii="Times New Roman" w:eastAsia="方正仿宋_GBK" w:cs="Times New Roman"/>
          <w:bCs/>
          <w:szCs w:val="32"/>
        </w:rPr>
        <w:t>。</w:t>
      </w:r>
      <w:r>
        <w:rPr>
          <w:rFonts w:ascii="Times New Roman" w:eastAsia="方正仿宋_GBK" w:cs="Times New Roman"/>
          <w:szCs w:val="32"/>
        </w:rPr>
        <w:t>我区7个市考以上断面连续三年全面稳定达标，基本实现全域IV类水目标</w:t>
      </w:r>
      <w:r>
        <w:rPr>
          <w:rFonts w:hint="eastAsia" w:ascii="Times New Roman" w:eastAsia="方正仿宋_GBK" w:cs="Times New Roman"/>
          <w:szCs w:val="32"/>
        </w:rPr>
        <w:t>；</w:t>
      </w:r>
    </w:p>
    <w:p w14:paraId="2E6FEFC2">
      <w:pPr>
        <w:pStyle w:val="8"/>
        <w:kinsoku w:val="0"/>
        <w:overflowPunct w:val="0"/>
        <w:spacing w:before="51" w:line="600" w:lineRule="atLeast"/>
        <w:ind w:right="113" w:firstLine="594" w:firstLineChars="200"/>
        <w:rPr>
          <w:rFonts w:ascii="Times New Roman" w:eastAsia="方正仿宋_GBK" w:cs="Times New Roman"/>
          <w:szCs w:val="32"/>
        </w:rPr>
      </w:pPr>
      <w:r>
        <w:rPr>
          <w:rFonts w:ascii="Times New Roman" w:eastAsia="方正仿宋_GBK" w:cs="Times New Roman"/>
          <w:b/>
          <w:szCs w:val="32"/>
        </w:rPr>
        <w:t>建成区雨污分流基本实现应分尽分。</w:t>
      </w:r>
      <w:r>
        <w:rPr>
          <w:rFonts w:ascii="Times New Roman" w:eastAsia="方正仿宋_GBK" w:cs="Times New Roman"/>
          <w:szCs w:val="32"/>
        </w:rPr>
        <w:t>全区共划分雨污分流片区1502个（含汇景佳园、汇景和园、银龙五期），从年度任务来看，2016-2017年完成494个，2018年完成513个，2019年完成上一轮立项未实施的新建片区262个及“回头看”片区82个，2020－2021年实施“回头看”片区151个。从覆盖面来看，完成新建片区1269个，计3199.1公顷，占全区总面积的65.14%；已完成“回头看”片区118个，计149.67公顷，占比3.05%；2020—2021年正在和计划实施“回头看”片区115个，计187.41公顷，占比3.82%。剩余南部新城、高新园区、金城集团、观门口地块等53个统一规划开发区域，面积1374.82公顷，占比27.99%。</w:t>
      </w:r>
    </w:p>
    <w:p w14:paraId="073BABA8">
      <w:pPr>
        <w:pStyle w:val="8"/>
        <w:kinsoku w:val="0"/>
        <w:overflowPunct w:val="0"/>
        <w:spacing w:before="51" w:line="600" w:lineRule="atLeast"/>
        <w:ind w:right="113" w:firstLine="594" w:firstLineChars="200"/>
        <w:rPr>
          <w:rFonts w:ascii="Times New Roman" w:eastAsia="方正仿宋_GBK" w:cs="Times New Roman"/>
          <w:spacing w:val="-3"/>
          <w:szCs w:val="32"/>
        </w:rPr>
      </w:pPr>
      <w:r>
        <w:rPr>
          <w:rFonts w:ascii="Times New Roman" w:eastAsia="方正仿宋_GBK" w:cs="Times New Roman"/>
          <w:b/>
          <w:szCs w:val="32"/>
        </w:rPr>
        <w:t>全面实施内外水系连通和生态补水工程建设。</w:t>
      </w:r>
      <w:r>
        <w:rPr>
          <w:rFonts w:ascii="Times New Roman" w:eastAsia="方正仿宋_GBK" w:cs="Times New Roman"/>
          <w:szCs w:val="32"/>
        </w:rPr>
        <w:t>畅通水系脉络，实施内秦淮河水环境治理，开通西五华里水上游览线，实现内外秦淮河贯通，</w:t>
      </w:r>
      <w:r>
        <w:rPr>
          <w:rFonts w:ascii="Times New Roman" w:eastAsia="方正仿宋_GBK" w:cs="Times New Roman"/>
          <w:spacing w:val="-3"/>
          <w:szCs w:val="32"/>
        </w:rPr>
        <w:t>实施了象房村净水站建设、象房村泵站—月牙湖补水工程</w:t>
      </w:r>
      <w:r>
        <w:rPr>
          <w:rFonts w:hint="eastAsia" w:ascii="Times New Roman" w:eastAsia="方正仿宋_GBK" w:cs="Times New Roman"/>
          <w:spacing w:val="-3"/>
          <w:szCs w:val="32"/>
        </w:rPr>
        <w:t>等</w:t>
      </w:r>
      <w:r>
        <w:rPr>
          <w:rFonts w:ascii="Times New Roman" w:eastAsia="方正仿宋_GBK" w:cs="Times New Roman"/>
          <w:spacing w:val="-3"/>
          <w:szCs w:val="32"/>
        </w:rPr>
        <w:t>工程，实现主要水系的连通和常态化补水；完成南部新城响水河、机场河、广洋北河河道建设，</w:t>
      </w:r>
      <w:r>
        <w:rPr>
          <w:rFonts w:hint="eastAsia" w:ascii="Times New Roman" w:eastAsia="方正仿宋_GBK" w:cs="Times New Roman"/>
          <w:spacing w:val="-3"/>
          <w:szCs w:val="32"/>
        </w:rPr>
        <w:t>实现与外秦淮河补水连通，</w:t>
      </w:r>
      <w:r>
        <w:rPr>
          <w:rFonts w:ascii="Times New Roman" w:eastAsia="方正仿宋_GBK" w:cs="Times New Roman"/>
          <w:spacing w:val="-3"/>
          <w:szCs w:val="32"/>
        </w:rPr>
        <w:t>按照河畅、水清、岸绿、景美的标准，与外秦淮河形成特色滨水空间，有效改善生态景观面貌。</w:t>
      </w:r>
    </w:p>
    <w:p w14:paraId="4EDAD1C4">
      <w:pPr>
        <w:pStyle w:val="8"/>
        <w:kinsoku w:val="0"/>
        <w:overflowPunct w:val="0"/>
        <w:spacing w:before="51" w:line="600" w:lineRule="atLeast"/>
        <w:ind w:right="113" w:firstLine="582" w:firstLineChars="200"/>
        <w:rPr>
          <w:rFonts w:ascii="Times New Roman" w:eastAsia="方正仿宋_GBK" w:cs="Times New Roman"/>
          <w:spacing w:val="-3"/>
          <w:szCs w:val="32"/>
        </w:rPr>
      </w:pPr>
      <w:r>
        <w:rPr>
          <w:rFonts w:ascii="Times New Roman" w:eastAsia="方正仿宋_GBK" w:cs="Times New Roman"/>
          <w:b/>
          <w:spacing w:val="-3"/>
          <w:szCs w:val="32"/>
        </w:rPr>
        <w:t>实施“五位一体”立体式养护。</w:t>
      </w:r>
      <w:r>
        <w:rPr>
          <w:rFonts w:ascii="Times New Roman" w:eastAsia="方正仿宋_GBK" w:cs="Times New Roman"/>
          <w:spacing w:val="-3"/>
          <w:szCs w:val="32"/>
        </w:rPr>
        <w:t>从河道保洁、岸坡养护、步道维护、绿化管养、岸线管控五方面进行全方位养护，完成了全区除南部新城以外的27条市政河道的综合养护，日常养护水面积近120万平方米，岸坡养护约48万平方米，步道保洁约7万平方米，绿化养护约16万平方米，岸线管控单侧计约41公里。对标找差，积极开展对外学习和引进新的养护设备、新技术并利用网络手段协调“五位一体”立体化全覆盖养护，形成“管、护”一体化良性机制，力争建设绿色宜居的水环境生态城区。</w:t>
      </w:r>
    </w:p>
    <w:p w14:paraId="6753D457">
      <w:pPr>
        <w:pStyle w:val="8"/>
        <w:kinsoku w:val="0"/>
        <w:overflowPunct w:val="0"/>
        <w:spacing w:before="51" w:line="600" w:lineRule="atLeast"/>
        <w:ind w:right="113" w:firstLine="582" w:firstLineChars="200"/>
        <w:rPr>
          <w:rFonts w:ascii="Times New Roman" w:eastAsia="方正仿宋_GBK" w:cs="Times New Roman"/>
          <w:spacing w:val="-3"/>
          <w:szCs w:val="32"/>
        </w:rPr>
      </w:pPr>
      <w:r>
        <w:rPr>
          <w:rFonts w:ascii="Times New Roman" w:eastAsia="方正仿宋_GBK" w:cs="Times New Roman"/>
          <w:b/>
          <w:spacing w:val="-3"/>
          <w:szCs w:val="32"/>
        </w:rPr>
        <w:t>加快推进水土保持和河道生态治理建设。</w:t>
      </w:r>
      <w:r>
        <w:rPr>
          <w:rFonts w:ascii="Times New Roman" w:eastAsia="方正仿宋_GBK" w:cs="Times New Roman"/>
          <w:spacing w:val="-3"/>
          <w:szCs w:val="32"/>
        </w:rPr>
        <w:t>高度重视水土保持工作，将水土保持作为生态文明建设的基础性工作，结合全区总体规划，编制了《白下高新开发区水土保持区域评估报告》，以充分发挥水土保持的生态、经济和社会效益，为保护和改善生态环境、推进生态文明建设、促进我区经济社会持续健康发展提供重要支撑，严格落实水土保持</w:t>
      </w:r>
      <w:r>
        <w:rPr>
          <w:rFonts w:hint="eastAsia" w:ascii="Times New Roman" w:eastAsia="方正仿宋_GBK" w:cs="Times New Roman"/>
          <w:spacing w:val="-3"/>
          <w:szCs w:val="32"/>
        </w:rPr>
        <w:t>“</w:t>
      </w:r>
      <w:r>
        <w:rPr>
          <w:rFonts w:ascii="Times New Roman" w:eastAsia="方正仿宋_GBK" w:cs="Times New Roman"/>
          <w:spacing w:val="-3"/>
          <w:szCs w:val="32"/>
        </w:rPr>
        <w:t>三同时</w:t>
      </w:r>
      <w:r>
        <w:rPr>
          <w:rFonts w:hint="eastAsia" w:ascii="Times New Roman" w:eastAsia="方正仿宋_GBK" w:cs="Times New Roman"/>
          <w:spacing w:val="-3"/>
          <w:szCs w:val="32"/>
        </w:rPr>
        <w:t>”</w:t>
      </w:r>
      <w:r>
        <w:rPr>
          <w:rFonts w:ascii="Times New Roman" w:eastAsia="方正仿宋_GBK" w:cs="Times New Roman"/>
          <w:spacing w:val="-3"/>
          <w:szCs w:val="32"/>
        </w:rPr>
        <w:t>制度，加强事前事中事后监管，对全区生产建设项目开展全覆盖监管，“十三五”期间我区总计批复水土保持方案许可40件，并聘请南京市水利科学院作为技术支持机构，全区约240公顷建设项目水土流失治理面积均已落实水土保持措施。</w:t>
      </w:r>
    </w:p>
    <w:p w14:paraId="2083646A">
      <w:pPr>
        <w:pStyle w:val="32"/>
        <w:spacing w:line="600" w:lineRule="atLeast"/>
        <w:rPr>
          <w:rFonts w:eastAsia="方正楷体_GBK" w:cs="Times New Roman"/>
          <w:szCs w:val="32"/>
        </w:rPr>
      </w:pPr>
      <w:r>
        <w:rPr>
          <w:rFonts w:eastAsia="方正楷体_GBK" w:cs="Times New Roman"/>
          <w:szCs w:val="32"/>
        </w:rPr>
        <w:t>5、水资源管理水平迈上新台阶</w:t>
      </w:r>
    </w:p>
    <w:p w14:paraId="37F3C020">
      <w:pPr>
        <w:pStyle w:val="8"/>
        <w:kinsoku w:val="0"/>
        <w:overflowPunct w:val="0"/>
        <w:spacing w:before="51" w:line="600" w:lineRule="atLeast"/>
        <w:ind w:right="114" w:firstLine="728" w:firstLineChars="250"/>
        <w:jc w:val="both"/>
        <w:rPr>
          <w:rFonts w:ascii="Times New Roman" w:eastAsia="方正仿宋_GBK" w:cs="Times New Roman"/>
          <w:spacing w:val="-3"/>
          <w:szCs w:val="32"/>
        </w:rPr>
      </w:pPr>
      <w:r>
        <w:rPr>
          <w:rFonts w:ascii="Times New Roman" w:eastAsia="方正仿宋_GBK" w:cs="Times New Roman"/>
          <w:b/>
          <w:spacing w:val="-3"/>
          <w:szCs w:val="32"/>
        </w:rPr>
        <w:t>水资源管理水平迈上新台阶。</w:t>
      </w:r>
      <w:r>
        <w:rPr>
          <w:rFonts w:ascii="Times New Roman" w:eastAsia="方正仿宋_GBK" w:cs="Times New Roman"/>
          <w:spacing w:val="-3"/>
          <w:szCs w:val="32"/>
        </w:rPr>
        <w:t>全区总面积 49.11平方公里，下辖 12个街道，106个社区，6个行政村，1个省级开发区，常住人口103.2万人。秦淮区属亚热带季风气候，平均年降水量为1070.9毫米，折合降水总量0.53亿立方米。全区水资源量0.212亿立方米，其中地表水资源量0.17亿立方米，地下水资源量0.045亿立方米，重复计算量0.003亿立方米。</w:t>
      </w:r>
      <w:r>
        <w:rPr>
          <w:rFonts w:hint="eastAsia" w:ascii="Times New Roman" w:eastAsia="方正仿宋_GBK" w:cs="Times New Roman"/>
          <w:spacing w:val="-3"/>
          <w:szCs w:val="32"/>
        </w:rPr>
        <w:t>“</w:t>
      </w:r>
      <w:r>
        <w:rPr>
          <w:rFonts w:ascii="Times New Roman" w:eastAsia="方正仿宋_GBK" w:cs="Times New Roman"/>
          <w:spacing w:val="-3"/>
          <w:szCs w:val="32"/>
        </w:rPr>
        <w:t>十三五</w:t>
      </w:r>
      <w:r>
        <w:rPr>
          <w:rFonts w:hint="eastAsia" w:ascii="Times New Roman" w:eastAsia="方正仿宋_GBK" w:cs="Times New Roman"/>
          <w:spacing w:val="-3"/>
          <w:szCs w:val="32"/>
        </w:rPr>
        <w:t>”</w:t>
      </w:r>
      <w:r>
        <w:rPr>
          <w:rFonts w:ascii="Times New Roman" w:eastAsia="方正仿宋_GBK" w:cs="Times New Roman"/>
          <w:spacing w:val="-3"/>
          <w:szCs w:val="32"/>
        </w:rPr>
        <w:t>期间，积极</w:t>
      </w:r>
      <w:r>
        <w:rPr>
          <w:rFonts w:hint="eastAsia" w:ascii="Times New Roman" w:eastAsia="方正仿宋_GBK" w:cs="Times New Roman"/>
          <w:spacing w:val="-3"/>
          <w:szCs w:val="32"/>
        </w:rPr>
        <w:t>推行</w:t>
      </w:r>
      <w:r>
        <w:rPr>
          <w:rFonts w:ascii="Times New Roman" w:eastAsia="方正仿宋_GBK" w:cs="Times New Roman"/>
          <w:spacing w:val="-3"/>
          <w:szCs w:val="32"/>
        </w:rPr>
        <w:t>最严格水资源管理责任制度和考核制度，建立了由政府分管领导任组长的水资源管理考核工作联席会议制度，执行落实市、区 “三条红线”指标，出台《秦淮区水资源消耗总量和强度双控方案》，明确实施意见、部门职责和考核要求，强化监督考核，推进最严格水资源管理制度有效落实。</w:t>
      </w:r>
      <w:r>
        <w:rPr>
          <w:rFonts w:hint="eastAsia" w:ascii="Times New Roman" w:eastAsia="方正仿宋_GBK" w:cs="Times New Roman"/>
          <w:spacing w:val="-3"/>
          <w:szCs w:val="32"/>
        </w:rPr>
        <w:t>完成</w:t>
      </w:r>
      <w:r>
        <w:rPr>
          <w:rFonts w:ascii="Times New Roman" w:eastAsia="方正仿宋_GBK" w:cs="Times New Roman"/>
          <w:spacing w:val="-3"/>
          <w:szCs w:val="32"/>
        </w:rPr>
        <w:t>《秦淮区水资源公报》编制</w:t>
      </w:r>
      <w:r>
        <w:rPr>
          <w:rFonts w:hint="eastAsia" w:ascii="Times New Roman" w:eastAsia="方正仿宋_GBK" w:cs="Times New Roman"/>
          <w:spacing w:val="-3"/>
          <w:szCs w:val="32"/>
        </w:rPr>
        <w:t>工作</w:t>
      </w:r>
      <w:r>
        <w:rPr>
          <w:rFonts w:ascii="Times New Roman" w:eastAsia="方正仿宋_GBK" w:cs="Times New Roman"/>
          <w:spacing w:val="-3"/>
          <w:szCs w:val="32"/>
        </w:rPr>
        <w:t>。</w:t>
      </w:r>
    </w:p>
    <w:p w14:paraId="66973D02">
      <w:pPr>
        <w:pStyle w:val="8"/>
        <w:kinsoku w:val="0"/>
        <w:overflowPunct w:val="0"/>
        <w:spacing w:before="1" w:line="600" w:lineRule="atLeast"/>
        <w:ind w:right="258" w:firstLine="582" w:firstLineChars="200"/>
        <w:rPr>
          <w:rFonts w:ascii="Times New Roman" w:eastAsia="方正仿宋_GBK" w:cs="Times New Roman"/>
          <w:spacing w:val="-3"/>
          <w:szCs w:val="32"/>
        </w:rPr>
      </w:pPr>
      <w:r>
        <w:rPr>
          <w:rFonts w:ascii="Times New Roman" w:eastAsia="方正仿宋_GBK" w:cs="Times New Roman"/>
          <w:b/>
          <w:spacing w:val="-3"/>
          <w:szCs w:val="32"/>
        </w:rPr>
        <w:t>坚持节水优先，把节水作为解决水资源问题的核心。</w:t>
      </w:r>
      <w:r>
        <w:rPr>
          <w:rFonts w:ascii="Times New Roman" w:eastAsia="方正仿宋_GBK" w:cs="Times New Roman"/>
          <w:spacing w:val="-3"/>
          <w:szCs w:val="32"/>
        </w:rPr>
        <w:t>完成54家节水型单位、2家节水型小区创建工作；建成月牙湖区级节水教育基地，并申报市级节水教育基地；指导市第一医院完善资料，积极创建省级水效领跑者。开展节水讲座10余次，发放宣传册2000余份，营造浓厚的节水护水氛围。</w:t>
      </w:r>
    </w:p>
    <w:p w14:paraId="2FF698F3">
      <w:pPr>
        <w:pStyle w:val="8"/>
        <w:kinsoku w:val="0"/>
        <w:overflowPunct w:val="0"/>
        <w:spacing w:before="1" w:line="600" w:lineRule="atLeast"/>
        <w:ind w:right="258" w:firstLine="582" w:firstLineChars="200"/>
        <w:rPr>
          <w:rFonts w:ascii="Times New Roman" w:eastAsia="方正仿宋_GBK" w:cs="Times New Roman"/>
          <w:spacing w:val="-3"/>
          <w:szCs w:val="32"/>
        </w:rPr>
      </w:pPr>
      <w:r>
        <w:rPr>
          <w:rFonts w:ascii="Times New Roman" w:eastAsia="方正仿宋_GBK" w:cs="Times New Roman"/>
          <w:b/>
          <w:spacing w:val="-3"/>
          <w:szCs w:val="32"/>
        </w:rPr>
        <w:t>严格取水管理，把取水作为合理开发水资源的利器。</w:t>
      </w:r>
      <w:r>
        <w:rPr>
          <w:rFonts w:ascii="Times New Roman" w:eastAsia="方正仿宋_GBK" w:cs="Times New Roman"/>
          <w:spacing w:val="-3"/>
          <w:szCs w:val="32"/>
        </w:rPr>
        <w:t>全面开展取水口核查登记，重点核查江河湖泊、地下取用水资源中应纳入取水许可管理范围且未报废的取水设施。</w:t>
      </w:r>
    </w:p>
    <w:p w14:paraId="7005859A">
      <w:pPr>
        <w:pStyle w:val="8"/>
        <w:kinsoku w:val="0"/>
        <w:overflowPunct w:val="0"/>
        <w:spacing w:before="1" w:line="600" w:lineRule="atLeast"/>
        <w:ind w:right="255" w:firstLine="582" w:firstLineChars="200"/>
        <w:rPr>
          <w:rFonts w:ascii="Times New Roman" w:eastAsia="方正仿宋_GBK" w:cs="Times New Roman"/>
          <w:spacing w:val="-3"/>
          <w:szCs w:val="32"/>
        </w:rPr>
      </w:pPr>
      <w:r>
        <w:rPr>
          <w:rFonts w:ascii="Times New Roman" w:eastAsia="方正仿宋_GBK" w:cs="Times New Roman"/>
          <w:b/>
          <w:spacing w:val="-3"/>
          <w:szCs w:val="32"/>
        </w:rPr>
        <w:t>落实流量管控，把生态流量作为保护水资源的基础。</w:t>
      </w:r>
      <w:r>
        <w:rPr>
          <w:rFonts w:ascii="Times New Roman" w:eastAsia="方正仿宋_GBK" w:cs="Times New Roman"/>
          <w:spacing w:val="-3"/>
          <w:szCs w:val="32"/>
        </w:rPr>
        <w:t>开展研究确定行政区域内重要河湖生态流量（水位）情况。制定完成了内秦淮河南段生态水位管控方案，明确责任主体和保障措施、细化监测方案和预警方案，确保达到主要控制断面生态水位目标。</w:t>
      </w:r>
    </w:p>
    <w:p w14:paraId="3DDD8BA3">
      <w:pPr>
        <w:pStyle w:val="32"/>
        <w:spacing w:line="600" w:lineRule="atLeast"/>
        <w:rPr>
          <w:rFonts w:eastAsia="方正楷体_GBK" w:cs="Times New Roman"/>
          <w:szCs w:val="32"/>
        </w:rPr>
      </w:pPr>
      <w:r>
        <w:rPr>
          <w:rFonts w:eastAsia="方正楷体_GBK" w:cs="Times New Roman"/>
          <w:szCs w:val="32"/>
        </w:rPr>
        <w:t>6、水务监督管理能力全面提升</w:t>
      </w:r>
    </w:p>
    <w:p w14:paraId="679E5C0E">
      <w:pPr>
        <w:pStyle w:val="8"/>
        <w:kinsoku w:val="0"/>
        <w:overflowPunct w:val="0"/>
        <w:spacing w:before="51" w:line="600" w:lineRule="atLeast"/>
        <w:ind w:right="113" w:firstLine="582" w:firstLineChars="200"/>
        <w:rPr>
          <w:rFonts w:ascii="Times New Roman" w:eastAsia="方正仿宋_GBK" w:cs="Times New Roman"/>
          <w:spacing w:val="-3"/>
          <w:szCs w:val="32"/>
          <w:highlight w:val="yellow"/>
        </w:rPr>
      </w:pPr>
      <w:r>
        <w:rPr>
          <w:rFonts w:ascii="Times New Roman" w:eastAsia="方正仿宋_GBK" w:cs="Times New Roman"/>
          <w:b/>
          <w:spacing w:val="-3"/>
          <w:szCs w:val="32"/>
        </w:rPr>
        <w:t>水务一体化深入推进</w:t>
      </w:r>
      <w:r>
        <w:rPr>
          <w:rFonts w:hint="eastAsia" w:ascii="Times New Roman" w:eastAsia="方正仿宋_GBK" w:cs="Times New Roman"/>
          <w:b/>
          <w:spacing w:val="-3"/>
          <w:szCs w:val="32"/>
        </w:rPr>
        <w:t>。</w:t>
      </w:r>
      <w:r>
        <w:rPr>
          <w:rFonts w:ascii="Times New Roman" w:eastAsia="方正仿宋_GBK" w:cs="Times New Roman"/>
          <w:spacing w:val="-3"/>
          <w:szCs w:val="32"/>
        </w:rPr>
        <w:t>“十三五”期间，我区</w:t>
      </w:r>
      <w:r>
        <w:rPr>
          <w:rFonts w:hint="eastAsia" w:ascii="Times New Roman" w:eastAsia="方正仿宋_GBK" w:cs="Times New Roman"/>
          <w:spacing w:val="-3"/>
          <w:szCs w:val="32"/>
        </w:rPr>
        <w:t>完成水务一体化体制改革，转隶组建秦淮区水务局，</w:t>
      </w:r>
      <w:r>
        <w:rPr>
          <w:rFonts w:ascii="Times New Roman" w:eastAsia="方正仿宋_GBK" w:cs="Times New Roman"/>
          <w:spacing w:val="-3"/>
          <w:szCs w:val="32"/>
        </w:rPr>
        <w:t>内设</w:t>
      </w:r>
      <w:r>
        <w:rPr>
          <w:rFonts w:hint="eastAsia" w:ascii="Times New Roman" w:eastAsia="方正仿宋_GBK" w:cs="Times New Roman"/>
          <w:spacing w:val="-3"/>
          <w:szCs w:val="32"/>
        </w:rPr>
        <w:t>四</w:t>
      </w:r>
      <w:r>
        <w:rPr>
          <w:rFonts w:ascii="Times New Roman" w:eastAsia="方正仿宋_GBK" w:cs="Times New Roman"/>
          <w:spacing w:val="-3"/>
          <w:szCs w:val="32"/>
        </w:rPr>
        <w:t>个科室，</w:t>
      </w:r>
      <w:r>
        <w:rPr>
          <w:rFonts w:hint="eastAsia" w:ascii="Times New Roman" w:eastAsia="方正仿宋_GBK" w:cs="Times New Roman"/>
          <w:spacing w:val="-3"/>
          <w:szCs w:val="32"/>
        </w:rPr>
        <w:t>并承接了区防办的日常运转、指挥调度等职能；同时</w:t>
      </w:r>
      <w:r>
        <w:rPr>
          <w:rFonts w:ascii="Times New Roman" w:eastAsia="方正仿宋_GBK" w:cs="Times New Roman"/>
          <w:spacing w:val="-3"/>
          <w:szCs w:val="32"/>
        </w:rPr>
        <w:t>成立了秦淮区水务设施养护所</w:t>
      </w:r>
      <w:r>
        <w:rPr>
          <w:rFonts w:hint="eastAsia" w:ascii="Times New Roman" w:eastAsia="方正仿宋_GBK" w:cs="Times New Roman"/>
          <w:spacing w:val="-3"/>
          <w:szCs w:val="32"/>
        </w:rPr>
        <w:t>，负责全区水务设施综合养护、考核和服务等职责</w:t>
      </w:r>
      <w:r>
        <w:rPr>
          <w:rFonts w:ascii="Times New Roman" w:eastAsia="方正仿宋_GBK" w:cs="Times New Roman"/>
          <w:spacing w:val="-3"/>
          <w:szCs w:val="32"/>
        </w:rPr>
        <w:t>。</w:t>
      </w:r>
      <w:r>
        <w:rPr>
          <w:rFonts w:hint="eastAsia" w:ascii="Times New Roman" w:eastAsia="方正仿宋_GBK" w:cs="Times New Roman"/>
          <w:spacing w:val="-3"/>
          <w:szCs w:val="32"/>
        </w:rPr>
        <w:t>实现了城市防洪排涝、水资源、节水、排水管理、水环境治理和水土保持等涉水事务的统一建设管理，水环境建设、水资源利用和节约保护、水域和水利工程管理保护等职责得到加强，水务一体化体制优势充分彰显，发展动能明显增强。</w:t>
      </w:r>
    </w:p>
    <w:p w14:paraId="3A8B4BD0">
      <w:pPr>
        <w:pStyle w:val="8"/>
        <w:kinsoku w:val="0"/>
        <w:overflowPunct w:val="0"/>
        <w:spacing w:before="51" w:line="600" w:lineRule="atLeast"/>
        <w:ind w:right="113" w:firstLine="582" w:firstLineChars="200"/>
        <w:jc w:val="both"/>
        <w:rPr>
          <w:rFonts w:ascii="Times New Roman" w:eastAsia="方正仿宋_GBK" w:cs="Times New Roman"/>
          <w:spacing w:val="-3"/>
          <w:szCs w:val="32"/>
        </w:rPr>
      </w:pPr>
      <w:r>
        <w:rPr>
          <w:rFonts w:ascii="Times New Roman" w:eastAsia="方正仿宋_GBK" w:cs="Times New Roman"/>
          <w:b/>
          <w:spacing w:val="-3"/>
          <w:szCs w:val="32"/>
        </w:rPr>
        <w:t>全面实施河湖长制，提高河湖保护水平。</w:t>
      </w:r>
      <w:r>
        <w:rPr>
          <w:rFonts w:ascii="Times New Roman" w:eastAsia="方正仿宋_GBK" w:cs="Times New Roman"/>
          <w:spacing w:val="-3"/>
          <w:szCs w:val="32"/>
        </w:rPr>
        <w:t>高层次创新实施“六长一员”河长制，实现了河湖长制全覆盖。高度重视河湖</w:t>
      </w:r>
      <w:r>
        <w:rPr>
          <w:rFonts w:hint="eastAsia" w:ascii="Times New Roman" w:eastAsia="方正仿宋_GBK" w:cs="Times New Roman"/>
          <w:spacing w:val="-3"/>
          <w:szCs w:val="32"/>
        </w:rPr>
        <w:t>治理</w:t>
      </w:r>
      <w:r>
        <w:rPr>
          <w:rFonts w:ascii="Times New Roman" w:eastAsia="方正仿宋_GBK" w:cs="Times New Roman"/>
          <w:spacing w:val="-3"/>
          <w:szCs w:val="32"/>
        </w:rPr>
        <w:t>工作，区委常委会连续五年在年初六集体调研水环境整治及河长制工作，</w:t>
      </w:r>
      <w:r>
        <w:rPr>
          <w:rFonts w:hint="eastAsia" w:ascii="Times New Roman" w:eastAsia="方正仿宋_GBK" w:cs="Times New Roman"/>
          <w:spacing w:val="-3"/>
          <w:szCs w:val="32"/>
        </w:rPr>
        <w:t>制定出台《秦淮区河长履职办法》、落实《各级河长巡河工作细则》，明确各级河长的巡河任务、工作流程和考核要求，督促河长履职尽责。深化“河长制”落实，总河长定期调度现场研究解决治水重难点问题，各级河长</w:t>
      </w:r>
      <w:r>
        <w:rPr>
          <w:rFonts w:ascii="Times New Roman" w:eastAsia="方正仿宋_GBK" w:cs="Times New Roman"/>
          <w:spacing w:val="-3"/>
          <w:szCs w:val="32"/>
        </w:rPr>
        <w:t>扎根一线，主动在河边设立咨询台现场倾听居民意见，日常巡查横向到边、纵向到底、不留死角。同时深入探索“政企合作”的多元化治水手段，推选58名企业负责人担任“企业河长”，扩大了民间治水力量，发挥了示范带动效应。月牙湖被评为全省首批生态样板河湖、全国“河长制”培训的现场教育基地，清水塘、内秦淮河东段成为全国水环境治理的范本。</w:t>
      </w:r>
    </w:p>
    <w:p w14:paraId="56FE1D42">
      <w:pPr>
        <w:pStyle w:val="8"/>
        <w:kinsoku w:val="0"/>
        <w:overflowPunct w:val="0"/>
        <w:spacing w:before="51" w:line="600" w:lineRule="atLeast"/>
        <w:ind w:right="113" w:firstLine="582" w:firstLineChars="200"/>
        <w:jc w:val="both"/>
        <w:rPr>
          <w:rFonts w:ascii="Times New Roman" w:eastAsia="方正仿宋_GBK" w:cs="Times New Roman"/>
          <w:spacing w:val="-3"/>
          <w:szCs w:val="32"/>
        </w:rPr>
      </w:pPr>
      <w:r>
        <w:rPr>
          <w:rFonts w:ascii="Times New Roman" w:eastAsia="方正仿宋_GBK" w:cs="Times New Roman"/>
          <w:b/>
          <w:spacing w:val="-3"/>
          <w:szCs w:val="32"/>
        </w:rPr>
        <w:t>加强河湖管理，提升河湖生态环境。</w:t>
      </w:r>
      <w:r>
        <w:rPr>
          <w:rFonts w:ascii="Times New Roman" w:eastAsia="方正仿宋_GBK" w:cs="Times New Roman"/>
          <w:spacing w:val="-3"/>
          <w:szCs w:val="32"/>
        </w:rPr>
        <w:t>积极推进水生态文明城市建设，试点工作取得了明显成效。</w:t>
      </w:r>
      <w:r>
        <w:rPr>
          <w:rFonts w:hint="eastAsia" w:ascii="Times New Roman" w:eastAsia="方正仿宋_GBK" w:cs="Times New Roman"/>
          <w:spacing w:val="-3"/>
          <w:szCs w:val="32"/>
        </w:rPr>
        <w:t>“</w:t>
      </w:r>
      <w:r>
        <w:rPr>
          <w:rFonts w:ascii="Times New Roman" w:eastAsia="方正仿宋_GBK" w:cs="Times New Roman"/>
          <w:spacing w:val="-3"/>
          <w:szCs w:val="32"/>
        </w:rPr>
        <w:t>十三五</w:t>
      </w:r>
      <w:r>
        <w:rPr>
          <w:rFonts w:hint="eastAsia" w:ascii="Times New Roman" w:eastAsia="方正仿宋_GBK" w:cs="Times New Roman"/>
          <w:spacing w:val="-3"/>
          <w:szCs w:val="32"/>
        </w:rPr>
        <w:t>”</w:t>
      </w:r>
      <w:r>
        <w:rPr>
          <w:rFonts w:ascii="Times New Roman" w:eastAsia="方正仿宋_GBK" w:cs="Times New Roman"/>
          <w:spacing w:val="-3"/>
          <w:szCs w:val="32"/>
        </w:rPr>
        <w:t>期间完成了月牙湖等4条主要河湖健康评估，加快推进重点水域水生态修复工程建设，出台了《秦淮区生态河湖行动计划》，首次实现沿河步道80公里全线贯通。执行落实《南京市蓝线管理办法》，配合编制《南京市主城河道蓝线规划（二期）》，进一步强化了河道管理保护工作，完成内秦淮河南段、运粮河、月牙湖等约35km河道管理范围线划定。</w:t>
      </w:r>
    </w:p>
    <w:p w14:paraId="3A30D375">
      <w:pPr>
        <w:pStyle w:val="8"/>
        <w:kinsoku w:val="0"/>
        <w:overflowPunct w:val="0"/>
        <w:spacing w:before="51" w:line="600" w:lineRule="atLeast"/>
        <w:ind w:right="113" w:firstLine="582" w:firstLineChars="200"/>
        <w:jc w:val="both"/>
        <w:rPr>
          <w:rFonts w:ascii="Times New Roman" w:eastAsia="方正仿宋_GBK" w:cs="Times New Roman"/>
          <w:spacing w:val="-3"/>
          <w:szCs w:val="32"/>
        </w:rPr>
      </w:pPr>
      <w:r>
        <w:rPr>
          <w:rFonts w:ascii="Times New Roman" w:eastAsia="方正仿宋_GBK" w:cs="Times New Roman"/>
          <w:b/>
          <w:spacing w:val="-3"/>
          <w:szCs w:val="32"/>
        </w:rPr>
        <w:t>严格涉水违法行为监管。</w:t>
      </w:r>
      <w:r>
        <w:rPr>
          <w:rFonts w:ascii="Times New Roman" w:eastAsia="方正仿宋_GBK" w:cs="Times New Roman"/>
          <w:spacing w:val="-3"/>
          <w:szCs w:val="32"/>
        </w:rPr>
        <w:t>开展“两违”、“三乱”、“积案清零”专项执法行动，共完成拆除河道蓝线范围内违建及侵占物2731处，合计10万平方米，强化排水户批后动态管理，利用大数据、信息平台等手段创新监管机制，严格规范工地、餐饮等排水行为，对典型案例开展多部门联合执法，从重从快查处，累计处罚涉水案件1377起。</w:t>
      </w:r>
    </w:p>
    <w:p w14:paraId="6FE6E7ED">
      <w:pPr>
        <w:pStyle w:val="8"/>
        <w:kinsoku w:val="0"/>
        <w:overflowPunct w:val="0"/>
        <w:spacing w:before="177" w:line="600" w:lineRule="atLeast"/>
        <w:ind w:right="119" w:firstLine="562" w:firstLineChars="200"/>
        <w:jc w:val="both"/>
        <w:rPr>
          <w:rFonts w:ascii="Times New Roman" w:eastAsia="方正仿宋_GBK" w:cs="Times New Roman"/>
          <w:spacing w:val="-8"/>
          <w:szCs w:val="32"/>
        </w:rPr>
      </w:pPr>
      <w:r>
        <w:rPr>
          <w:rFonts w:ascii="Times New Roman" w:eastAsia="方正仿宋_GBK" w:cs="Times New Roman"/>
          <w:b/>
          <w:spacing w:val="-8"/>
          <w:szCs w:val="32"/>
        </w:rPr>
        <w:t>加强工程</w:t>
      </w:r>
      <w:r>
        <w:rPr>
          <w:rFonts w:ascii="Times New Roman" w:eastAsia="方正仿宋_GBK" w:cs="Times New Roman"/>
          <w:b/>
          <w:bCs/>
          <w:spacing w:val="-5"/>
          <w:szCs w:val="32"/>
        </w:rPr>
        <w:t>建设</w:t>
      </w:r>
      <w:r>
        <w:rPr>
          <w:rFonts w:ascii="Times New Roman" w:eastAsia="方正仿宋_GBK" w:cs="Times New Roman"/>
          <w:b/>
          <w:spacing w:val="-8"/>
          <w:szCs w:val="32"/>
        </w:rPr>
        <w:t>管理和</w:t>
      </w:r>
      <w:r>
        <w:rPr>
          <w:rFonts w:ascii="Times New Roman" w:eastAsia="方正仿宋_GBK" w:cs="Times New Roman"/>
          <w:b/>
          <w:bCs/>
          <w:spacing w:val="-5"/>
          <w:szCs w:val="32"/>
        </w:rPr>
        <w:t>监督。</w:t>
      </w:r>
      <w:r>
        <w:rPr>
          <w:rFonts w:ascii="Times New Roman" w:eastAsia="方正仿宋_GBK" w:cs="Times New Roman"/>
          <w:spacing w:val="-8"/>
          <w:szCs w:val="32"/>
        </w:rPr>
        <w:t>健全水</w:t>
      </w:r>
      <w:r>
        <w:rPr>
          <w:rFonts w:hint="eastAsia" w:ascii="Times New Roman" w:eastAsia="方正仿宋_GBK" w:cs="Times New Roman"/>
          <w:spacing w:val="-8"/>
          <w:szCs w:val="32"/>
        </w:rPr>
        <w:t>务</w:t>
      </w:r>
      <w:r>
        <w:rPr>
          <w:rFonts w:ascii="Times New Roman" w:eastAsia="方正仿宋_GBK" w:cs="Times New Roman"/>
          <w:spacing w:val="-8"/>
          <w:szCs w:val="32"/>
        </w:rPr>
        <w:t>工程管理考核制度，严格管理考核，推进水</w:t>
      </w:r>
      <w:r>
        <w:rPr>
          <w:rFonts w:hint="eastAsia" w:ascii="Times New Roman" w:eastAsia="方正仿宋_GBK" w:cs="Times New Roman"/>
          <w:spacing w:val="-8"/>
          <w:szCs w:val="32"/>
        </w:rPr>
        <w:t>务</w:t>
      </w:r>
      <w:r>
        <w:rPr>
          <w:rFonts w:ascii="Times New Roman" w:eastAsia="方正仿宋_GBK" w:cs="Times New Roman"/>
          <w:spacing w:val="-8"/>
          <w:szCs w:val="32"/>
        </w:rPr>
        <w:t>工程规范化、标准化、精细化管理。</w:t>
      </w:r>
      <w:r>
        <w:rPr>
          <w:rFonts w:ascii="Times New Roman" w:eastAsia="方正仿宋_GBK" w:cs="Times New Roman"/>
          <w:bCs/>
          <w:spacing w:val="-5"/>
          <w:szCs w:val="32"/>
        </w:rPr>
        <w:t>执行落实</w:t>
      </w:r>
      <w:r>
        <w:rPr>
          <w:rFonts w:ascii="Times New Roman" w:eastAsia="方正仿宋_GBK" w:cs="Times New Roman"/>
          <w:spacing w:val="-8"/>
          <w:szCs w:val="32"/>
        </w:rPr>
        <w:t>《南京市水务工程质量安全监督分级管理实施意见》、《南京市水务工程建设市场主体红黑名单管理办法》、《南京市水务工程文明工地建设管理办法》、《南京市水务工程履约考核办法》、《加强全市水务工程竣工验收管理暂行办法》等政策文件，进一步规范了全区水务建设工程项目建管程序、质量和安全生产等。</w:t>
      </w:r>
    </w:p>
    <w:p w14:paraId="60F09E58">
      <w:pPr>
        <w:pStyle w:val="8"/>
        <w:kinsoku w:val="0"/>
        <w:overflowPunct w:val="0"/>
        <w:spacing w:before="52" w:line="600" w:lineRule="atLeast"/>
        <w:ind w:right="115" w:firstLine="594" w:firstLineChars="200"/>
        <w:rPr>
          <w:rFonts w:ascii="Times New Roman" w:eastAsia="方正仿宋_GBK" w:cs="Times New Roman"/>
          <w:szCs w:val="32"/>
        </w:rPr>
      </w:pPr>
      <w:r>
        <w:rPr>
          <w:rFonts w:ascii="Times New Roman" w:eastAsia="方正仿宋_GBK" w:cs="Times New Roman"/>
          <w:b/>
          <w:szCs w:val="32"/>
        </w:rPr>
        <w:t>水务信息化建设不断完善。</w:t>
      </w:r>
      <w:r>
        <w:rPr>
          <w:rFonts w:ascii="Times New Roman" w:eastAsia="方正仿宋_GBK" w:cs="Times New Roman"/>
          <w:szCs w:val="32"/>
        </w:rPr>
        <w:t>完成覆盖主要监测断面的水质</w:t>
      </w:r>
      <w:r>
        <w:rPr>
          <w:rFonts w:hint="eastAsia" w:ascii="Times New Roman" w:eastAsia="方正仿宋_GBK" w:cs="Times New Roman"/>
          <w:szCs w:val="32"/>
        </w:rPr>
        <w:t>在线</w:t>
      </w:r>
      <w:r>
        <w:rPr>
          <w:rFonts w:ascii="Times New Roman" w:eastAsia="方正仿宋_GBK" w:cs="Times New Roman"/>
          <w:szCs w:val="32"/>
        </w:rPr>
        <w:t>监测体系</w:t>
      </w:r>
      <w:r>
        <w:rPr>
          <w:rFonts w:hint="eastAsia" w:ascii="Times New Roman" w:eastAsia="方正仿宋_GBK" w:cs="Times New Roman"/>
          <w:szCs w:val="32"/>
        </w:rPr>
        <w:t>，实时掌控水质变化情况，提高预警预判能力</w:t>
      </w:r>
      <w:r>
        <w:rPr>
          <w:rFonts w:ascii="Times New Roman" w:eastAsia="方正仿宋_GBK" w:cs="Times New Roman"/>
          <w:szCs w:val="32"/>
        </w:rPr>
        <w:t>。结合河道综合整治工程，建成覆盖重点河湖的水质自动监测站点，对实时掌握水质变化情况发挥了重要的功能。</w:t>
      </w:r>
      <w:r>
        <w:rPr>
          <w:rFonts w:hint="eastAsia" w:ascii="Times New Roman" w:eastAsia="方正仿宋_GBK" w:cs="Times New Roman"/>
          <w:szCs w:val="32"/>
        </w:rPr>
        <w:t>启动并实施</w:t>
      </w:r>
      <w:r>
        <w:rPr>
          <w:rFonts w:ascii="Times New Roman" w:eastAsia="方正仿宋_GBK" w:cs="Times New Roman"/>
          <w:szCs w:val="32"/>
        </w:rPr>
        <w:t>智慧水务综合管控平台（一期）建设，建</w:t>
      </w:r>
      <w:r>
        <w:rPr>
          <w:rFonts w:hint="eastAsia" w:ascii="Times New Roman" w:eastAsia="方正仿宋_GBK" w:cs="Times New Roman"/>
          <w:szCs w:val="32"/>
        </w:rPr>
        <w:t>设数据规范、</w:t>
      </w:r>
      <w:r>
        <w:rPr>
          <w:rFonts w:ascii="Times New Roman" w:eastAsia="方正仿宋_GBK" w:cs="Times New Roman"/>
          <w:szCs w:val="32"/>
        </w:rPr>
        <w:t>标准统一</w:t>
      </w:r>
      <w:r>
        <w:rPr>
          <w:rFonts w:hint="eastAsia" w:ascii="Times New Roman" w:eastAsia="方正仿宋_GBK" w:cs="Times New Roman"/>
          <w:szCs w:val="32"/>
        </w:rPr>
        <w:t>、网络安全、技术可靠</w:t>
      </w:r>
      <w:r>
        <w:rPr>
          <w:rFonts w:ascii="Times New Roman" w:eastAsia="方正仿宋_GBK" w:cs="Times New Roman"/>
          <w:szCs w:val="32"/>
        </w:rPr>
        <w:t>的水务大数据中心</w:t>
      </w:r>
      <w:r>
        <w:rPr>
          <w:rFonts w:hint="eastAsia" w:ascii="Times New Roman" w:eastAsia="方正仿宋_GBK" w:cs="Times New Roman"/>
          <w:szCs w:val="32"/>
        </w:rPr>
        <w:t>及水务设施数据库</w:t>
      </w:r>
      <w:r>
        <w:rPr>
          <w:rFonts w:ascii="Times New Roman" w:eastAsia="方正仿宋_GBK" w:cs="Times New Roman"/>
          <w:szCs w:val="32"/>
        </w:rPr>
        <w:t>，可实现所有监控信息</w:t>
      </w:r>
      <w:r>
        <w:rPr>
          <w:rFonts w:hint="eastAsia" w:ascii="Times New Roman" w:eastAsia="方正仿宋_GBK" w:cs="Times New Roman"/>
          <w:szCs w:val="32"/>
        </w:rPr>
        <w:t>、数据信息、前端感知</w:t>
      </w:r>
      <w:r>
        <w:rPr>
          <w:rFonts w:ascii="Times New Roman" w:eastAsia="方正仿宋_GBK" w:cs="Times New Roman"/>
          <w:szCs w:val="32"/>
        </w:rPr>
        <w:t>一张图展示</w:t>
      </w:r>
      <w:r>
        <w:rPr>
          <w:rFonts w:hint="eastAsia" w:ascii="Times New Roman" w:eastAsia="方正仿宋_GBK" w:cs="Times New Roman"/>
          <w:szCs w:val="32"/>
        </w:rPr>
        <w:t>，</w:t>
      </w:r>
      <w:r>
        <w:rPr>
          <w:rFonts w:ascii="Times New Roman" w:eastAsia="方正仿宋_GBK" w:cs="Times New Roman"/>
          <w:szCs w:val="32"/>
        </w:rPr>
        <w:t>排水管网</w:t>
      </w:r>
      <w:r>
        <w:rPr>
          <w:rFonts w:hint="eastAsia" w:ascii="Times New Roman" w:eastAsia="方正仿宋_GBK" w:cs="Times New Roman"/>
          <w:szCs w:val="32"/>
        </w:rPr>
        <w:t>多种类型</w:t>
      </w:r>
      <w:r>
        <w:rPr>
          <w:rFonts w:ascii="Times New Roman" w:eastAsia="方正仿宋_GBK" w:cs="Times New Roman"/>
          <w:szCs w:val="32"/>
        </w:rPr>
        <w:t>管道</w:t>
      </w:r>
      <w:r>
        <w:rPr>
          <w:rFonts w:hint="eastAsia" w:ascii="Times New Roman" w:eastAsia="方正仿宋_GBK" w:cs="Times New Roman"/>
          <w:szCs w:val="32"/>
        </w:rPr>
        <w:t>联合</w:t>
      </w:r>
      <w:r>
        <w:rPr>
          <w:rFonts w:ascii="Times New Roman" w:eastAsia="方正仿宋_GBK" w:cs="Times New Roman"/>
          <w:szCs w:val="32"/>
        </w:rPr>
        <w:t>管理与分析，</w:t>
      </w:r>
      <w:r>
        <w:rPr>
          <w:rFonts w:hint="eastAsia" w:ascii="Times New Roman" w:eastAsia="方正仿宋_GBK" w:cs="Times New Roman"/>
          <w:szCs w:val="32"/>
        </w:rPr>
        <w:t>为河道水质监控、雨污分流管控、河道管理养护、防汛调度指挥、生态健康评估及应急突发问题及时发现处置</w:t>
      </w:r>
      <w:r>
        <w:rPr>
          <w:rFonts w:ascii="Times New Roman" w:eastAsia="方正仿宋_GBK" w:cs="Times New Roman"/>
          <w:szCs w:val="32"/>
        </w:rPr>
        <w:t>提供科学决策依据和有力保障。</w:t>
      </w:r>
    </w:p>
    <w:bookmarkEnd w:id="16"/>
    <w:p w14:paraId="6C9EBE9A">
      <w:pPr>
        <w:pStyle w:val="26"/>
        <w:spacing w:line="600" w:lineRule="atLeast"/>
        <w:rPr>
          <w:rFonts w:eastAsia="方正楷体_GBK" w:cs="Times New Roman"/>
          <w:sz w:val="32"/>
          <w:szCs w:val="32"/>
        </w:rPr>
      </w:pPr>
      <w:bookmarkStart w:id="18" w:name="_Toc81566728"/>
      <w:r>
        <w:rPr>
          <w:rFonts w:eastAsia="方正楷体_GBK" w:cs="Times New Roman"/>
          <w:sz w:val="32"/>
          <w:szCs w:val="32"/>
        </w:rPr>
        <w:t>（二）指标完成情况</w:t>
      </w:r>
      <w:bookmarkEnd w:id="18"/>
    </w:p>
    <w:p w14:paraId="12DA710B">
      <w:pPr>
        <w:spacing w:line="600" w:lineRule="atLeast"/>
        <w:ind w:firstLine="594" w:firstLineChars="200"/>
        <w:rPr>
          <w:rFonts w:cs="Times New Roman"/>
          <w:szCs w:val="32"/>
        </w:rPr>
      </w:pPr>
      <w:r>
        <w:rPr>
          <w:rFonts w:cs="Times New Roman"/>
          <w:szCs w:val="32"/>
        </w:rPr>
        <w:t>参照《南京市“十三五”水利发展规划》，</w:t>
      </w:r>
      <w:r>
        <w:rPr>
          <w:rFonts w:hint="eastAsia" w:cs="Times New Roman"/>
          <w:szCs w:val="32"/>
        </w:rPr>
        <w:t>结合《秦淮区“十三五”总体发展规划》及相关专项规划中提取的水务相关指标、目标和规划内容</w:t>
      </w:r>
      <w:r>
        <w:rPr>
          <w:rFonts w:cs="Times New Roman"/>
          <w:szCs w:val="32"/>
        </w:rPr>
        <w:t>，逐项对照，对其完成情况进行分析梳理，为科学制定“十四五”规划目标值提供依据。</w:t>
      </w:r>
    </w:p>
    <w:p w14:paraId="352B1B55">
      <w:pPr>
        <w:pStyle w:val="32"/>
        <w:spacing w:line="600" w:lineRule="atLeast"/>
        <w:rPr>
          <w:rFonts w:eastAsia="方正楷体_GBK" w:cs="Times New Roman"/>
          <w:szCs w:val="32"/>
        </w:rPr>
      </w:pPr>
      <w:r>
        <w:rPr>
          <w:rFonts w:eastAsia="方正楷体_GBK" w:cs="Times New Roman"/>
          <w:szCs w:val="32"/>
        </w:rPr>
        <w:t>1、《南京市水</w:t>
      </w:r>
      <w:r>
        <w:rPr>
          <w:rFonts w:hint="eastAsia" w:eastAsia="方正楷体_GBK" w:cs="Times New Roman"/>
          <w:szCs w:val="32"/>
        </w:rPr>
        <w:t>利</w:t>
      </w:r>
      <w:r>
        <w:rPr>
          <w:rFonts w:eastAsia="方正楷体_GBK" w:cs="Times New Roman"/>
          <w:szCs w:val="32"/>
        </w:rPr>
        <w:t>发展“十三五”规划》实施情况评估</w:t>
      </w:r>
    </w:p>
    <w:p w14:paraId="0382C82C">
      <w:pPr>
        <w:spacing w:line="600" w:lineRule="atLeast"/>
        <w:ind w:firstLine="594" w:firstLineChars="200"/>
        <w:rPr>
          <w:rFonts w:cs="Times New Roman"/>
          <w:szCs w:val="32"/>
        </w:rPr>
      </w:pPr>
      <w:r>
        <w:rPr>
          <w:rFonts w:cs="Times New Roman"/>
          <w:szCs w:val="32"/>
        </w:rPr>
        <w:t>“十三五”水</w:t>
      </w:r>
      <w:r>
        <w:rPr>
          <w:rFonts w:hint="eastAsia" w:cs="Times New Roman"/>
          <w:szCs w:val="32"/>
        </w:rPr>
        <w:t>利</w:t>
      </w:r>
      <w:r>
        <w:rPr>
          <w:rFonts w:cs="Times New Roman"/>
          <w:szCs w:val="32"/>
        </w:rPr>
        <w:t>发展规划共设置19项指标，其中4项约束性指标，15项预期性指标。实施情况总体较好，16项定量指标全部达到或超过规划目标，流域防洪标准、区域防洪排涝标准和城市防洪排涝标准等3项定性指标总体达到规划要求，但仍存在短板和薄弱环节。</w:t>
      </w:r>
    </w:p>
    <w:p w14:paraId="36CB0C94">
      <w:pPr>
        <w:spacing w:line="600" w:lineRule="atLeast"/>
        <w:jc w:val="center"/>
        <w:rPr>
          <w:rFonts w:eastAsia="方正黑体_GBK" w:cs="Times New Roman"/>
          <w:color w:val="000000" w:themeColor="text1"/>
          <w:szCs w:val="32"/>
          <w14:textFill>
            <w14:solidFill>
              <w14:schemeClr w14:val="tx1"/>
            </w14:solidFill>
          </w14:textFill>
        </w:rPr>
      </w:pPr>
    </w:p>
    <w:p w14:paraId="7D85018F">
      <w:pPr>
        <w:spacing w:line="600" w:lineRule="atLeast"/>
        <w:jc w:val="center"/>
        <w:rPr>
          <w:rFonts w:eastAsia="方正黑体_GBK" w:cs="Times New Roman"/>
          <w:color w:val="000000" w:themeColor="text1"/>
          <w:szCs w:val="32"/>
          <w14:textFill>
            <w14:solidFill>
              <w14:schemeClr w14:val="tx1"/>
            </w14:solidFill>
          </w14:textFill>
        </w:rPr>
      </w:pPr>
      <w:r>
        <w:rPr>
          <w:rFonts w:eastAsia="方正黑体_GBK" w:cs="Times New Roman"/>
          <w:color w:val="000000" w:themeColor="text1"/>
          <w:szCs w:val="32"/>
          <w14:textFill>
            <w14:solidFill>
              <w14:schemeClr w14:val="tx1"/>
            </w14:solidFill>
          </w14:textFill>
        </w:rPr>
        <w:t>南京市“十三五”水务发展规划实施情况评估表</w:t>
      </w:r>
    </w:p>
    <w:tbl>
      <w:tblPr>
        <w:tblStyle w:val="16"/>
        <w:tblW w:w="52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2354"/>
        <w:gridCol w:w="956"/>
        <w:gridCol w:w="2275"/>
        <w:gridCol w:w="2513"/>
        <w:gridCol w:w="714"/>
      </w:tblGrid>
      <w:tr w14:paraId="0942B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blHeader/>
          <w:jc w:val="center"/>
        </w:trPr>
        <w:tc>
          <w:tcPr>
            <w:tcW w:w="283" w:type="pct"/>
            <w:tcBorders>
              <w:right w:val="single" w:color="auto" w:sz="4" w:space="0"/>
            </w:tcBorders>
            <w:shd w:val="clear" w:color="auto" w:fill="auto"/>
            <w:vAlign w:val="center"/>
          </w:tcPr>
          <w:p w14:paraId="33B1056C">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序号</w:t>
            </w:r>
          </w:p>
        </w:tc>
        <w:tc>
          <w:tcPr>
            <w:tcW w:w="1259" w:type="pct"/>
            <w:tcBorders>
              <w:right w:val="single" w:color="auto" w:sz="4" w:space="0"/>
            </w:tcBorders>
            <w:shd w:val="clear" w:color="auto" w:fill="auto"/>
            <w:vAlign w:val="center"/>
          </w:tcPr>
          <w:p w14:paraId="325F2477">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指标体系</w:t>
            </w:r>
          </w:p>
        </w:tc>
        <w:tc>
          <w:tcPr>
            <w:tcW w:w="512" w:type="pct"/>
            <w:tcBorders>
              <w:top w:val="single" w:color="auto" w:sz="4" w:space="0"/>
              <w:left w:val="single" w:color="auto" w:sz="4" w:space="0"/>
              <w:right w:val="single" w:color="auto" w:sz="4" w:space="0"/>
            </w:tcBorders>
            <w:shd w:val="clear" w:color="auto" w:fill="auto"/>
            <w:vAlign w:val="center"/>
          </w:tcPr>
          <w:p w14:paraId="53198941">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指标</w:t>
            </w:r>
          </w:p>
          <w:p w14:paraId="3E85F009">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属性</w:t>
            </w:r>
          </w:p>
        </w:tc>
        <w:tc>
          <w:tcPr>
            <w:tcW w:w="1217" w:type="pct"/>
            <w:tcBorders>
              <w:top w:val="single" w:color="auto" w:sz="4" w:space="0"/>
              <w:left w:val="single" w:color="auto" w:sz="4" w:space="0"/>
              <w:right w:val="single" w:color="auto" w:sz="4" w:space="0"/>
            </w:tcBorders>
            <w:shd w:val="clear" w:color="auto" w:fill="auto"/>
            <w:vAlign w:val="center"/>
          </w:tcPr>
          <w:p w14:paraId="05D619FD">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2020年规划目标</w:t>
            </w:r>
          </w:p>
        </w:tc>
        <w:tc>
          <w:tcPr>
            <w:tcW w:w="1344" w:type="pct"/>
            <w:tcBorders>
              <w:left w:val="single" w:color="auto" w:sz="4" w:space="0"/>
              <w:right w:val="single" w:color="auto" w:sz="4" w:space="0"/>
            </w:tcBorders>
            <w:vAlign w:val="center"/>
          </w:tcPr>
          <w:p w14:paraId="7FCCCF98">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2020年水平</w:t>
            </w:r>
          </w:p>
        </w:tc>
        <w:tc>
          <w:tcPr>
            <w:tcW w:w="382" w:type="pct"/>
            <w:tcBorders>
              <w:left w:val="single" w:color="auto" w:sz="4" w:space="0"/>
              <w:right w:val="single" w:color="auto" w:sz="4" w:space="0"/>
            </w:tcBorders>
            <w:vAlign w:val="center"/>
          </w:tcPr>
          <w:p w14:paraId="5137AAE2">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完成情况</w:t>
            </w:r>
          </w:p>
        </w:tc>
      </w:tr>
      <w:tr w14:paraId="3C3A2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283" w:type="pct"/>
            <w:shd w:val="clear" w:color="auto" w:fill="auto"/>
            <w:vAlign w:val="center"/>
          </w:tcPr>
          <w:p w14:paraId="4C7C8E6A">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1</w:t>
            </w:r>
          </w:p>
        </w:tc>
        <w:tc>
          <w:tcPr>
            <w:tcW w:w="1259" w:type="pct"/>
            <w:shd w:val="clear" w:color="auto" w:fill="auto"/>
            <w:vAlign w:val="center"/>
          </w:tcPr>
          <w:p w14:paraId="34A13418">
            <w:pPr>
              <w:widowControl/>
              <w:adjustRightInd w:val="0"/>
              <w:snapToGrid w:val="0"/>
              <w:jc w:val="left"/>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流域防洪标准</w:t>
            </w:r>
          </w:p>
        </w:tc>
        <w:tc>
          <w:tcPr>
            <w:tcW w:w="512" w:type="pct"/>
            <w:shd w:val="clear" w:color="auto" w:fill="auto"/>
            <w:vAlign w:val="center"/>
          </w:tcPr>
          <w:p w14:paraId="57E54B5B">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预期性</w:t>
            </w:r>
          </w:p>
        </w:tc>
        <w:tc>
          <w:tcPr>
            <w:tcW w:w="1217" w:type="pct"/>
            <w:shd w:val="clear" w:color="auto" w:fill="auto"/>
            <w:vAlign w:val="center"/>
          </w:tcPr>
          <w:p w14:paraId="3E7BD616">
            <w:pPr>
              <w:widowControl/>
              <w:adjustRightInd w:val="0"/>
              <w:snapToGrid w:val="0"/>
              <w:jc w:val="left"/>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长江干堤防御1954年型洪水；秦淮河流域50年一遇；滁河流域20年一遇；水阳江流域20-40年一遇</w:t>
            </w:r>
          </w:p>
        </w:tc>
        <w:tc>
          <w:tcPr>
            <w:tcW w:w="1344" w:type="pct"/>
            <w:vAlign w:val="center"/>
          </w:tcPr>
          <w:p w14:paraId="1E3D2490">
            <w:pPr>
              <w:widowControl/>
              <w:adjustRightInd w:val="0"/>
              <w:snapToGrid w:val="0"/>
              <w:jc w:val="left"/>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长江干堤防御1954年型洪水；秦淮河流域基本达50年一遇；滁河流域基本达20年一遇；水阳江流域基本达20-40年一遇</w:t>
            </w:r>
          </w:p>
        </w:tc>
        <w:tc>
          <w:tcPr>
            <w:tcW w:w="382" w:type="pct"/>
            <w:vAlign w:val="center"/>
          </w:tcPr>
          <w:p w14:paraId="7F088B66">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基本完成</w:t>
            </w:r>
          </w:p>
        </w:tc>
      </w:tr>
      <w:tr w14:paraId="48F6F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283" w:type="pct"/>
            <w:shd w:val="clear" w:color="auto" w:fill="auto"/>
            <w:vAlign w:val="center"/>
          </w:tcPr>
          <w:p w14:paraId="4130C1C8">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2</w:t>
            </w:r>
          </w:p>
        </w:tc>
        <w:tc>
          <w:tcPr>
            <w:tcW w:w="1259" w:type="pct"/>
            <w:shd w:val="clear" w:color="auto" w:fill="auto"/>
            <w:vAlign w:val="center"/>
          </w:tcPr>
          <w:p w14:paraId="21506031">
            <w:pPr>
              <w:widowControl/>
              <w:adjustRightInd w:val="0"/>
              <w:snapToGrid w:val="0"/>
              <w:jc w:val="left"/>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区域防洪除涝标准</w:t>
            </w:r>
          </w:p>
        </w:tc>
        <w:tc>
          <w:tcPr>
            <w:tcW w:w="512" w:type="pct"/>
            <w:shd w:val="clear" w:color="auto" w:fill="auto"/>
            <w:vAlign w:val="center"/>
          </w:tcPr>
          <w:p w14:paraId="688277E6">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预期性</w:t>
            </w:r>
          </w:p>
        </w:tc>
        <w:tc>
          <w:tcPr>
            <w:tcW w:w="1217" w:type="pct"/>
            <w:shd w:val="clear" w:color="auto" w:fill="auto"/>
            <w:vAlign w:val="center"/>
          </w:tcPr>
          <w:p w14:paraId="07D439FA">
            <w:pPr>
              <w:widowControl/>
              <w:adjustRightInd w:val="0"/>
              <w:snapToGrid w:val="0"/>
              <w:jc w:val="left"/>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防洪：骨干河道达20年一遇；除涝：达到20年一遇</w:t>
            </w:r>
          </w:p>
        </w:tc>
        <w:tc>
          <w:tcPr>
            <w:tcW w:w="1344" w:type="pct"/>
            <w:vAlign w:val="center"/>
          </w:tcPr>
          <w:p w14:paraId="24EA4BEF">
            <w:pPr>
              <w:widowControl/>
              <w:adjustRightInd w:val="0"/>
              <w:snapToGrid w:val="0"/>
              <w:jc w:val="left"/>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防洪：骨干河道基本达20年一遇；除涝：基本达到20年一遇</w:t>
            </w:r>
          </w:p>
        </w:tc>
        <w:tc>
          <w:tcPr>
            <w:tcW w:w="382" w:type="pct"/>
            <w:vAlign w:val="center"/>
          </w:tcPr>
          <w:p w14:paraId="1FA77BEF">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基本完成</w:t>
            </w:r>
          </w:p>
        </w:tc>
      </w:tr>
      <w:tr w14:paraId="1C62A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283" w:type="pct"/>
            <w:shd w:val="clear" w:color="auto" w:fill="auto"/>
            <w:vAlign w:val="center"/>
          </w:tcPr>
          <w:p w14:paraId="5FD8DEC8">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3</w:t>
            </w:r>
          </w:p>
        </w:tc>
        <w:tc>
          <w:tcPr>
            <w:tcW w:w="1259" w:type="pct"/>
            <w:shd w:val="clear" w:color="auto" w:fill="auto"/>
            <w:vAlign w:val="center"/>
          </w:tcPr>
          <w:p w14:paraId="0743EC55">
            <w:pPr>
              <w:widowControl/>
              <w:adjustRightInd w:val="0"/>
              <w:snapToGrid w:val="0"/>
              <w:jc w:val="left"/>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城市防洪排涝标准</w:t>
            </w:r>
          </w:p>
        </w:tc>
        <w:tc>
          <w:tcPr>
            <w:tcW w:w="512" w:type="pct"/>
            <w:shd w:val="clear" w:color="auto" w:fill="auto"/>
            <w:vAlign w:val="center"/>
          </w:tcPr>
          <w:p w14:paraId="5B4243D1">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预期性</w:t>
            </w:r>
          </w:p>
        </w:tc>
        <w:tc>
          <w:tcPr>
            <w:tcW w:w="1217" w:type="pct"/>
            <w:shd w:val="clear" w:color="auto" w:fill="auto"/>
            <w:vAlign w:val="center"/>
          </w:tcPr>
          <w:p w14:paraId="1B528B2D">
            <w:pPr>
              <w:widowControl/>
              <w:adjustRightInd w:val="0"/>
              <w:snapToGrid w:val="0"/>
              <w:jc w:val="left"/>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主城基本达到200年一遇，副城基本达到100年一遇；重要排涝河道20年一遇</w:t>
            </w:r>
          </w:p>
        </w:tc>
        <w:tc>
          <w:tcPr>
            <w:tcW w:w="1344" w:type="pct"/>
            <w:vAlign w:val="center"/>
          </w:tcPr>
          <w:p w14:paraId="5EDB8380">
            <w:pPr>
              <w:widowControl/>
              <w:adjustRightInd w:val="0"/>
              <w:snapToGrid w:val="0"/>
              <w:jc w:val="left"/>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主城达到100-200年一遇，副城基本达到50-100年一遇；重要排涝河道基本达20年一遇</w:t>
            </w:r>
          </w:p>
        </w:tc>
        <w:tc>
          <w:tcPr>
            <w:tcW w:w="382" w:type="pct"/>
            <w:vAlign w:val="center"/>
          </w:tcPr>
          <w:p w14:paraId="2A6ED9C4">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基本完成</w:t>
            </w:r>
          </w:p>
        </w:tc>
      </w:tr>
      <w:tr w14:paraId="64AE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83" w:type="pct"/>
            <w:shd w:val="clear" w:color="auto" w:fill="auto"/>
            <w:vAlign w:val="center"/>
          </w:tcPr>
          <w:p w14:paraId="77B3A1D9">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4</w:t>
            </w:r>
          </w:p>
        </w:tc>
        <w:tc>
          <w:tcPr>
            <w:tcW w:w="1259" w:type="pct"/>
            <w:shd w:val="clear" w:color="auto" w:fill="auto"/>
            <w:vAlign w:val="center"/>
          </w:tcPr>
          <w:p w14:paraId="34ED4684">
            <w:pPr>
              <w:widowControl/>
              <w:adjustRightInd w:val="0"/>
              <w:snapToGrid w:val="0"/>
              <w:jc w:val="left"/>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总用水量</w:t>
            </w:r>
          </w:p>
        </w:tc>
        <w:tc>
          <w:tcPr>
            <w:tcW w:w="512" w:type="pct"/>
            <w:shd w:val="clear" w:color="auto" w:fill="auto"/>
            <w:vAlign w:val="center"/>
          </w:tcPr>
          <w:p w14:paraId="7838C462">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约束性</w:t>
            </w:r>
          </w:p>
        </w:tc>
        <w:tc>
          <w:tcPr>
            <w:tcW w:w="1217" w:type="pct"/>
            <w:shd w:val="clear" w:color="auto" w:fill="auto"/>
            <w:vAlign w:val="center"/>
          </w:tcPr>
          <w:p w14:paraId="492D4459">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≤45.82亿m3</w:t>
            </w:r>
          </w:p>
        </w:tc>
        <w:tc>
          <w:tcPr>
            <w:tcW w:w="1344" w:type="pct"/>
            <w:vAlign w:val="center"/>
          </w:tcPr>
          <w:p w14:paraId="10E74703">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36.33亿m3</w:t>
            </w:r>
          </w:p>
        </w:tc>
        <w:tc>
          <w:tcPr>
            <w:tcW w:w="382" w:type="pct"/>
            <w:vAlign w:val="center"/>
          </w:tcPr>
          <w:p w14:paraId="5738176C">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完成</w:t>
            </w:r>
          </w:p>
        </w:tc>
      </w:tr>
      <w:tr w14:paraId="43FFB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83" w:type="pct"/>
            <w:shd w:val="clear" w:color="auto" w:fill="auto"/>
            <w:vAlign w:val="center"/>
          </w:tcPr>
          <w:p w14:paraId="456F8B82">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5</w:t>
            </w:r>
          </w:p>
        </w:tc>
        <w:tc>
          <w:tcPr>
            <w:tcW w:w="1259" w:type="pct"/>
            <w:shd w:val="clear" w:color="auto" w:fill="auto"/>
            <w:vAlign w:val="center"/>
          </w:tcPr>
          <w:p w14:paraId="2F9EC8DF">
            <w:pPr>
              <w:widowControl/>
              <w:adjustRightInd w:val="0"/>
              <w:snapToGrid w:val="0"/>
              <w:jc w:val="left"/>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万元GDP用水量</w:t>
            </w:r>
          </w:p>
        </w:tc>
        <w:tc>
          <w:tcPr>
            <w:tcW w:w="512" w:type="pct"/>
            <w:shd w:val="clear" w:color="auto" w:fill="auto"/>
            <w:vAlign w:val="center"/>
          </w:tcPr>
          <w:p w14:paraId="204BC34F">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约束性</w:t>
            </w:r>
          </w:p>
        </w:tc>
        <w:tc>
          <w:tcPr>
            <w:tcW w:w="1217" w:type="pct"/>
            <w:shd w:val="clear" w:color="auto" w:fill="auto"/>
            <w:vAlign w:val="center"/>
          </w:tcPr>
          <w:p w14:paraId="61A3922E">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&lt;38m3</w:t>
            </w:r>
          </w:p>
        </w:tc>
        <w:tc>
          <w:tcPr>
            <w:tcW w:w="1344" w:type="pct"/>
            <w:vAlign w:val="center"/>
          </w:tcPr>
          <w:p w14:paraId="6268D2E5">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30.3m3（2019年）</w:t>
            </w:r>
          </w:p>
        </w:tc>
        <w:tc>
          <w:tcPr>
            <w:tcW w:w="382" w:type="pct"/>
            <w:vAlign w:val="center"/>
          </w:tcPr>
          <w:p w14:paraId="1B347F7A">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完成</w:t>
            </w:r>
          </w:p>
        </w:tc>
      </w:tr>
      <w:tr w14:paraId="1E386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83" w:type="pct"/>
            <w:shd w:val="clear" w:color="auto" w:fill="auto"/>
            <w:vAlign w:val="center"/>
          </w:tcPr>
          <w:p w14:paraId="6EFA95D4">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6</w:t>
            </w:r>
          </w:p>
        </w:tc>
        <w:tc>
          <w:tcPr>
            <w:tcW w:w="1259" w:type="pct"/>
            <w:shd w:val="clear" w:color="auto" w:fill="auto"/>
            <w:vAlign w:val="center"/>
          </w:tcPr>
          <w:p w14:paraId="0F43A74A">
            <w:pPr>
              <w:widowControl/>
              <w:adjustRightInd w:val="0"/>
              <w:snapToGrid w:val="0"/>
              <w:jc w:val="left"/>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万元工业增加值用水量</w:t>
            </w:r>
          </w:p>
        </w:tc>
        <w:tc>
          <w:tcPr>
            <w:tcW w:w="512" w:type="pct"/>
            <w:shd w:val="clear" w:color="auto" w:fill="auto"/>
            <w:vAlign w:val="center"/>
          </w:tcPr>
          <w:p w14:paraId="6AB89C24">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约束性</w:t>
            </w:r>
          </w:p>
        </w:tc>
        <w:tc>
          <w:tcPr>
            <w:tcW w:w="1217" w:type="pct"/>
            <w:shd w:val="clear" w:color="auto" w:fill="auto"/>
            <w:vAlign w:val="center"/>
          </w:tcPr>
          <w:p w14:paraId="7B0B0D10">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&lt;13m3</w:t>
            </w:r>
          </w:p>
        </w:tc>
        <w:tc>
          <w:tcPr>
            <w:tcW w:w="1344" w:type="pct"/>
            <w:vAlign w:val="center"/>
          </w:tcPr>
          <w:p w14:paraId="73B484FD">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10.7m3（2019年）</w:t>
            </w:r>
          </w:p>
        </w:tc>
        <w:tc>
          <w:tcPr>
            <w:tcW w:w="382" w:type="pct"/>
            <w:vAlign w:val="center"/>
          </w:tcPr>
          <w:p w14:paraId="6B8A4A5C">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完成</w:t>
            </w:r>
          </w:p>
        </w:tc>
      </w:tr>
      <w:tr w14:paraId="6ADE7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83" w:type="pct"/>
            <w:shd w:val="clear" w:color="auto" w:fill="auto"/>
            <w:vAlign w:val="center"/>
          </w:tcPr>
          <w:p w14:paraId="51067687">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7</w:t>
            </w:r>
          </w:p>
        </w:tc>
        <w:tc>
          <w:tcPr>
            <w:tcW w:w="1259" w:type="pct"/>
            <w:shd w:val="clear" w:color="auto" w:fill="auto"/>
            <w:vAlign w:val="center"/>
          </w:tcPr>
          <w:p w14:paraId="2AD2CCB9">
            <w:pPr>
              <w:widowControl/>
              <w:adjustRightInd w:val="0"/>
              <w:snapToGrid w:val="0"/>
              <w:jc w:val="left"/>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旱涝保收田面积率</w:t>
            </w:r>
          </w:p>
        </w:tc>
        <w:tc>
          <w:tcPr>
            <w:tcW w:w="512" w:type="pct"/>
            <w:shd w:val="clear" w:color="auto" w:fill="auto"/>
            <w:vAlign w:val="center"/>
          </w:tcPr>
          <w:p w14:paraId="7142242A">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预期性</w:t>
            </w:r>
          </w:p>
        </w:tc>
        <w:tc>
          <w:tcPr>
            <w:tcW w:w="1217" w:type="pct"/>
            <w:shd w:val="clear" w:color="auto" w:fill="auto"/>
            <w:vAlign w:val="center"/>
          </w:tcPr>
          <w:p w14:paraId="698CCA6D">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85%</w:t>
            </w:r>
          </w:p>
        </w:tc>
        <w:tc>
          <w:tcPr>
            <w:tcW w:w="1344" w:type="pct"/>
            <w:vAlign w:val="center"/>
          </w:tcPr>
          <w:p w14:paraId="67ED27B8">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92.6%</w:t>
            </w:r>
          </w:p>
        </w:tc>
        <w:tc>
          <w:tcPr>
            <w:tcW w:w="382" w:type="pct"/>
            <w:vAlign w:val="center"/>
          </w:tcPr>
          <w:p w14:paraId="0BA4E70E">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完成</w:t>
            </w:r>
          </w:p>
        </w:tc>
      </w:tr>
      <w:tr w14:paraId="1D068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83" w:type="pct"/>
            <w:shd w:val="clear" w:color="auto" w:fill="auto"/>
            <w:vAlign w:val="center"/>
          </w:tcPr>
          <w:p w14:paraId="3EF53AAB">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8</w:t>
            </w:r>
          </w:p>
        </w:tc>
        <w:tc>
          <w:tcPr>
            <w:tcW w:w="1259" w:type="pct"/>
            <w:shd w:val="clear" w:color="auto" w:fill="auto"/>
            <w:vAlign w:val="center"/>
          </w:tcPr>
          <w:p w14:paraId="7C66440D">
            <w:pPr>
              <w:widowControl/>
              <w:adjustRightInd w:val="0"/>
              <w:snapToGrid w:val="0"/>
              <w:jc w:val="left"/>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灌溉水利用系数</w:t>
            </w:r>
          </w:p>
        </w:tc>
        <w:tc>
          <w:tcPr>
            <w:tcW w:w="512" w:type="pct"/>
            <w:shd w:val="clear" w:color="auto" w:fill="auto"/>
            <w:vAlign w:val="center"/>
          </w:tcPr>
          <w:p w14:paraId="11A0F511">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预期性</w:t>
            </w:r>
          </w:p>
        </w:tc>
        <w:tc>
          <w:tcPr>
            <w:tcW w:w="1217" w:type="pct"/>
            <w:shd w:val="clear" w:color="auto" w:fill="auto"/>
            <w:vAlign w:val="center"/>
          </w:tcPr>
          <w:p w14:paraId="5FAF3A6C">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&gt;0.65</w:t>
            </w:r>
          </w:p>
        </w:tc>
        <w:tc>
          <w:tcPr>
            <w:tcW w:w="1344" w:type="pct"/>
            <w:vAlign w:val="center"/>
          </w:tcPr>
          <w:p w14:paraId="2420F56F">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0.68</w:t>
            </w:r>
          </w:p>
        </w:tc>
        <w:tc>
          <w:tcPr>
            <w:tcW w:w="382" w:type="pct"/>
            <w:vAlign w:val="center"/>
          </w:tcPr>
          <w:p w14:paraId="0C7B9D03">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完成</w:t>
            </w:r>
          </w:p>
        </w:tc>
      </w:tr>
      <w:tr w14:paraId="3E93B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83" w:type="pct"/>
            <w:shd w:val="clear" w:color="auto" w:fill="auto"/>
            <w:vAlign w:val="center"/>
          </w:tcPr>
          <w:p w14:paraId="4ECA9B5D">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9</w:t>
            </w:r>
          </w:p>
        </w:tc>
        <w:tc>
          <w:tcPr>
            <w:tcW w:w="1259" w:type="pct"/>
            <w:shd w:val="clear" w:color="auto" w:fill="auto"/>
            <w:vAlign w:val="center"/>
          </w:tcPr>
          <w:p w14:paraId="424A8E51">
            <w:pPr>
              <w:widowControl/>
              <w:adjustRightInd w:val="0"/>
              <w:snapToGrid w:val="0"/>
              <w:jc w:val="left"/>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节水灌溉工程面积率</w:t>
            </w:r>
          </w:p>
        </w:tc>
        <w:tc>
          <w:tcPr>
            <w:tcW w:w="512" w:type="pct"/>
            <w:shd w:val="clear" w:color="auto" w:fill="auto"/>
            <w:vAlign w:val="center"/>
          </w:tcPr>
          <w:p w14:paraId="539A1966">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预期性</w:t>
            </w:r>
          </w:p>
        </w:tc>
        <w:tc>
          <w:tcPr>
            <w:tcW w:w="1217" w:type="pct"/>
            <w:shd w:val="clear" w:color="auto" w:fill="auto"/>
            <w:vAlign w:val="center"/>
          </w:tcPr>
          <w:p w14:paraId="49E40540">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75%</w:t>
            </w:r>
          </w:p>
        </w:tc>
        <w:tc>
          <w:tcPr>
            <w:tcW w:w="1344" w:type="pct"/>
            <w:vAlign w:val="center"/>
          </w:tcPr>
          <w:p w14:paraId="207A8301">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75.2%</w:t>
            </w:r>
          </w:p>
        </w:tc>
        <w:tc>
          <w:tcPr>
            <w:tcW w:w="382" w:type="pct"/>
            <w:vAlign w:val="center"/>
          </w:tcPr>
          <w:p w14:paraId="50AD673B">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完成</w:t>
            </w:r>
          </w:p>
        </w:tc>
      </w:tr>
      <w:tr w14:paraId="5BEC3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83" w:type="pct"/>
            <w:shd w:val="clear" w:color="auto" w:fill="auto"/>
            <w:vAlign w:val="center"/>
          </w:tcPr>
          <w:p w14:paraId="0F722CD9">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10</w:t>
            </w:r>
          </w:p>
        </w:tc>
        <w:tc>
          <w:tcPr>
            <w:tcW w:w="1259" w:type="pct"/>
            <w:shd w:val="clear" w:color="auto" w:fill="auto"/>
            <w:vAlign w:val="center"/>
          </w:tcPr>
          <w:p w14:paraId="2CBB7C41">
            <w:pPr>
              <w:widowControl/>
              <w:adjustRightInd w:val="0"/>
              <w:snapToGrid w:val="0"/>
              <w:jc w:val="left"/>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重点水功能区水质达标率</w:t>
            </w:r>
          </w:p>
        </w:tc>
        <w:tc>
          <w:tcPr>
            <w:tcW w:w="512" w:type="pct"/>
            <w:shd w:val="clear" w:color="auto" w:fill="auto"/>
            <w:vAlign w:val="center"/>
          </w:tcPr>
          <w:p w14:paraId="0C46DFAC">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预期性</w:t>
            </w:r>
          </w:p>
        </w:tc>
        <w:tc>
          <w:tcPr>
            <w:tcW w:w="1217" w:type="pct"/>
            <w:shd w:val="clear" w:color="auto" w:fill="auto"/>
            <w:vAlign w:val="center"/>
          </w:tcPr>
          <w:p w14:paraId="467A3E71">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≥85%</w:t>
            </w:r>
          </w:p>
        </w:tc>
        <w:tc>
          <w:tcPr>
            <w:tcW w:w="1344" w:type="pct"/>
            <w:vAlign w:val="center"/>
          </w:tcPr>
          <w:p w14:paraId="5B270160">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100%</w:t>
            </w:r>
          </w:p>
        </w:tc>
        <w:tc>
          <w:tcPr>
            <w:tcW w:w="382" w:type="pct"/>
            <w:vAlign w:val="center"/>
          </w:tcPr>
          <w:p w14:paraId="31B199AD">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完成</w:t>
            </w:r>
          </w:p>
        </w:tc>
      </w:tr>
      <w:tr w14:paraId="500FE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283" w:type="pct"/>
            <w:shd w:val="clear" w:color="auto" w:fill="auto"/>
            <w:vAlign w:val="center"/>
          </w:tcPr>
          <w:p w14:paraId="499F97F2">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11</w:t>
            </w:r>
          </w:p>
        </w:tc>
        <w:tc>
          <w:tcPr>
            <w:tcW w:w="1259" w:type="pct"/>
            <w:shd w:val="clear" w:color="auto" w:fill="auto"/>
            <w:vAlign w:val="center"/>
          </w:tcPr>
          <w:p w14:paraId="16A34AB1">
            <w:pPr>
              <w:widowControl/>
              <w:adjustRightInd w:val="0"/>
              <w:snapToGrid w:val="0"/>
              <w:jc w:val="left"/>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集中式饮用水源地水质达标率</w:t>
            </w:r>
          </w:p>
        </w:tc>
        <w:tc>
          <w:tcPr>
            <w:tcW w:w="512" w:type="pct"/>
            <w:shd w:val="clear" w:color="auto" w:fill="auto"/>
            <w:vAlign w:val="center"/>
          </w:tcPr>
          <w:p w14:paraId="5061AB68">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约束性</w:t>
            </w:r>
          </w:p>
        </w:tc>
        <w:tc>
          <w:tcPr>
            <w:tcW w:w="1217" w:type="pct"/>
            <w:shd w:val="clear" w:color="auto" w:fill="auto"/>
            <w:vAlign w:val="center"/>
          </w:tcPr>
          <w:p w14:paraId="20E7B9C1">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100%</w:t>
            </w:r>
          </w:p>
        </w:tc>
        <w:tc>
          <w:tcPr>
            <w:tcW w:w="1344" w:type="pct"/>
            <w:vAlign w:val="center"/>
          </w:tcPr>
          <w:p w14:paraId="198C4A65">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100%</w:t>
            </w:r>
          </w:p>
        </w:tc>
        <w:tc>
          <w:tcPr>
            <w:tcW w:w="382" w:type="pct"/>
            <w:vAlign w:val="center"/>
          </w:tcPr>
          <w:p w14:paraId="5D1FA45B">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完成</w:t>
            </w:r>
          </w:p>
        </w:tc>
      </w:tr>
      <w:tr w14:paraId="4B437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83" w:type="pct"/>
            <w:shd w:val="clear" w:color="auto" w:fill="auto"/>
            <w:vAlign w:val="center"/>
          </w:tcPr>
          <w:p w14:paraId="7EBFEDDD">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12</w:t>
            </w:r>
          </w:p>
        </w:tc>
        <w:tc>
          <w:tcPr>
            <w:tcW w:w="1259" w:type="pct"/>
            <w:shd w:val="clear" w:color="auto" w:fill="auto"/>
            <w:vAlign w:val="center"/>
          </w:tcPr>
          <w:p w14:paraId="34F4A39C">
            <w:pPr>
              <w:widowControl/>
              <w:adjustRightInd w:val="0"/>
              <w:snapToGrid w:val="0"/>
              <w:jc w:val="left"/>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深层地下水年开采量</w:t>
            </w:r>
          </w:p>
        </w:tc>
        <w:tc>
          <w:tcPr>
            <w:tcW w:w="512" w:type="pct"/>
            <w:shd w:val="clear" w:color="auto" w:fill="auto"/>
            <w:vAlign w:val="center"/>
          </w:tcPr>
          <w:p w14:paraId="626CD8D8">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预期性</w:t>
            </w:r>
          </w:p>
        </w:tc>
        <w:tc>
          <w:tcPr>
            <w:tcW w:w="1217" w:type="pct"/>
            <w:shd w:val="clear" w:color="auto" w:fill="auto"/>
            <w:vAlign w:val="center"/>
          </w:tcPr>
          <w:p w14:paraId="16847160">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&lt;958万m3</w:t>
            </w:r>
          </w:p>
        </w:tc>
        <w:tc>
          <w:tcPr>
            <w:tcW w:w="1344" w:type="pct"/>
            <w:vAlign w:val="center"/>
          </w:tcPr>
          <w:p w14:paraId="65B57187">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200万m3</w:t>
            </w:r>
          </w:p>
        </w:tc>
        <w:tc>
          <w:tcPr>
            <w:tcW w:w="382" w:type="pct"/>
            <w:vAlign w:val="center"/>
          </w:tcPr>
          <w:p w14:paraId="1CBBAC90">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完成</w:t>
            </w:r>
          </w:p>
        </w:tc>
      </w:tr>
      <w:tr w14:paraId="724EF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83" w:type="pct"/>
            <w:shd w:val="clear" w:color="auto" w:fill="auto"/>
            <w:vAlign w:val="center"/>
          </w:tcPr>
          <w:p w14:paraId="1409C296">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13</w:t>
            </w:r>
          </w:p>
        </w:tc>
        <w:tc>
          <w:tcPr>
            <w:tcW w:w="1259" w:type="pct"/>
            <w:shd w:val="clear" w:color="auto" w:fill="auto"/>
            <w:vAlign w:val="center"/>
          </w:tcPr>
          <w:p w14:paraId="4744E0A1">
            <w:pPr>
              <w:widowControl/>
              <w:adjustRightInd w:val="0"/>
              <w:snapToGrid w:val="0"/>
              <w:jc w:val="left"/>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区域供水街镇通达率</w:t>
            </w:r>
          </w:p>
        </w:tc>
        <w:tc>
          <w:tcPr>
            <w:tcW w:w="512" w:type="pct"/>
            <w:shd w:val="clear" w:color="auto" w:fill="auto"/>
            <w:vAlign w:val="center"/>
          </w:tcPr>
          <w:p w14:paraId="0FE85B82">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预期性</w:t>
            </w:r>
          </w:p>
        </w:tc>
        <w:tc>
          <w:tcPr>
            <w:tcW w:w="1217" w:type="pct"/>
            <w:shd w:val="clear" w:color="auto" w:fill="auto"/>
            <w:vAlign w:val="center"/>
          </w:tcPr>
          <w:p w14:paraId="0A069289">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100%</w:t>
            </w:r>
          </w:p>
        </w:tc>
        <w:tc>
          <w:tcPr>
            <w:tcW w:w="1344" w:type="pct"/>
            <w:vAlign w:val="center"/>
          </w:tcPr>
          <w:p w14:paraId="35D50CE0">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100%</w:t>
            </w:r>
          </w:p>
        </w:tc>
        <w:tc>
          <w:tcPr>
            <w:tcW w:w="382" w:type="pct"/>
            <w:vAlign w:val="center"/>
          </w:tcPr>
          <w:p w14:paraId="3E198061">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完成</w:t>
            </w:r>
          </w:p>
        </w:tc>
      </w:tr>
      <w:tr w14:paraId="4372B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83" w:type="pct"/>
            <w:shd w:val="clear" w:color="auto" w:fill="auto"/>
            <w:vAlign w:val="center"/>
          </w:tcPr>
          <w:p w14:paraId="3BFFF498">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14</w:t>
            </w:r>
          </w:p>
        </w:tc>
        <w:tc>
          <w:tcPr>
            <w:tcW w:w="1259" w:type="pct"/>
            <w:shd w:val="clear" w:color="auto" w:fill="auto"/>
            <w:vAlign w:val="center"/>
          </w:tcPr>
          <w:p w14:paraId="4BF320F8">
            <w:pPr>
              <w:widowControl/>
              <w:adjustRightInd w:val="0"/>
              <w:snapToGrid w:val="0"/>
              <w:jc w:val="left"/>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区域供水乡村通达率</w:t>
            </w:r>
          </w:p>
        </w:tc>
        <w:tc>
          <w:tcPr>
            <w:tcW w:w="512" w:type="pct"/>
            <w:shd w:val="clear" w:color="auto" w:fill="auto"/>
            <w:vAlign w:val="center"/>
          </w:tcPr>
          <w:p w14:paraId="2A6037AF">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预期性</w:t>
            </w:r>
          </w:p>
        </w:tc>
        <w:tc>
          <w:tcPr>
            <w:tcW w:w="1217" w:type="pct"/>
            <w:shd w:val="clear" w:color="auto" w:fill="auto"/>
            <w:vAlign w:val="center"/>
          </w:tcPr>
          <w:p w14:paraId="2C2F92DD">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90%</w:t>
            </w:r>
          </w:p>
        </w:tc>
        <w:tc>
          <w:tcPr>
            <w:tcW w:w="1344" w:type="pct"/>
            <w:vAlign w:val="center"/>
          </w:tcPr>
          <w:p w14:paraId="4E807A53">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95%</w:t>
            </w:r>
          </w:p>
        </w:tc>
        <w:tc>
          <w:tcPr>
            <w:tcW w:w="382" w:type="pct"/>
            <w:vAlign w:val="center"/>
          </w:tcPr>
          <w:p w14:paraId="2E4EFF6C">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完成</w:t>
            </w:r>
          </w:p>
        </w:tc>
      </w:tr>
      <w:tr w14:paraId="3D94D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83" w:type="pct"/>
            <w:shd w:val="clear" w:color="auto" w:fill="auto"/>
            <w:vAlign w:val="center"/>
          </w:tcPr>
          <w:p w14:paraId="3472D4D1">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15</w:t>
            </w:r>
          </w:p>
        </w:tc>
        <w:tc>
          <w:tcPr>
            <w:tcW w:w="1259" w:type="pct"/>
            <w:shd w:val="clear" w:color="auto" w:fill="auto"/>
            <w:vAlign w:val="center"/>
          </w:tcPr>
          <w:p w14:paraId="6704B759">
            <w:pPr>
              <w:widowControl/>
              <w:adjustRightInd w:val="0"/>
              <w:snapToGrid w:val="0"/>
              <w:jc w:val="left"/>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中心城区污水处理率</w:t>
            </w:r>
          </w:p>
        </w:tc>
        <w:tc>
          <w:tcPr>
            <w:tcW w:w="512" w:type="pct"/>
            <w:shd w:val="clear" w:color="auto" w:fill="auto"/>
            <w:vAlign w:val="center"/>
          </w:tcPr>
          <w:p w14:paraId="1CF4EC0A">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预期性</w:t>
            </w:r>
          </w:p>
        </w:tc>
        <w:tc>
          <w:tcPr>
            <w:tcW w:w="1217" w:type="pct"/>
            <w:shd w:val="clear" w:color="auto" w:fill="auto"/>
            <w:vAlign w:val="center"/>
          </w:tcPr>
          <w:p w14:paraId="1A4F4DCA">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98%</w:t>
            </w:r>
          </w:p>
        </w:tc>
        <w:tc>
          <w:tcPr>
            <w:tcW w:w="1344" w:type="pct"/>
            <w:vAlign w:val="center"/>
          </w:tcPr>
          <w:p w14:paraId="05302FFC">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98.3%</w:t>
            </w:r>
          </w:p>
        </w:tc>
        <w:tc>
          <w:tcPr>
            <w:tcW w:w="382" w:type="pct"/>
            <w:vAlign w:val="center"/>
          </w:tcPr>
          <w:p w14:paraId="2E179F7A">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完成</w:t>
            </w:r>
          </w:p>
        </w:tc>
      </w:tr>
      <w:tr w14:paraId="42F6E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283" w:type="pct"/>
            <w:shd w:val="clear" w:color="auto" w:fill="auto"/>
            <w:vAlign w:val="center"/>
          </w:tcPr>
          <w:p w14:paraId="6118D3CE">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16</w:t>
            </w:r>
          </w:p>
        </w:tc>
        <w:tc>
          <w:tcPr>
            <w:tcW w:w="1259" w:type="pct"/>
            <w:shd w:val="clear" w:color="auto" w:fill="auto"/>
            <w:vAlign w:val="center"/>
          </w:tcPr>
          <w:p w14:paraId="7A34B773">
            <w:pPr>
              <w:widowControl/>
              <w:adjustRightInd w:val="0"/>
              <w:snapToGrid w:val="0"/>
              <w:jc w:val="left"/>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新城及新市镇污水处理率</w:t>
            </w:r>
          </w:p>
        </w:tc>
        <w:tc>
          <w:tcPr>
            <w:tcW w:w="512" w:type="pct"/>
            <w:shd w:val="clear" w:color="auto" w:fill="auto"/>
            <w:vAlign w:val="center"/>
          </w:tcPr>
          <w:p w14:paraId="64F72203">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预期性</w:t>
            </w:r>
          </w:p>
        </w:tc>
        <w:tc>
          <w:tcPr>
            <w:tcW w:w="1217" w:type="pct"/>
            <w:shd w:val="clear" w:color="auto" w:fill="auto"/>
            <w:vAlign w:val="center"/>
          </w:tcPr>
          <w:p w14:paraId="3B2AD897">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90%</w:t>
            </w:r>
          </w:p>
        </w:tc>
        <w:tc>
          <w:tcPr>
            <w:tcW w:w="1344" w:type="pct"/>
            <w:vAlign w:val="center"/>
          </w:tcPr>
          <w:p w14:paraId="693FA74C">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90.5%</w:t>
            </w:r>
          </w:p>
        </w:tc>
        <w:tc>
          <w:tcPr>
            <w:tcW w:w="382" w:type="pct"/>
            <w:vAlign w:val="center"/>
          </w:tcPr>
          <w:p w14:paraId="59671E69">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完成</w:t>
            </w:r>
          </w:p>
        </w:tc>
      </w:tr>
      <w:tr w14:paraId="42F47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83" w:type="pct"/>
            <w:shd w:val="clear" w:color="auto" w:fill="auto"/>
            <w:vAlign w:val="center"/>
          </w:tcPr>
          <w:p w14:paraId="00404ACB">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17</w:t>
            </w:r>
          </w:p>
        </w:tc>
        <w:tc>
          <w:tcPr>
            <w:tcW w:w="1259" w:type="pct"/>
            <w:shd w:val="clear" w:color="auto" w:fill="auto"/>
            <w:vAlign w:val="center"/>
          </w:tcPr>
          <w:p w14:paraId="466ABD77">
            <w:pPr>
              <w:widowControl/>
              <w:adjustRightInd w:val="0"/>
              <w:snapToGrid w:val="0"/>
              <w:jc w:val="left"/>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供水管网漏损率</w:t>
            </w:r>
          </w:p>
        </w:tc>
        <w:tc>
          <w:tcPr>
            <w:tcW w:w="512" w:type="pct"/>
            <w:shd w:val="clear" w:color="auto" w:fill="auto"/>
            <w:vAlign w:val="center"/>
          </w:tcPr>
          <w:p w14:paraId="3E0E8238">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预期性</w:t>
            </w:r>
          </w:p>
        </w:tc>
        <w:tc>
          <w:tcPr>
            <w:tcW w:w="1217" w:type="pct"/>
            <w:shd w:val="clear" w:color="auto" w:fill="auto"/>
            <w:vAlign w:val="center"/>
          </w:tcPr>
          <w:p w14:paraId="4209B122">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&lt;10%</w:t>
            </w:r>
          </w:p>
        </w:tc>
        <w:tc>
          <w:tcPr>
            <w:tcW w:w="1344" w:type="pct"/>
            <w:vAlign w:val="center"/>
          </w:tcPr>
          <w:p w14:paraId="0E7C7965">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9.36%</w:t>
            </w:r>
          </w:p>
        </w:tc>
        <w:tc>
          <w:tcPr>
            <w:tcW w:w="382" w:type="pct"/>
            <w:vAlign w:val="center"/>
          </w:tcPr>
          <w:p w14:paraId="4FFBF4C0">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完成</w:t>
            </w:r>
          </w:p>
        </w:tc>
      </w:tr>
      <w:tr w14:paraId="24271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83" w:type="pct"/>
            <w:shd w:val="clear" w:color="auto" w:fill="auto"/>
            <w:vAlign w:val="center"/>
          </w:tcPr>
          <w:p w14:paraId="476208F9">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18</w:t>
            </w:r>
          </w:p>
        </w:tc>
        <w:tc>
          <w:tcPr>
            <w:tcW w:w="1259" w:type="pct"/>
            <w:shd w:val="clear" w:color="auto" w:fill="auto"/>
            <w:vAlign w:val="center"/>
          </w:tcPr>
          <w:p w14:paraId="5CDE22C9">
            <w:pPr>
              <w:widowControl/>
              <w:adjustRightInd w:val="0"/>
              <w:snapToGrid w:val="0"/>
              <w:jc w:val="left"/>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水资源管理达标率</w:t>
            </w:r>
          </w:p>
        </w:tc>
        <w:tc>
          <w:tcPr>
            <w:tcW w:w="512" w:type="pct"/>
            <w:shd w:val="clear" w:color="auto" w:fill="auto"/>
            <w:vAlign w:val="center"/>
          </w:tcPr>
          <w:p w14:paraId="293C0F0F">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预期性</w:t>
            </w:r>
          </w:p>
        </w:tc>
        <w:tc>
          <w:tcPr>
            <w:tcW w:w="1217" w:type="pct"/>
            <w:shd w:val="clear" w:color="auto" w:fill="auto"/>
            <w:vAlign w:val="center"/>
          </w:tcPr>
          <w:p w14:paraId="5C95C242">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90%</w:t>
            </w:r>
          </w:p>
        </w:tc>
        <w:tc>
          <w:tcPr>
            <w:tcW w:w="1344" w:type="pct"/>
            <w:vAlign w:val="center"/>
          </w:tcPr>
          <w:p w14:paraId="05E62083">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92%</w:t>
            </w:r>
          </w:p>
        </w:tc>
        <w:tc>
          <w:tcPr>
            <w:tcW w:w="382" w:type="pct"/>
            <w:vAlign w:val="center"/>
          </w:tcPr>
          <w:p w14:paraId="09083FC0">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完成</w:t>
            </w:r>
          </w:p>
        </w:tc>
      </w:tr>
      <w:tr w14:paraId="7C5D1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83" w:type="pct"/>
            <w:shd w:val="clear" w:color="auto" w:fill="auto"/>
            <w:vAlign w:val="center"/>
          </w:tcPr>
          <w:p w14:paraId="5F5AB4B3">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19</w:t>
            </w:r>
          </w:p>
        </w:tc>
        <w:tc>
          <w:tcPr>
            <w:tcW w:w="1259" w:type="pct"/>
            <w:shd w:val="clear" w:color="auto" w:fill="auto"/>
            <w:vAlign w:val="center"/>
          </w:tcPr>
          <w:p w14:paraId="3FD60F8B">
            <w:pPr>
              <w:widowControl/>
              <w:adjustRightInd w:val="0"/>
              <w:snapToGrid w:val="0"/>
              <w:jc w:val="left"/>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骨干河湖管理达标率</w:t>
            </w:r>
          </w:p>
        </w:tc>
        <w:tc>
          <w:tcPr>
            <w:tcW w:w="512" w:type="pct"/>
            <w:shd w:val="clear" w:color="auto" w:fill="auto"/>
            <w:vAlign w:val="center"/>
          </w:tcPr>
          <w:p w14:paraId="1908F2CE">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预期性</w:t>
            </w:r>
          </w:p>
        </w:tc>
        <w:tc>
          <w:tcPr>
            <w:tcW w:w="1217" w:type="pct"/>
            <w:shd w:val="clear" w:color="auto" w:fill="auto"/>
            <w:vAlign w:val="center"/>
          </w:tcPr>
          <w:p w14:paraId="4125B7F3">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90%</w:t>
            </w:r>
          </w:p>
        </w:tc>
        <w:tc>
          <w:tcPr>
            <w:tcW w:w="1344" w:type="pct"/>
            <w:vAlign w:val="center"/>
          </w:tcPr>
          <w:p w14:paraId="694E8E87">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92.4%</w:t>
            </w:r>
          </w:p>
        </w:tc>
        <w:tc>
          <w:tcPr>
            <w:tcW w:w="382" w:type="pct"/>
            <w:vAlign w:val="center"/>
          </w:tcPr>
          <w:p w14:paraId="472A1884">
            <w:pPr>
              <w:widowControl/>
              <w:adjustRightInd w:val="0"/>
              <w:snapToGrid w:val="0"/>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完成</w:t>
            </w:r>
          </w:p>
        </w:tc>
      </w:tr>
    </w:tbl>
    <w:p w14:paraId="1022CB3B">
      <w:pPr>
        <w:spacing w:line="600" w:lineRule="atLeast"/>
        <w:ind w:firstLine="594" w:firstLineChars="200"/>
        <w:rPr>
          <w:rFonts w:cs="Times New Roman"/>
          <w:szCs w:val="32"/>
        </w:rPr>
      </w:pPr>
    </w:p>
    <w:p w14:paraId="5E21EE85">
      <w:pPr>
        <w:pStyle w:val="32"/>
        <w:spacing w:line="600" w:lineRule="atLeast"/>
        <w:rPr>
          <w:rFonts w:eastAsia="方正楷体_GBK" w:cs="Times New Roman"/>
          <w:szCs w:val="32"/>
        </w:rPr>
      </w:pPr>
      <w:r>
        <w:rPr>
          <w:rFonts w:eastAsia="方正楷体_GBK" w:cs="Times New Roman"/>
          <w:szCs w:val="32"/>
        </w:rPr>
        <w:t>2、《秦淮区“十三五”时期全区经济社会发展的主要目标》</w:t>
      </w:r>
      <w:r>
        <w:rPr>
          <w:rFonts w:hint="eastAsia" w:eastAsia="方正楷体_GBK" w:cs="Times New Roman"/>
          <w:szCs w:val="32"/>
        </w:rPr>
        <w:t>水务相关</w:t>
      </w:r>
      <w:r>
        <w:rPr>
          <w:rFonts w:eastAsia="方正楷体_GBK" w:cs="Times New Roman"/>
          <w:szCs w:val="32"/>
        </w:rPr>
        <w:t>评估</w:t>
      </w:r>
    </w:p>
    <w:p w14:paraId="0B2B419A">
      <w:pPr>
        <w:spacing w:line="600" w:lineRule="atLeast"/>
        <w:ind w:firstLine="594" w:firstLineChars="200"/>
        <w:rPr>
          <w:rFonts w:cs="Times New Roman"/>
          <w:szCs w:val="32"/>
        </w:rPr>
      </w:pPr>
      <w:r>
        <w:rPr>
          <w:rFonts w:cs="Times New Roman"/>
          <w:szCs w:val="32"/>
        </w:rPr>
        <w:t>水务相关全部完成：生态环境更加绿色宜居。主要水体水质功能达标率在70%以上；全面消除黑臭河流，实现“水清岸绿”；</w:t>
      </w:r>
    </w:p>
    <w:p w14:paraId="5C323FA1">
      <w:pPr>
        <w:spacing w:line="600" w:lineRule="atLeast"/>
        <w:jc w:val="center"/>
        <w:rPr>
          <w:rFonts w:eastAsia="方正黑体_GBK" w:cs="Times New Roman"/>
          <w:color w:val="000000" w:themeColor="text1"/>
          <w:szCs w:val="32"/>
          <w14:textFill>
            <w14:solidFill>
              <w14:schemeClr w14:val="tx1"/>
            </w14:solidFill>
          </w14:textFill>
        </w:rPr>
      </w:pPr>
      <w:r>
        <w:rPr>
          <w:rFonts w:eastAsia="方正黑体_GBK" w:cs="Times New Roman"/>
          <w:color w:val="000000" w:themeColor="text1"/>
          <w:szCs w:val="32"/>
          <w14:textFill>
            <w14:solidFill>
              <w14:schemeClr w14:val="tx1"/>
            </w14:solidFill>
          </w14:textFill>
        </w:rPr>
        <w:t>秦淮区“十三五” 经济社会发展主要指标</w:t>
      </w:r>
    </w:p>
    <w:tbl>
      <w:tblPr>
        <w:tblStyle w:val="16"/>
        <w:tblW w:w="90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25"/>
        <w:gridCol w:w="4953"/>
        <w:gridCol w:w="1260"/>
        <w:gridCol w:w="1116"/>
      </w:tblGrid>
      <w:tr w14:paraId="79081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59F70B09">
            <w:pPr>
              <w:widowControl/>
              <w:adjustRightInd w:val="0"/>
              <w:snapToGrid w:val="0"/>
              <w:spacing w:line="600" w:lineRule="atLeast"/>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分类</w:t>
            </w:r>
          </w:p>
        </w:tc>
        <w:tc>
          <w:tcPr>
            <w:tcW w:w="825" w:type="dxa"/>
            <w:vAlign w:val="center"/>
          </w:tcPr>
          <w:p w14:paraId="1E17E9FC">
            <w:pPr>
              <w:widowControl/>
              <w:adjustRightInd w:val="0"/>
              <w:snapToGrid w:val="0"/>
              <w:spacing w:line="600" w:lineRule="atLeast"/>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序号</w:t>
            </w:r>
          </w:p>
        </w:tc>
        <w:tc>
          <w:tcPr>
            <w:tcW w:w="4953" w:type="dxa"/>
            <w:vAlign w:val="center"/>
          </w:tcPr>
          <w:p w14:paraId="4F7EBAC3">
            <w:pPr>
              <w:widowControl/>
              <w:adjustRightInd w:val="0"/>
              <w:snapToGrid w:val="0"/>
              <w:spacing w:line="600" w:lineRule="atLeast"/>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指标</w:t>
            </w:r>
          </w:p>
        </w:tc>
        <w:tc>
          <w:tcPr>
            <w:tcW w:w="1260" w:type="dxa"/>
            <w:vAlign w:val="center"/>
          </w:tcPr>
          <w:p w14:paraId="27DE3D37">
            <w:pPr>
              <w:widowControl/>
              <w:adjustRightInd w:val="0"/>
              <w:snapToGrid w:val="0"/>
              <w:spacing w:line="600" w:lineRule="atLeast"/>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目标值</w:t>
            </w:r>
          </w:p>
        </w:tc>
        <w:tc>
          <w:tcPr>
            <w:tcW w:w="1116" w:type="dxa"/>
            <w:vAlign w:val="center"/>
          </w:tcPr>
          <w:p w14:paraId="15994BCD">
            <w:pPr>
              <w:widowControl/>
              <w:adjustRightInd w:val="0"/>
              <w:snapToGrid w:val="0"/>
              <w:spacing w:line="600" w:lineRule="atLeast"/>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属性</w:t>
            </w:r>
          </w:p>
        </w:tc>
      </w:tr>
      <w:tr w14:paraId="33B59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0F2D73F3">
            <w:pPr>
              <w:widowControl/>
              <w:adjustRightInd w:val="0"/>
              <w:snapToGrid w:val="0"/>
              <w:spacing w:line="600" w:lineRule="atLeast"/>
              <w:jc w:val="center"/>
              <w:rPr>
                <w:rFonts w:eastAsia="方正书宋_GBK" w:cs="Times New Roman"/>
                <w:color w:val="000000" w:themeColor="text1"/>
                <w:kern w:val="0"/>
                <w:sz w:val="21"/>
                <w14:textFill>
                  <w14:solidFill>
                    <w14:schemeClr w14:val="tx1"/>
                  </w14:solidFill>
                </w14:textFill>
              </w:rPr>
            </w:pPr>
            <w:r>
              <w:rPr>
                <w:rFonts w:hint="eastAsia" w:eastAsia="方正书宋_GBK" w:cs="Times New Roman"/>
                <w:color w:val="000000" w:themeColor="text1"/>
                <w:kern w:val="0"/>
                <w:sz w:val="21"/>
                <w14:textFill>
                  <w14:solidFill>
                    <w14:schemeClr w14:val="tx1"/>
                  </w14:solidFill>
                </w14:textFill>
              </w:rPr>
              <w:t>环境类</w:t>
            </w:r>
          </w:p>
        </w:tc>
        <w:tc>
          <w:tcPr>
            <w:tcW w:w="825" w:type="dxa"/>
            <w:vAlign w:val="center"/>
          </w:tcPr>
          <w:p w14:paraId="4A8F27F4">
            <w:pPr>
              <w:widowControl/>
              <w:adjustRightInd w:val="0"/>
              <w:snapToGrid w:val="0"/>
              <w:spacing w:line="600" w:lineRule="atLeast"/>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24</w:t>
            </w:r>
          </w:p>
        </w:tc>
        <w:tc>
          <w:tcPr>
            <w:tcW w:w="4953" w:type="dxa"/>
            <w:vAlign w:val="center"/>
          </w:tcPr>
          <w:p w14:paraId="62F585C0">
            <w:pPr>
              <w:widowControl/>
              <w:adjustRightInd w:val="0"/>
              <w:snapToGrid w:val="0"/>
              <w:spacing w:line="600" w:lineRule="atLeast"/>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主要水体水质功能达标率（%）</w:t>
            </w:r>
          </w:p>
        </w:tc>
        <w:tc>
          <w:tcPr>
            <w:tcW w:w="1260" w:type="dxa"/>
            <w:vAlign w:val="center"/>
          </w:tcPr>
          <w:p w14:paraId="4444DAF5">
            <w:pPr>
              <w:widowControl/>
              <w:adjustRightInd w:val="0"/>
              <w:snapToGrid w:val="0"/>
              <w:spacing w:line="600" w:lineRule="atLeast"/>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&gt;70</w:t>
            </w:r>
          </w:p>
        </w:tc>
        <w:tc>
          <w:tcPr>
            <w:tcW w:w="1116" w:type="dxa"/>
            <w:vAlign w:val="center"/>
          </w:tcPr>
          <w:p w14:paraId="04D6189F">
            <w:pPr>
              <w:widowControl/>
              <w:adjustRightInd w:val="0"/>
              <w:snapToGrid w:val="0"/>
              <w:spacing w:line="600" w:lineRule="atLeast"/>
              <w:jc w:val="center"/>
              <w:rPr>
                <w:rFonts w:eastAsia="方正书宋_GBK" w:cs="Times New Roman"/>
                <w:color w:val="000000" w:themeColor="text1"/>
                <w:kern w:val="0"/>
                <w:sz w:val="21"/>
                <w14:textFill>
                  <w14:solidFill>
                    <w14:schemeClr w14:val="tx1"/>
                  </w14:solidFill>
                </w14:textFill>
              </w:rPr>
            </w:pPr>
            <w:r>
              <w:rPr>
                <w:rFonts w:eastAsia="方正书宋_GBK" w:cs="Times New Roman"/>
                <w:color w:val="000000" w:themeColor="text1"/>
                <w:kern w:val="0"/>
                <w:sz w:val="21"/>
                <w14:textFill>
                  <w14:solidFill>
                    <w14:schemeClr w14:val="tx1"/>
                  </w14:solidFill>
                </w14:textFill>
              </w:rPr>
              <w:t>约束性</w:t>
            </w:r>
          </w:p>
        </w:tc>
      </w:tr>
    </w:tbl>
    <w:p w14:paraId="350EFE88">
      <w:pPr>
        <w:pStyle w:val="32"/>
        <w:spacing w:line="600" w:lineRule="atLeast"/>
        <w:rPr>
          <w:rFonts w:eastAsia="方正楷体_GBK" w:cs="Times New Roman"/>
          <w:szCs w:val="32"/>
        </w:rPr>
      </w:pPr>
      <w:r>
        <w:rPr>
          <w:rFonts w:eastAsia="方正楷体_GBK" w:cs="Times New Roman"/>
          <w:szCs w:val="32"/>
        </w:rPr>
        <w:t>3、《秦淮区城市管理“十三五”发展目标》</w:t>
      </w:r>
      <w:r>
        <w:rPr>
          <w:rFonts w:hint="eastAsia" w:eastAsia="方正楷体_GBK" w:cs="Times New Roman"/>
          <w:szCs w:val="32"/>
        </w:rPr>
        <w:t>水务相关</w:t>
      </w:r>
      <w:r>
        <w:rPr>
          <w:rFonts w:eastAsia="方正楷体_GBK" w:cs="Times New Roman"/>
          <w:szCs w:val="32"/>
        </w:rPr>
        <w:t>评估</w:t>
      </w:r>
    </w:p>
    <w:p w14:paraId="3865889C">
      <w:pPr>
        <w:spacing w:line="600" w:lineRule="atLeast"/>
        <w:ind w:firstLine="594" w:firstLineChars="200"/>
        <w:rPr>
          <w:rFonts w:cs="Times New Roman"/>
          <w:szCs w:val="32"/>
        </w:rPr>
      </w:pPr>
      <w:r>
        <w:rPr>
          <w:rFonts w:cs="Times New Roman"/>
          <w:szCs w:val="32"/>
        </w:rPr>
        <w:t>水务相关全部完成：完成24条河道综合治理，</w:t>
      </w:r>
      <w:r>
        <w:rPr>
          <w:rFonts w:hint="eastAsia" w:cs="Times New Roman"/>
          <w:szCs w:val="32"/>
        </w:rPr>
        <w:t>全面稳定消除了黑臭水体。其中，部分河道指标达到IV—V类</w:t>
      </w:r>
      <w:r>
        <w:rPr>
          <w:rFonts w:cs="Times New Roman"/>
          <w:szCs w:val="32"/>
        </w:rPr>
        <w:t>。创建1162个3845公顷排水达标区，完成162个居民住宅二次供水设施改造。非居民户排水许可达到100%，河道养护全覆盖，实现“水清岸绿”。</w:t>
      </w:r>
    </w:p>
    <w:p w14:paraId="75048C71">
      <w:pPr>
        <w:pStyle w:val="32"/>
        <w:spacing w:line="600" w:lineRule="atLeast"/>
        <w:rPr>
          <w:rFonts w:eastAsia="方正楷体_GBK" w:cs="Times New Roman"/>
          <w:szCs w:val="32"/>
        </w:rPr>
      </w:pPr>
      <w:bookmarkStart w:id="19" w:name="_Toc470782772"/>
      <w:r>
        <w:rPr>
          <w:rFonts w:eastAsia="方正楷体_GBK" w:cs="Times New Roman"/>
          <w:szCs w:val="32"/>
        </w:rPr>
        <w:t>4、《秦淮区城市建设“十三五”发展规划重点项目建设》</w:t>
      </w:r>
      <w:r>
        <w:rPr>
          <w:rFonts w:hint="eastAsia" w:eastAsia="方正楷体_GBK" w:cs="Times New Roman"/>
          <w:szCs w:val="32"/>
        </w:rPr>
        <w:t>水务相关</w:t>
      </w:r>
      <w:r>
        <w:rPr>
          <w:rFonts w:eastAsia="方正楷体_GBK" w:cs="Times New Roman"/>
          <w:szCs w:val="32"/>
        </w:rPr>
        <w:t>评估</w:t>
      </w:r>
    </w:p>
    <w:p w14:paraId="504CC7D4">
      <w:pPr>
        <w:spacing w:line="600" w:lineRule="atLeast"/>
        <w:ind w:firstLine="594" w:firstLineChars="200"/>
        <w:rPr>
          <w:rFonts w:cs="Times New Roman"/>
          <w:szCs w:val="32"/>
        </w:rPr>
      </w:pPr>
      <w:r>
        <w:rPr>
          <w:rFonts w:cs="Times New Roman"/>
          <w:szCs w:val="32"/>
        </w:rPr>
        <w:t>水务相关全部完成：</w:t>
      </w:r>
    </w:p>
    <w:p w14:paraId="331905EF">
      <w:pPr>
        <w:spacing w:line="600" w:lineRule="atLeast"/>
        <w:ind w:firstLine="594" w:firstLineChars="200"/>
        <w:rPr>
          <w:rFonts w:cs="Times New Roman"/>
          <w:szCs w:val="32"/>
        </w:rPr>
      </w:pPr>
      <w:r>
        <w:rPr>
          <w:rFonts w:cs="Times New Roman"/>
          <w:szCs w:val="32"/>
        </w:rPr>
        <w:t>（1）环境整治</w:t>
      </w:r>
      <w:bookmarkEnd w:id="19"/>
    </w:p>
    <w:p w14:paraId="6D324930">
      <w:pPr>
        <w:spacing w:line="600" w:lineRule="atLeast"/>
        <w:ind w:firstLine="594" w:firstLineChars="200"/>
        <w:rPr>
          <w:rFonts w:cs="Times New Roman"/>
          <w:szCs w:val="32"/>
        </w:rPr>
      </w:pPr>
      <w:r>
        <w:rPr>
          <w:rFonts w:cs="Times New Roman"/>
          <w:szCs w:val="32"/>
        </w:rPr>
        <w:t>区域内主要河流沿线环境整治：内外秦淮河、月牙湖、护城河、运粮河、响水河、机场河沿线，建设区域内环主要河流沿岸步行道，进行环境整治、绿化提升等，水环境治理，总长度约32.5公里，其中，内秦淮河约5公里，外秦淮河约13公里，月牙湖段约2公里，护城河约2.5公里，运粮河约4公里，响水河约3公里，机场河约3公里。</w:t>
      </w:r>
    </w:p>
    <w:p w14:paraId="734583D2">
      <w:pPr>
        <w:spacing w:line="600" w:lineRule="atLeast"/>
        <w:ind w:firstLine="594" w:firstLineChars="200"/>
        <w:rPr>
          <w:rFonts w:cs="Times New Roman"/>
          <w:szCs w:val="32"/>
        </w:rPr>
      </w:pPr>
      <w:r>
        <w:rPr>
          <w:rFonts w:cs="Times New Roman"/>
          <w:szCs w:val="32"/>
        </w:rPr>
        <w:t>（2）其他城建项目</w:t>
      </w:r>
    </w:p>
    <w:p w14:paraId="5E9F7373">
      <w:pPr>
        <w:spacing w:line="600" w:lineRule="atLeast"/>
        <w:ind w:firstLine="594" w:firstLineChars="200"/>
        <w:rPr>
          <w:rFonts w:cs="Times New Roman"/>
          <w:szCs w:val="32"/>
        </w:rPr>
      </w:pPr>
      <w:r>
        <w:rPr>
          <w:rFonts w:cs="Times New Roman"/>
          <w:szCs w:val="32"/>
        </w:rPr>
        <w:t>秦淮区排水达标片区建设：排水达标区建设工程涉及区域内12个街道范围内，其中新建主次干管33.51km，到户支管服务面积1600公顷。</w:t>
      </w:r>
    </w:p>
    <w:p w14:paraId="67108056">
      <w:pPr>
        <w:spacing w:line="600" w:lineRule="atLeast"/>
        <w:ind w:firstLine="594" w:firstLineChars="200"/>
        <w:rPr>
          <w:rFonts w:cs="Times New Roman"/>
          <w:szCs w:val="32"/>
        </w:rPr>
      </w:pPr>
      <w:r>
        <w:rPr>
          <w:rFonts w:cs="Times New Roman"/>
          <w:szCs w:val="32"/>
        </w:rPr>
        <w:t>河道环境治理：涉及19条河道包括东风河、东、西玉带河、青年河、金家圩沟</w:t>
      </w:r>
      <w:r>
        <w:rPr>
          <w:rFonts w:hint="eastAsia" w:cs="Times New Roman"/>
          <w:szCs w:val="32"/>
        </w:rPr>
        <w:t>（已填埋）</w:t>
      </w:r>
      <w:r>
        <w:rPr>
          <w:rFonts w:cs="Times New Roman"/>
          <w:szCs w:val="32"/>
        </w:rPr>
        <w:t>、果园河、十字河、南玉带河、永丰河、苏家河、中和桥沟等。</w:t>
      </w:r>
    </w:p>
    <w:p w14:paraId="5F88A267">
      <w:pPr>
        <w:spacing w:line="600" w:lineRule="atLeast"/>
        <w:ind w:firstLine="594" w:firstLineChars="200"/>
        <w:rPr>
          <w:rFonts w:cs="Times New Roman"/>
          <w:szCs w:val="32"/>
        </w:rPr>
      </w:pPr>
      <w:r>
        <w:rPr>
          <w:rFonts w:cs="Times New Roman"/>
          <w:szCs w:val="32"/>
        </w:rPr>
        <w:t>二次供水设施改造：老城区范围内，供水管道及增压水泵改造，水表改造抄表到户，建筑面积565万平方米。</w:t>
      </w:r>
    </w:p>
    <w:p w14:paraId="33D41201">
      <w:pPr>
        <w:spacing w:line="600" w:lineRule="atLeast"/>
        <w:ind w:firstLine="594" w:firstLineChars="200"/>
        <w:rPr>
          <w:rFonts w:cs="Times New Roman"/>
          <w:szCs w:val="32"/>
        </w:rPr>
      </w:pPr>
      <w:r>
        <w:rPr>
          <w:rFonts w:cs="Times New Roman"/>
          <w:szCs w:val="32"/>
        </w:rPr>
        <w:t>泵站改扩建：观门口雨水泵站、清水塘雨水泵站、清水塘污水泵站、普天路污水泵站、肖家盘泵站、商院路涵洞泵站。</w:t>
      </w:r>
    </w:p>
    <w:p w14:paraId="09DE6E46">
      <w:pPr>
        <w:pStyle w:val="32"/>
        <w:spacing w:line="600" w:lineRule="atLeast"/>
        <w:rPr>
          <w:rFonts w:eastAsia="方正楷体_GBK" w:cs="Times New Roman"/>
          <w:szCs w:val="32"/>
        </w:rPr>
      </w:pPr>
      <w:r>
        <w:rPr>
          <w:rFonts w:eastAsia="方正楷体_GBK" w:cs="Times New Roman"/>
          <w:szCs w:val="32"/>
        </w:rPr>
        <w:t>5、《秦淮区“十三五”环境保护规划》</w:t>
      </w:r>
      <w:r>
        <w:rPr>
          <w:rFonts w:hint="eastAsia" w:eastAsia="方正楷体_GBK" w:cs="Times New Roman"/>
          <w:szCs w:val="32"/>
        </w:rPr>
        <w:t>水务相关</w:t>
      </w:r>
      <w:r>
        <w:rPr>
          <w:rFonts w:eastAsia="方正楷体_GBK" w:cs="Times New Roman"/>
          <w:szCs w:val="32"/>
        </w:rPr>
        <w:t>评估</w:t>
      </w:r>
    </w:p>
    <w:p w14:paraId="71D51685">
      <w:pPr>
        <w:spacing w:line="600" w:lineRule="atLeast"/>
        <w:ind w:firstLine="594" w:firstLineChars="200"/>
        <w:rPr>
          <w:rFonts w:cs="Times New Roman"/>
          <w:szCs w:val="32"/>
        </w:rPr>
      </w:pPr>
      <w:r>
        <w:rPr>
          <w:rFonts w:cs="Times New Roman"/>
          <w:szCs w:val="32"/>
        </w:rPr>
        <w:t>涉及到地表水考核断面达标率和黑臭河流比例两项水务相关全部完成规划目标。</w:t>
      </w:r>
    </w:p>
    <w:tbl>
      <w:tblPr>
        <w:tblStyle w:val="16"/>
        <w:tblW w:w="51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2647"/>
        <w:gridCol w:w="730"/>
        <w:gridCol w:w="984"/>
        <w:gridCol w:w="1188"/>
        <w:gridCol w:w="1037"/>
        <w:gridCol w:w="1087"/>
        <w:gridCol w:w="867"/>
      </w:tblGrid>
      <w:tr w14:paraId="5CB82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blHeader/>
          <w:jc w:val="center"/>
        </w:trPr>
        <w:tc>
          <w:tcPr>
            <w:tcW w:w="390" w:type="pct"/>
            <w:shd w:val="clear" w:color="auto" w:fill="D8D8D8" w:themeFill="background1" w:themeFillShade="D9"/>
            <w:vAlign w:val="center"/>
          </w:tcPr>
          <w:p w14:paraId="5E2B7BA9">
            <w:pPr>
              <w:widowControl/>
              <w:adjustRightInd w:val="0"/>
              <w:snapToGrid w:val="0"/>
              <w:jc w:val="center"/>
              <w:rPr>
                <w:rFonts w:eastAsia="方正书宋_GBK" w:cs="Times New Roman"/>
                <w:kern w:val="0"/>
                <w:sz w:val="21"/>
              </w:rPr>
            </w:pPr>
            <w:r>
              <w:rPr>
                <w:rFonts w:eastAsia="方正书宋_GBK" w:cs="Times New Roman"/>
                <w:kern w:val="0"/>
                <w:sz w:val="21"/>
              </w:rPr>
              <w:t>序号</w:t>
            </w:r>
          </w:p>
        </w:tc>
        <w:tc>
          <w:tcPr>
            <w:tcW w:w="1429" w:type="pct"/>
            <w:shd w:val="clear" w:color="auto" w:fill="D8D8D8" w:themeFill="background1" w:themeFillShade="D9"/>
            <w:vAlign w:val="center"/>
          </w:tcPr>
          <w:p w14:paraId="2C6C69D5">
            <w:pPr>
              <w:widowControl/>
              <w:adjustRightInd w:val="0"/>
              <w:snapToGrid w:val="0"/>
              <w:jc w:val="center"/>
              <w:rPr>
                <w:rFonts w:eastAsia="方正书宋_GBK" w:cs="Times New Roman"/>
                <w:kern w:val="0"/>
                <w:sz w:val="21"/>
              </w:rPr>
            </w:pPr>
            <w:r>
              <w:rPr>
                <w:rFonts w:eastAsia="方正书宋_GBK" w:cs="Times New Roman"/>
                <w:kern w:val="0"/>
                <w:sz w:val="21"/>
              </w:rPr>
              <w:t>指标名称</w:t>
            </w:r>
          </w:p>
        </w:tc>
        <w:tc>
          <w:tcPr>
            <w:tcW w:w="394" w:type="pct"/>
            <w:shd w:val="clear" w:color="auto" w:fill="D8D8D8" w:themeFill="background1" w:themeFillShade="D9"/>
            <w:vAlign w:val="center"/>
          </w:tcPr>
          <w:p w14:paraId="55A29D27">
            <w:pPr>
              <w:widowControl/>
              <w:adjustRightInd w:val="0"/>
              <w:snapToGrid w:val="0"/>
              <w:jc w:val="center"/>
              <w:rPr>
                <w:rFonts w:eastAsia="方正书宋_GBK" w:cs="Times New Roman"/>
                <w:kern w:val="0"/>
                <w:sz w:val="21"/>
              </w:rPr>
            </w:pPr>
            <w:r>
              <w:rPr>
                <w:rFonts w:eastAsia="方正书宋_GBK" w:cs="Times New Roman"/>
                <w:kern w:val="0"/>
                <w:sz w:val="21"/>
              </w:rPr>
              <w:t>单位</w:t>
            </w:r>
          </w:p>
        </w:tc>
        <w:tc>
          <w:tcPr>
            <w:tcW w:w="531" w:type="pct"/>
            <w:shd w:val="clear" w:color="auto" w:fill="D8D8D8" w:themeFill="background1" w:themeFillShade="D9"/>
            <w:vAlign w:val="center"/>
          </w:tcPr>
          <w:p w14:paraId="3759C081">
            <w:pPr>
              <w:widowControl/>
              <w:adjustRightInd w:val="0"/>
              <w:snapToGrid w:val="0"/>
              <w:jc w:val="center"/>
              <w:rPr>
                <w:rFonts w:eastAsia="方正书宋_GBK" w:cs="Times New Roman"/>
                <w:kern w:val="0"/>
                <w:sz w:val="21"/>
              </w:rPr>
            </w:pPr>
            <w:r>
              <w:rPr>
                <w:rFonts w:eastAsia="方正书宋_GBK" w:cs="Times New Roman"/>
                <w:kern w:val="0"/>
                <w:sz w:val="21"/>
              </w:rPr>
              <w:t>2015</w:t>
            </w:r>
          </w:p>
          <w:p w14:paraId="4305DAF2">
            <w:pPr>
              <w:widowControl/>
              <w:adjustRightInd w:val="0"/>
              <w:snapToGrid w:val="0"/>
              <w:jc w:val="center"/>
              <w:rPr>
                <w:rFonts w:eastAsia="方正书宋_GBK" w:cs="Times New Roman"/>
                <w:kern w:val="0"/>
                <w:sz w:val="21"/>
              </w:rPr>
            </w:pPr>
            <w:r>
              <w:rPr>
                <w:rFonts w:eastAsia="方正书宋_GBK" w:cs="Times New Roman"/>
                <w:kern w:val="0"/>
                <w:sz w:val="21"/>
              </w:rPr>
              <w:t>基准值</w:t>
            </w:r>
          </w:p>
        </w:tc>
        <w:tc>
          <w:tcPr>
            <w:tcW w:w="641" w:type="pct"/>
            <w:shd w:val="clear" w:color="auto" w:fill="D8D8D8" w:themeFill="background1" w:themeFillShade="D9"/>
            <w:vAlign w:val="center"/>
          </w:tcPr>
          <w:p w14:paraId="25466AD0">
            <w:pPr>
              <w:widowControl/>
              <w:adjustRightInd w:val="0"/>
              <w:snapToGrid w:val="0"/>
              <w:jc w:val="center"/>
              <w:rPr>
                <w:rFonts w:eastAsia="方正书宋_GBK" w:cs="Times New Roman"/>
                <w:kern w:val="0"/>
                <w:sz w:val="21"/>
              </w:rPr>
            </w:pPr>
            <w:r>
              <w:rPr>
                <w:rFonts w:eastAsia="方正书宋_GBK" w:cs="Times New Roman"/>
                <w:kern w:val="0"/>
                <w:sz w:val="21"/>
              </w:rPr>
              <w:t>2019年</w:t>
            </w:r>
          </w:p>
          <w:p w14:paraId="6449C68A">
            <w:pPr>
              <w:widowControl/>
              <w:adjustRightInd w:val="0"/>
              <w:snapToGrid w:val="0"/>
              <w:jc w:val="center"/>
              <w:rPr>
                <w:rFonts w:eastAsia="方正书宋_GBK" w:cs="Times New Roman"/>
                <w:kern w:val="0"/>
                <w:sz w:val="21"/>
              </w:rPr>
            </w:pPr>
            <w:r>
              <w:rPr>
                <w:rFonts w:eastAsia="方正书宋_GBK" w:cs="Times New Roman"/>
                <w:kern w:val="0"/>
                <w:sz w:val="21"/>
              </w:rPr>
              <w:t>完成值</w:t>
            </w:r>
          </w:p>
        </w:tc>
        <w:tc>
          <w:tcPr>
            <w:tcW w:w="560" w:type="pct"/>
            <w:shd w:val="clear" w:color="auto" w:fill="D8D8D8" w:themeFill="background1" w:themeFillShade="D9"/>
            <w:vAlign w:val="center"/>
          </w:tcPr>
          <w:p w14:paraId="3075B652">
            <w:pPr>
              <w:widowControl/>
              <w:adjustRightInd w:val="0"/>
              <w:snapToGrid w:val="0"/>
              <w:jc w:val="center"/>
              <w:rPr>
                <w:rFonts w:eastAsia="方正书宋_GBK" w:cs="Times New Roman"/>
                <w:kern w:val="0"/>
                <w:sz w:val="21"/>
              </w:rPr>
            </w:pPr>
            <w:r>
              <w:rPr>
                <w:rFonts w:eastAsia="方正书宋_GBK" w:cs="Times New Roman"/>
                <w:kern w:val="0"/>
                <w:sz w:val="21"/>
              </w:rPr>
              <w:t>2020年</w:t>
            </w:r>
          </w:p>
          <w:p w14:paraId="3B62E600">
            <w:pPr>
              <w:widowControl/>
              <w:adjustRightInd w:val="0"/>
              <w:snapToGrid w:val="0"/>
              <w:jc w:val="center"/>
              <w:rPr>
                <w:rFonts w:eastAsia="方正书宋_GBK" w:cs="Times New Roman"/>
                <w:kern w:val="0"/>
                <w:sz w:val="21"/>
              </w:rPr>
            </w:pPr>
            <w:r>
              <w:rPr>
                <w:rFonts w:eastAsia="方正书宋_GBK" w:cs="Times New Roman"/>
                <w:kern w:val="0"/>
                <w:sz w:val="21"/>
              </w:rPr>
              <w:t>目标值</w:t>
            </w:r>
          </w:p>
        </w:tc>
        <w:tc>
          <w:tcPr>
            <w:tcW w:w="587" w:type="pct"/>
            <w:shd w:val="clear" w:color="auto" w:fill="D8D8D8" w:themeFill="background1" w:themeFillShade="D9"/>
            <w:vAlign w:val="center"/>
          </w:tcPr>
          <w:p w14:paraId="6E664174">
            <w:pPr>
              <w:widowControl/>
              <w:adjustRightInd w:val="0"/>
              <w:snapToGrid w:val="0"/>
              <w:jc w:val="center"/>
              <w:rPr>
                <w:rFonts w:eastAsia="方正书宋_GBK" w:cs="Times New Roman"/>
                <w:kern w:val="0"/>
                <w:sz w:val="21"/>
              </w:rPr>
            </w:pPr>
            <w:r>
              <w:rPr>
                <w:rFonts w:eastAsia="方正书宋_GBK" w:cs="Times New Roman"/>
                <w:kern w:val="0"/>
                <w:sz w:val="21"/>
              </w:rPr>
              <w:t>2020年</w:t>
            </w:r>
          </w:p>
          <w:p w14:paraId="57EB4719">
            <w:pPr>
              <w:widowControl/>
              <w:adjustRightInd w:val="0"/>
              <w:snapToGrid w:val="0"/>
              <w:jc w:val="center"/>
              <w:rPr>
                <w:rFonts w:eastAsia="方正书宋_GBK" w:cs="Times New Roman"/>
                <w:kern w:val="0"/>
                <w:sz w:val="21"/>
              </w:rPr>
            </w:pPr>
            <w:r>
              <w:rPr>
                <w:rFonts w:eastAsia="方正书宋_GBK" w:cs="Times New Roman"/>
                <w:kern w:val="0"/>
                <w:sz w:val="21"/>
              </w:rPr>
              <w:t>完成值</w:t>
            </w:r>
          </w:p>
        </w:tc>
        <w:tc>
          <w:tcPr>
            <w:tcW w:w="468" w:type="pct"/>
            <w:shd w:val="clear" w:color="auto" w:fill="D8D8D8" w:themeFill="background1" w:themeFillShade="D9"/>
            <w:vAlign w:val="center"/>
          </w:tcPr>
          <w:p w14:paraId="24E2364E">
            <w:pPr>
              <w:widowControl/>
              <w:adjustRightInd w:val="0"/>
              <w:snapToGrid w:val="0"/>
              <w:jc w:val="center"/>
              <w:rPr>
                <w:rFonts w:eastAsia="方正书宋_GBK" w:cs="Times New Roman"/>
                <w:kern w:val="0"/>
                <w:sz w:val="21"/>
              </w:rPr>
            </w:pPr>
            <w:r>
              <w:rPr>
                <w:rFonts w:eastAsia="方正书宋_GBK" w:cs="Times New Roman"/>
                <w:kern w:val="0"/>
                <w:sz w:val="21"/>
              </w:rPr>
              <w:t>备注</w:t>
            </w:r>
          </w:p>
        </w:tc>
      </w:tr>
      <w:tr w14:paraId="73823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90" w:type="pct"/>
            <w:vAlign w:val="center"/>
          </w:tcPr>
          <w:p w14:paraId="0AB6F42E">
            <w:pPr>
              <w:widowControl/>
              <w:adjustRightInd w:val="0"/>
              <w:snapToGrid w:val="0"/>
              <w:jc w:val="center"/>
              <w:rPr>
                <w:rFonts w:eastAsia="方正书宋_GBK" w:cs="Times New Roman"/>
                <w:kern w:val="0"/>
                <w:sz w:val="21"/>
              </w:rPr>
            </w:pPr>
            <w:r>
              <w:rPr>
                <w:rFonts w:eastAsia="方正书宋_GBK" w:cs="Times New Roman"/>
                <w:kern w:val="0"/>
                <w:sz w:val="21"/>
              </w:rPr>
              <w:t>3</w:t>
            </w:r>
          </w:p>
        </w:tc>
        <w:tc>
          <w:tcPr>
            <w:tcW w:w="1429" w:type="pct"/>
            <w:vAlign w:val="center"/>
          </w:tcPr>
          <w:p w14:paraId="1DA2EE2E">
            <w:pPr>
              <w:widowControl/>
              <w:adjustRightInd w:val="0"/>
              <w:snapToGrid w:val="0"/>
              <w:jc w:val="center"/>
              <w:rPr>
                <w:rFonts w:eastAsia="方正书宋_GBK" w:cs="Times New Roman"/>
                <w:kern w:val="0"/>
                <w:sz w:val="21"/>
              </w:rPr>
            </w:pPr>
            <w:r>
              <w:rPr>
                <w:rFonts w:eastAsia="方正书宋_GBK" w:cs="Times New Roman"/>
                <w:kern w:val="0"/>
                <w:sz w:val="21"/>
              </w:rPr>
              <w:t>功能区水体断面达标率</w:t>
            </w:r>
          </w:p>
          <w:p w14:paraId="42F49951">
            <w:pPr>
              <w:widowControl/>
              <w:adjustRightInd w:val="0"/>
              <w:snapToGrid w:val="0"/>
              <w:jc w:val="center"/>
              <w:rPr>
                <w:rFonts w:eastAsia="方正书宋_GBK" w:cs="Times New Roman"/>
                <w:kern w:val="0"/>
                <w:sz w:val="21"/>
              </w:rPr>
            </w:pPr>
            <w:r>
              <w:rPr>
                <w:rFonts w:eastAsia="方正书宋_GBK" w:cs="Times New Roman"/>
                <w:kern w:val="0"/>
                <w:sz w:val="21"/>
              </w:rPr>
              <w:t>（地表水考核断面达标率）</w:t>
            </w:r>
          </w:p>
        </w:tc>
        <w:tc>
          <w:tcPr>
            <w:tcW w:w="394" w:type="pct"/>
            <w:vAlign w:val="center"/>
          </w:tcPr>
          <w:p w14:paraId="65E8320E">
            <w:pPr>
              <w:widowControl/>
              <w:adjustRightInd w:val="0"/>
              <w:snapToGrid w:val="0"/>
              <w:jc w:val="center"/>
              <w:rPr>
                <w:rFonts w:eastAsia="方正书宋_GBK" w:cs="Times New Roman"/>
                <w:kern w:val="0"/>
                <w:sz w:val="21"/>
              </w:rPr>
            </w:pPr>
            <w:r>
              <w:rPr>
                <w:rFonts w:eastAsia="方正书宋_GBK" w:cs="Times New Roman"/>
                <w:kern w:val="0"/>
                <w:sz w:val="21"/>
              </w:rPr>
              <w:t>%</w:t>
            </w:r>
          </w:p>
        </w:tc>
        <w:tc>
          <w:tcPr>
            <w:tcW w:w="531" w:type="pct"/>
            <w:vAlign w:val="center"/>
          </w:tcPr>
          <w:p w14:paraId="67A2EC1B">
            <w:pPr>
              <w:widowControl/>
              <w:adjustRightInd w:val="0"/>
              <w:snapToGrid w:val="0"/>
              <w:jc w:val="center"/>
              <w:rPr>
                <w:rFonts w:eastAsia="方正书宋_GBK" w:cs="Times New Roman"/>
                <w:kern w:val="0"/>
                <w:sz w:val="21"/>
              </w:rPr>
            </w:pPr>
            <w:r>
              <w:rPr>
                <w:rFonts w:eastAsia="方正书宋_GBK" w:cs="Times New Roman"/>
                <w:kern w:val="0"/>
                <w:sz w:val="21"/>
              </w:rPr>
              <w:t>-</w:t>
            </w:r>
          </w:p>
        </w:tc>
        <w:tc>
          <w:tcPr>
            <w:tcW w:w="641" w:type="pct"/>
            <w:vAlign w:val="center"/>
          </w:tcPr>
          <w:p w14:paraId="2E73B45F">
            <w:pPr>
              <w:widowControl/>
              <w:adjustRightInd w:val="0"/>
              <w:snapToGrid w:val="0"/>
              <w:jc w:val="center"/>
              <w:rPr>
                <w:rFonts w:eastAsia="方正书宋_GBK" w:cs="Times New Roman"/>
                <w:kern w:val="0"/>
                <w:sz w:val="21"/>
              </w:rPr>
            </w:pPr>
            <w:r>
              <w:rPr>
                <w:rFonts w:eastAsia="方正书宋_GBK" w:cs="Times New Roman"/>
                <w:kern w:val="0"/>
                <w:sz w:val="21"/>
              </w:rPr>
              <w:t>100</w:t>
            </w:r>
          </w:p>
        </w:tc>
        <w:tc>
          <w:tcPr>
            <w:tcW w:w="560" w:type="pct"/>
            <w:vAlign w:val="center"/>
          </w:tcPr>
          <w:p w14:paraId="17804E79">
            <w:pPr>
              <w:widowControl/>
              <w:adjustRightInd w:val="0"/>
              <w:snapToGrid w:val="0"/>
              <w:jc w:val="center"/>
              <w:rPr>
                <w:rFonts w:eastAsia="方正书宋_GBK" w:cs="Times New Roman"/>
                <w:kern w:val="0"/>
                <w:sz w:val="21"/>
              </w:rPr>
            </w:pPr>
            <w:r>
              <w:rPr>
                <w:rFonts w:eastAsia="方正书宋_GBK" w:cs="Times New Roman"/>
                <w:kern w:val="0"/>
                <w:sz w:val="21"/>
              </w:rPr>
              <w:t>100</w:t>
            </w:r>
          </w:p>
        </w:tc>
        <w:tc>
          <w:tcPr>
            <w:tcW w:w="587" w:type="pct"/>
            <w:vAlign w:val="center"/>
          </w:tcPr>
          <w:p w14:paraId="2F7D2788">
            <w:pPr>
              <w:widowControl/>
              <w:adjustRightInd w:val="0"/>
              <w:snapToGrid w:val="0"/>
              <w:jc w:val="center"/>
              <w:rPr>
                <w:rFonts w:eastAsia="方正书宋_GBK" w:cs="Times New Roman"/>
                <w:kern w:val="0"/>
                <w:sz w:val="21"/>
              </w:rPr>
            </w:pPr>
            <w:r>
              <w:rPr>
                <w:rFonts w:eastAsia="方正书宋_GBK" w:cs="Times New Roman"/>
                <w:kern w:val="0"/>
                <w:sz w:val="21"/>
              </w:rPr>
              <w:t>100</w:t>
            </w:r>
          </w:p>
        </w:tc>
        <w:tc>
          <w:tcPr>
            <w:tcW w:w="468" w:type="pct"/>
            <w:vAlign w:val="center"/>
          </w:tcPr>
          <w:p w14:paraId="3816F607">
            <w:pPr>
              <w:widowControl/>
              <w:adjustRightInd w:val="0"/>
              <w:snapToGrid w:val="0"/>
              <w:jc w:val="center"/>
              <w:rPr>
                <w:rFonts w:eastAsia="方正书宋_GBK" w:cs="Times New Roman"/>
                <w:kern w:val="0"/>
                <w:sz w:val="21"/>
              </w:rPr>
            </w:pPr>
            <w:r>
              <w:rPr>
                <w:rFonts w:eastAsia="方正书宋_GBK" w:cs="Times New Roman"/>
                <w:kern w:val="0"/>
                <w:sz w:val="21"/>
              </w:rPr>
              <w:t>完成</w:t>
            </w:r>
          </w:p>
        </w:tc>
      </w:tr>
      <w:tr w14:paraId="6E7AA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390" w:type="pct"/>
            <w:vAlign w:val="center"/>
          </w:tcPr>
          <w:p w14:paraId="0CEBBA72">
            <w:pPr>
              <w:widowControl/>
              <w:adjustRightInd w:val="0"/>
              <w:snapToGrid w:val="0"/>
              <w:jc w:val="center"/>
              <w:rPr>
                <w:rFonts w:eastAsia="方正书宋_GBK" w:cs="Times New Roman"/>
                <w:kern w:val="0"/>
                <w:sz w:val="21"/>
              </w:rPr>
            </w:pPr>
            <w:r>
              <w:rPr>
                <w:rFonts w:eastAsia="方正书宋_GBK" w:cs="Times New Roman"/>
                <w:kern w:val="0"/>
                <w:sz w:val="21"/>
              </w:rPr>
              <w:t>4</w:t>
            </w:r>
          </w:p>
        </w:tc>
        <w:tc>
          <w:tcPr>
            <w:tcW w:w="1429" w:type="pct"/>
            <w:vAlign w:val="center"/>
          </w:tcPr>
          <w:p w14:paraId="53D7F41D">
            <w:pPr>
              <w:widowControl/>
              <w:adjustRightInd w:val="0"/>
              <w:snapToGrid w:val="0"/>
              <w:jc w:val="center"/>
              <w:rPr>
                <w:rFonts w:eastAsia="方正书宋_GBK" w:cs="Times New Roman"/>
                <w:kern w:val="0"/>
                <w:sz w:val="21"/>
              </w:rPr>
            </w:pPr>
            <w:bookmarkStart w:id="20" w:name="OLE_LINK7"/>
            <w:bookmarkStart w:id="21" w:name="OLE_LINK8"/>
            <w:r>
              <w:rPr>
                <w:rFonts w:eastAsia="方正书宋_GBK" w:cs="Times New Roman"/>
                <w:kern w:val="0"/>
                <w:sz w:val="21"/>
              </w:rPr>
              <w:t>黑臭河流比例</w:t>
            </w:r>
            <w:bookmarkEnd w:id="20"/>
            <w:bookmarkEnd w:id="21"/>
          </w:p>
        </w:tc>
        <w:tc>
          <w:tcPr>
            <w:tcW w:w="394" w:type="pct"/>
            <w:vAlign w:val="center"/>
          </w:tcPr>
          <w:p w14:paraId="692FFAF4">
            <w:pPr>
              <w:widowControl/>
              <w:adjustRightInd w:val="0"/>
              <w:snapToGrid w:val="0"/>
              <w:jc w:val="center"/>
              <w:rPr>
                <w:rFonts w:eastAsia="方正书宋_GBK" w:cs="Times New Roman"/>
                <w:kern w:val="0"/>
                <w:sz w:val="21"/>
              </w:rPr>
            </w:pPr>
            <w:r>
              <w:rPr>
                <w:rFonts w:eastAsia="方正书宋_GBK" w:cs="Times New Roman"/>
                <w:kern w:val="0"/>
                <w:sz w:val="21"/>
              </w:rPr>
              <w:t>%</w:t>
            </w:r>
          </w:p>
        </w:tc>
        <w:tc>
          <w:tcPr>
            <w:tcW w:w="531" w:type="pct"/>
            <w:vAlign w:val="center"/>
          </w:tcPr>
          <w:p w14:paraId="2583C1DB">
            <w:pPr>
              <w:widowControl/>
              <w:adjustRightInd w:val="0"/>
              <w:snapToGrid w:val="0"/>
              <w:jc w:val="center"/>
              <w:rPr>
                <w:rFonts w:eastAsia="方正书宋_GBK" w:cs="Times New Roman"/>
                <w:kern w:val="0"/>
                <w:sz w:val="21"/>
              </w:rPr>
            </w:pPr>
            <w:r>
              <w:rPr>
                <w:rFonts w:eastAsia="方正书宋_GBK" w:cs="Times New Roman"/>
                <w:kern w:val="0"/>
                <w:sz w:val="21"/>
              </w:rPr>
              <w:t>-</w:t>
            </w:r>
          </w:p>
        </w:tc>
        <w:tc>
          <w:tcPr>
            <w:tcW w:w="641" w:type="pct"/>
            <w:vAlign w:val="center"/>
          </w:tcPr>
          <w:p w14:paraId="3F26B131">
            <w:pPr>
              <w:widowControl/>
              <w:adjustRightInd w:val="0"/>
              <w:snapToGrid w:val="0"/>
              <w:jc w:val="center"/>
              <w:rPr>
                <w:rFonts w:eastAsia="方正书宋_GBK" w:cs="Times New Roman"/>
                <w:kern w:val="0"/>
                <w:sz w:val="21"/>
              </w:rPr>
            </w:pPr>
            <w:r>
              <w:rPr>
                <w:rFonts w:eastAsia="方正书宋_GBK" w:cs="Times New Roman"/>
                <w:kern w:val="0"/>
                <w:sz w:val="21"/>
              </w:rPr>
              <w:t>基本</w:t>
            </w:r>
          </w:p>
          <w:p w14:paraId="3C23F280">
            <w:pPr>
              <w:widowControl/>
              <w:adjustRightInd w:val="0"/>
              <w:snapToGrid w:val="0"/>
              <w:jc w:val="center"/>
              <w:rPr>
                <w:rFonts w:eastAsia="方正书宋_GBK" w:cs="Times New Roman"/>
                <w:kern w:val="0"/>
                <w:sz w:val="21"/>
              </w:rPr>
            </w:pPr>
            <w:r>
              <w:rPr>
                <w:rFonts w:eastAsia="方正书宋_GBK" w:cs="Times New Roman"/>
                <w:kern w:val="0"/>
                <w:sz w:val="21"/>
              </w:rPr>
              <w:t>消除</w:t>
            </w:r>
          </w:p>
        </w:tc>
        <w:tc>
          <w:tcPr>
            <w:tcW w:w="560" w:type="pct"/>
            <w:vAlign w:val="center"/>
          </w:tcPr>
          <w:p w14:paraId="6B9E8A96">
            <w:pPr>
              <w:widowControl/>
              <w:adjustRightInd w:val="0"/>
              <w:snapToGrid w:val="0"/>
              <w:jc w:val="center"/>
              <w:rPr>
                <w:rFonts w:eastAsia="方正书宋_GBK" w:cs="Times New Roman"/>
                <w:kern w:val="0"/>
                <w:sz w:val="21"/>
              </w:rPr>
            </w:pPr>
            <w:r>
              <w:rPr>
                <w:rFonts w:eastAsia="方正书宋_GBK" w:cs="Times New Roman"/>
                <w:kern w:val="0"/>
                <w:sz w:val="21"/>
              </w:rPr>
              <w:t>基本</w:t>
            </w:r>
          </w:p>
          <w:p w14:paraId="25FF2BA3">
            <w:pPr>
              <w:widowControl/>
              <w:adjustRightInd w:val="0"/>
              <w:snapToGrid w:val="0"/>
              <w:jc w:val="center"/>
              <w:rPr>
                <w:rFonts w:eastAsia="方正书宋_GBK" w:cs="Times New Roman"/>
                <w:kern w:val="0"/>
                <w:sz w:val="21"/>
              </w:rPr>
            </w:pPr>
            <w:r>
              <w:rPr>
                <w:rFonts w:eastAsia="方正书宋_GBK" w:cs="Times New Roman"/>
                <w:kern w:val="0"/>
                <w:sz w:val="21"/>
              </w:rPr>
              <w:t>消除</w:t>
            </w:r>
          </w:p>
        </w:tc>
        <w:tc>
          <w:tcPr>
            <w:tcW w:w="587" w:type="pct"/>
            <w:vAlign w:val="center"/>
          </w:tcPr>
          <w:p w14:paraId="4315C435">
            <w:pPr>
              <w:widowControl/>
              <w:adjustRightInd w:val="0"/>
              <w:snapToGrid w:val="0"/>
              <w:jc w:val="center"/>
              <w:rPr>
                <w:rFonts w:eastAsia="方正书宋_GBK" w:cs="Times New Roman"/>
                <w:kern w:val="0"/>
                <w:sz w:val="21"/>
              </w:rPr>
            </w:pPr>
            <w:r>
              <w:rPr>
                <w:rFonts w:eastAsia="方正书宋_GBK" w:cs="Times New Roman"/>
                <w:kern w:val="0"/>
                <w:sz w:val="21"/>
              </w:rPr>
              <w:t>基本</w:t>
            </w:r>
          </w:p>
          <w:p w14:paraId="782E97C4">
            <w:pPr>
              <w:widowControl/>
              <w:adjustRightInd w:val="0"/>
              <w:snapToGrid w:val="0"/>
              <w:jc w:val="center"/>
              <w:rPr>
                <w:rFonts w:eastAsia="方正书宋_GBK" w:cs="Times New Roman"/>
                <w:kern w:val="0"/>
                <w:sz w:val="21"/>
              </w:rPr>
            </w:pPr>
            <w:r>
              <w:rPr>
                <w:rFonts w:eastAsia="方正书宋_GBK" w:cs="Times New Roman"/>
                <w:kern w:val="0"/>
                <w:sz w:val="21"/>
              </w:rPr>
              <w:t>消除</w:t>
            </w:r>
          </w:p>
        </w:tc>
        <w:tc>
          <w:tcPr>
            <w:tcW w:w="468" w:type="pct"/>
            <w:vAlign w:val="center"/>
          </w:tcPr>
          <w:p w14:paraId="2D3C7BCC">
            <w:pPr>
              <w:widowControl/>
              <w:adjustRightInd w:val="0"/>
              <w:snapToGrid w:val="0"/>
              <w:jc w:val="center"/>
              <w:rPr>
                <w:rFonts w:eastAsia="方正书宋_GBK" w:cs="Times New Roman"/>
                <w:kern w:val="0"/>
                <w:sz w:val="21"/>
              </w:rPr>
            </w:pPr>
            <w:r>
              <w:rPr>
                <w:rFonts w:eastAsia="方正书宋_GBK" w:cs="Times New Roman"/>
                <w:kern w:val="0"/>
                <w:sz w:val="21"/>
              </w:rPr>
              <w:t>完成</w:t>
            </w:r>
          </w:p>
        </w:tc>
      </w:tr>
    </w:tbl>
    <w:p w14:paraId="6D1FFD69">
      <w:pPr>
        <w:pStyle w:val="26"/>
        <w:spacing w:line="600" w:lineRule="atLeast"/>
        <w:rPr>
          <w:rFonts w:eastAsia="方正楷体_GBK" w:cs="Times New Roman"/>
          <w:sz w:val="32"/>
          <w:szCs w:val="32"/>
        </w:rPr>
      </w:pPr>
      <w:bookmarkStart w:id="22" w:name="_Toc81566729"/>
      <w:r>
        <w:rPr>
          <w:rFonts w:eastAsia="方正楷体_GBK" w:cs="Times New Roman"/>
          <w:sz w:val="32"/>
          <w:szCs w:val="32"/>
        </w:rPr>
        <w:t>（三）水务发展面临形势和挑战</w:t>
      </w:r>
      <w:bookmarkEnd w:id="22"/>
    </w:p>
    <w:p w14:paraId="6008AED2">
      <w:pPr>
        <w:pStyle w:val="32"/>
        <w:spacing w:line="600" w:lineRule="atLeast"/>
        <w:rPr>
          <w:rFonts w:eastAsia="方正楷体_GBK" w:cs="Times New Roman"/>
          <w:szCs w:val="32"/>
        </w:rPr>
      </w:pPr>
      <w:r>
        <w:rPr>
          <w:rFonts w:eastAsia="方正楷体_GBK" w:cs="Times New Roman"/>
          <w:szCs w:val="32"/>
        </w:rPr>
        <w:t>1、面临形势</w:t>
      </w:r>
    </w:p>
    <w:p w14:paraId="59FC93C8">
      <w:pPr>
        <w:pStyle w:val="8"/>
        <w:kinsoku w:val="0"/>
        <w:overflowPunct w:val="0"/>
        <w:spacing w:before="52" w:line="600" w:lineRule="atLeast"/>
        <w:ind w:left="120" w:right="115" w:firstLine="550" w:firstLineChars="200"/>
        <w:jc w:val="both"/>
        <w:rPr>
          <w:rFonts w:ascii="Times New Roman" w:eastAsia="方正仿宋_GBK" w:cs="Times New Roman"/>
          <w:b/>
          <w:spacing w:val="-11"/>
          <w:szCs w:val="32"/>
        </w:rPr>
      </w:pPr>
      <w:r>
        <w:rPr>
          <w:rFonts w:ascii="Times New Roman" w:eastAsia="方正仿宋_GBK" w:cs="Times New Roman"/>
          <w:b/>
          <w:spacing w:val="-11"/>
          <w:szCs w:val="32"/>
        </w:rPr>
        <w:t>（1）国家新时代治水方针提出新要求</w:t>
      </w:r>
    </w:p>
    <w:p w14:paraId="490045B5">
      <w:pPr>
        <w:spacing w:line="360" w:lineRule="auto"/>
        <w:ind w:firstLine="594" w:firstLineChars="200"/>
        <w:rPr>
          <w:rFonts w:cs="Times New Roman"/>
          <w:szCs w:val="32"/>
        </w:rPr>
      </w:pPr>
      <w:r>
        <w:rPr>
          <w:rFonts w:cs="Times New Roman"/>
          <w:szCs w:val="32"/>
        </w:rPr>
        <w:t>2014年3月14日，习近平总书记就我国水安全问题发表重要讲话，首次提出“节水优先、空间均衡、系统治理、两手发力”的十六字治水方针。同时，从“绿水青山就是金山银山”的践行，到长江经济带“共抓大保护、不搞大开发”的保护建设理念逐步深入推进，再到垃圾分类在未来五年在全国范围内的逐步推广普及，聚焦解决大气、水、土壤等突出环境问题，加大生态文明建设和环境保护力度，坚持生态优先、绿色发展，将成为“十四五”期间的常态。 “十四五”时期我们将更有需求，也更有条件从被动污染治理向主动绿色发展转型，同时也对我们树立集成思维，系统解决环保、民生改善和产业发展问题，把海绵城市、绿色建筑、循环经济等环保高标准融入老城、新城建设提出了更深层次的要求。</w:t>
      </w:r>
    </w:p>
    <w:p w14:paraId="57686660">
      <w:pPr>
        <w:pStyle w:val="8"/>
        <w:kinsoku w:val="0"/>
        <w:overflowPunct w:val="0"/>
        <w:spacing w:before="52" w:line="600" w:lineRule="atLeast"/>
        <w:ind w:left="120" w:right="115" w:firstLine="550" w:firstLineChars="200"/>
        <w:jc w:val="both"/>
        <w:rPr>
          <w:rFonts w:ascii="Times New Roman" w:eastAsia="方正仿宋_GBK" w:cs="Times New Roman"/>
          <w:b/>
          <w:spacing w:val="-11"/>
          <w:szCs w:val="32"/>
        </w:rPr>
      </w:pPr>
      <w:r>
        <w:rPr>
          <w:rFonts w:ascii="Times New Roman" w:eastAsia="方正仿宋_GBK" w:cs="Times New Roman"/>
          <w:b/>
          <w:spacing w:val="-11"/>
          <w:szCs w:val="32"/>
        </w:rPr>
        <w:t>（2）三大国家战略叠加为新时期治水提供了难得历史机遇</w:t>
      </w:r>
    </w:p>
    <w:p w14:paraId="793D506A">
      <w:pPr>
        <w:spacing w:line="600" w:lineRule="atLeast"/>
        <w:ind w:firstLine="594" w:firstLineChars="200"/>
        <w:rPr>
          <w:rFonts w:cs="Times New Roman"/>
          <w:szCs w:val="32"/>
        </w:rPr>
      </w:pPr>
      <w:r>
        <w:rPr>
          <w:rFonts w:cs="Times New Roman"/>
          <w:szCs w:val="32"/>
        </w:rPr>
        <w:t>随着长三角一体化上升为国家战略，加上“一带一路”倡议和长江经济带建设，这三大国家战略的叠加，为南京的改革开放再出发带来了千载难逢的历史机遇。</w:t>
      </w:r>
    </w:p>
    <w:p w14:paraId="2D5488D7">
      <w:pPr>
        <w:spacing w:line="600" w:lineRule="atLeast"/>
        <w:ind w:firstLine="594" w:firstLineChars="200"/>
        <w:rPr>
          <w:rFonts w:cs="Times New Roman"/>
          <w:szCs w:val="32"/>
        </w:rPr>
      </w:pPr>
      <w:r>
        <w:rPr>
          <w:rFonts w:cs="Times New Roman"/>
          <w:szCs w:val="32"/>
        </w:rPr>
        <w:t>南京正在抢抓机遇，打开改革开放和社会经济新一轮高质量发展的新局面，城市及区域发展定位对我市水务创新发展提出了更高要求，需要水务行业超前谋划、做好支撑，以更高标准的洪涝灾害防治能力、更健康的水体质量、更宜居的水体环境，更优美的水生态及水景观，更先进的水文化、更高效的水务管理能力体现城市首位度和区域发展定位。</w:t>
      </w:r>
    </w:p>
    <w:p w14:paraId="624AE81E">
      <w:pPr>
        <w:pStyle w:val="8"/>
        <w:kinsoku w:val="0"/>
        <w:overflowPunct w:val="0"/>
        <w:spacing w:before="52" w:line="600" w:lineRule="atLeast"/>
        <w:ind w:left="120" w:right="115" w:firstLine="550" w:firstLineChars="200"/>
        <w:jc w:val="both"/>
        <w:rPr>
          <w:rFonts w:ascii="Times New Roman" w:eastAsia="方正仿宋_GBK" w:cs="Times New Roman"/>
          <w:b/>
          <w:spacing w:val="-11"/>
          <w:szCs w:val="32"/>
        </w:rPr>
      </w:pPr>
      <w:r>
        <w:rPr>
          <w:rFonts w:ascii="Times New Roman" w:eastAsia="方正仿宋_GBK" w:cs="Times New Roman"/>
          <w:b/>
          <w:spacing w:val="-11"/>
          <w:szCs w:val="32"/>
        </w:rPr>
        <w:t>（3）社会经济发展面临新阶段</w:t>
      </w:r>
    </w:p>
    <w:p w14:paraId="616E2A39">
      <w:pPr>
        <w:spacing w:line="600" w:lineRule="atLeast"/>
        <w:ind w:firstLine="594" w:firstLineChars="200"/>
        <w:rPr>
          <w:rFonts w:cs="Times New Roman"/>
          <w:szCs w:val="32"/>
        </w:rPr>
      </w:pPr>
      <w:r>
        <w:rPr>
          <w:rFonts w:cs="Times New Roman"/>
          <w:szCs w:val="32"/>
        </w:rPr>
        <w:t>十四五时期，我国将在全面实现小康社会的基础上，开启建设社会主义现代化国家的新征程，并向“</w:t>
      </w:r>
      <w:r>
        <w:rPr>
          <w:rFonts w:hint="eastAsia" w:cs="Times New Roman"/>
          <w:szCs w:val="32"/>
          <w:lang w:eastAsia="zh-CN"/>
        </w:rPr>
        <w:t>第二个百年奋斗目标</w:t>
      </w:r>
      <w:r>
        <w:rPr>
          <w:rFonts w:cs="Times New Roman"/>
          <w:szCs w:val="32"/>
        </w:rPr>
        <w:t>进军”；我省将在高水平建设小康社会的基础上全面推进强富美高新江苏建设，按照国家和省战略部署，保证江苏在经济社会现代化的新征程起好步、开好头、布好局。</w:t>
      </w:r>
    </w:p>
    <w:p w14:paraId="1BC3631F">
      <w:pPr>
        <w:spacing w:line="600" w:lineRule="atLeast"/>
        <w:ind w:firstLine="594" w:firstLineChars="200"/>
        <w:rPr>
          <w:rFonts w:cs="Times New Roman"/>
          <w:szCs w:val="32"/>
        </w:rPr>
      </w:pPr>
      <w:r>
        <w:rPr>
          <w:rFonts w:cs="Times New Roman"/>
          <w:szCs w:val="32"/>
        </w:rPr>
        <w:t>南京要继续在强富美高新江苏的建设中争当排头兵，在江苏高质量率先发展中体现省会城市首位度，为“创新名城、美丽古都”建设的新愿景开好局。水务行业作为经济社会发展的基础支撑，面临水资源、水环境、水生态等多重挑战，需要同步谋划，协同推进。</w:t>
      </w:r>
    </w:p>
    <w:p w14:paraId="044E1F18">
      <w:pPr>
        <w:spacing w:line="600" w:lineRule="atLeast"/>
        <w:ind w:firstLine="594" w:firstLineChars="200"/>
        <w:rPr>
          <w:rFonts w:cs="Times New Roman"/>
          <w:szCs w:val="32"/>
        </w:rPr>
      </w:pPr>
      <w:r>
        <w:rPr>
          <w:rFonts w:cs="Times New Roman"/>
          <w:szCs w:val="32"/>
        </w:rPr>
        <w:t>秦淮区应以保障人民群众拥有更多获得感和幸福感为导向，以持续提升水环境质量为重点，深入开展水环境治理，大力推进生态河湖建设，进一步压紧压实河长责任，全面提升精细化管理养护水平，全域实现“水清、岸绿、景美、河畅”愿景，全面彰显秦淮水系流域花园的品牌魅力。</w:t>
      </w:r>
    </w:p>
    <w:p w14:paraId="6576D778">
      <w:pPr>
        <w:pStyle w:val="8"/>
        <w:kinsoku w:val="0"/>
        <w:overflowPunct w:val="0"/>
        <w:spacing w:before="52" w:line="600" w:lineRule="atLeast"/>
        <w:ind w:left="120" w:right="115" w:firstLine="550" w:firstLineChars="200"/>
        <w:jc w:val="both"/>
        <w:rPr>
          <w:rFonts w:ascii="Times New Roman" w:eastAsia="方正仿宋_GBK" w:cs="Times New Roman"/>
          <w:b/>
          <w:spacing w:val="-11"/>
          <w:szCs w:val="32"/>
        </w:rPr>
      </w:pPr>
      <w:r>
        <w:rPr>
          <w:rFonts w:ascii="Times New Roman" w:eastAsia="方正仿宋_GBK" w:cs="Times New Roman"/>
          <w:b/>
          <w:spacing w:val="-11"/>
          <w:szCs w:val="32"/>
        </w:rPr>
        <w:t>（4）治水的主要矛盾发生变化</w:t>
      </w:r>
    </w:p>
    <w:p w14:paraId="5440B4A4">
      <w:pPr>
        <w:spacing w:line="600" w:lineRule="atLeast"/>
        <w:ind w:firstLine="594" w:firstLineChars="200"/>
        <w:rPr>
          <w:rFonts w:cs="Times New Roman"/>
          <w:szCs w:val="32"/>
        </w:rPr>
      </w:pPr>
      <w:r>
        <w:rPr>
          <w:rFonts w:cs="Times New Roman"/>
          <w:szCs w:val="32"/>
        </w:rPr>
        <w:t>“十四五”是在2020年打好污染防治攻坚战的基础上，向2035年美丽中国目标迈进的第一个五年。当前，我国治水的主要矛盾已经发生深刻变化，从人民群众对除水害兴水利的需求与水利工程能力不足的矛盾，转变为人民群众对水资源、水生态、水环境的需求与水利行业监管能力不足的矛盾。其中，前一矛盾尚未根本解决并将长期存在，而后一矛盾已上升为主要矛盾和矛盾的主要方面。</w:t>
      </w:r>
    </w:p>
    <w:p w14:paraId="780E4F64">
      <w:pPr>
        <w:spacing w:line="600" w:lineRule="atLeast"/>
        <w:ind w:firstLine="594" w:firstLineChars="200"/>
        <w:rPr>
          <w:rFonts w:cs="Times New Roman"/>
          <w:szCs w:val="32"/>
        </w:rPr>
      </w:pPr>
      <w:r>
        <w:rPr>
          <w:rFonts w:cs="Times New Roman"/>
          <w:szCs w:val="32"/>
        </w:rPr>
        <w:t>水务工程补短板、水务行业强监管、系统治水提质效，这是当前和今后一个时期水务改革发展的总基调。需要根据秦淮区水务发展的现状分析问题，结合国家及省政策和上位规划的要求查找不足，尽快补足短板。根据水利部和我省加强行业监管的总体要求推进改革创新，全面提升监管能力和水平，提高整体质量和效益。</w:t>
      </w:r>
    </w:p>
    <w:p w14:paraId="586DE222">
      <w:pPr>
        <w:spacing w:line="600" w:lineRule="atLeast"/>
        <w:ind w:firstLine="594" w:firstLineChars="200"/>
        <w:rPr>
          <w:rFonts w:cs="Times New Roman"/>
          <w:szCs w:val="32"/>
        </w:rPr>
      </w:pPr>
      <w:r>
        <w:rPr>
          <w:rFonts w:cs="Times New Roman"/>
          <w:szCs w:val="32"/>
        </w:rPr>
        <w:t>秦淮区应基于对秦淮水系沿线产业项目、载体资源空间的梳理，以及对沿河生产、生活、生态空间的分布现状、思考谋划和未来发展空间的系统整合，在“十四五”时期，系统研究谋划外秦淮河水岸沿线的保护、开发和利用，沿外秦淮水系拓展产业发展和公共服务空间，使之成为老城、新城融合的特色纽带，依水相通，依水而荣。</w:t>
      </w:r>
    </w:p>
    <w:p w14:paraId="5A91D8DD">
      <w:pPr>
        <w:pStyle w:val="8"/>
        <w:kinsoku w:val="0"/>
        <w:overflowPunct w:val="0"/>
        <w:spacing w:before="52" w:line="600" w:lineRule="atLeast"/>
        <w:ind w:left="120" w:right="115" w:firstLine="550" w:firstLineChars="200"/>
        <w:jc w:val="both"/>
        <w:rPr>
          <w:rFonts w:ascii="Times New Roman" w:eastAsia="方正仿宋_GBK" w:cs="Times New Roman"/>
          <w:b/>
          <w:spacing w:val="-11"/>
          <w:szCs w:val="32"/>
        </w:rPr>
      </w:pPr>
      <w:r>
        <w:rPr>
          <w:rFonts w:ascii="Times New Roman" w:eastAsia="方正仿宋_GBK" w:cs="Times New Roman"/>
          <w:b/>
          <w:spacing w:val="-11"/>
          <w:szCs w:val="32"/>
        </w:rPr>
        <w:t>（5）国家转型创新发展战略对水务发展提出了高要求</w:t>
      </w:r>
    </w:p>
    <w:p w14:paraId="427C3F09">
      <w:pPr>
        <w:spacing w:line="600" w:lineRule="atLeast"/>
        <w:ind w:firstLine="594" w:firstLineChars="200"/>
        <w:rPr>
          <w:rFonts w:cs="Times New Roman"/>
          <w:szCs w:val="32"/>
        </w:rPr>
      </w:pPr>
      <w:r>
        <w:rPr>
          <w:rFonts w:cs="Times New Roman"/>
          <w:szCs w:val="32"/>
        </w:rPr>
        <w:t>党的十九大以来，提出了生态文明建设、美丽中国战略、数字中国建设战略等政策方针。生态文明建设作为可持续发展的内在动力，为我市在推进水务创新发展，推进绿色经济产业和水文化，探索水生态文明建设模式，打造生态文明建设典范城市提供了坚实保障。美丽中国建设战略，需要我市以节水行动方案为基础，实施节水减排、源头防治、全民共治，实施流域环境综合治理。强化水资源刚性约束、高效利用，建设更优美的水生态环境。同时需要进一步加强信息化建设，创建新型智慧城市，推进治理体系和治理能力现代化。智慧水务作为智慧城市的重要组成部分，是未来秦淮区水资源保障、水污染防治、水生态修复、洪涝灾害防治等方面提升管理水平和能力的必要举措。</w:t>
      </w:r>
    </w:p>
    <w:p w14:paraId="5D190E0E">
      <w:pPr>
        <w:widowControl/>
        <w:spacing w:line="600" w:lineRule="atLeast"/>
        <w:jc w:val="left"/>
        <w:rPr>
          <w:rFonts w:cs="Times New Roman"/>
          <w:b/>
          <w:szCs w:val="32"/>
        </w:rPr>
      </w:pPr>
      <w:r>
        <w:rPr>
          <w:rFonts w:cs="Times New Roman"/>
          <w:szCs w:val="32"/>
        </w:rPr>
        <w:br w:type="page"/>
      </w:r>
    </w:p>
    <w:p w14:paraId="52E4261B">
      <w:pPr>
        <w:pStyle w:val="32"/>
        <w:spacing w:line="600" w:lineRule="atLeast"/>
        <w:rPr>
          <w:rFonts w:eastAsia="方正楷体_GBK" w:cs="Times New Roman"/>
          <w:szCs w:val="32"/>
        </w:rPr>
      </w:pPr>
      <w:r>
        <w:rPr>
          <w:rFonts w:eastAsia="方正楷体_GBK" w:cs="Times New Roman"/>
          <w:szCs w:val="32"/>
        </w:rPr>
        <w:t>2、面临挑战</w:t>
      </w:r>
    </w:p>
    <w:p w14:paraId="355D7228">
      <w:pPr>
        <w:spacing w:line="600" w:lineRule="atLeast"/>
        <w:ind w:firstLine="526" w:firstLineChars="177"/>
        <w:rPr>
          <w:rFonts w:cs="Times New Roman"/>
          <w:b/>
          <w:szCs w:val="32"/>
        </w:rPr>
      </w:pPr>
      <w:r>
        <w:rPr>
          <w:rFonts w:cs="Times New Roman"/>
          <w:b/>
          <w:szCs w:val="32"/>
        </w:rPr>
        <w:t>（1）防洪除涝工程体系仍有短板和薄弱环节</w:t>
      </w:r>
    </w:p>
    <w:p w14:paraId="1199E221">
      <w:pPr>
        <w:spacing w:line="600" w:lineRule="atLeast"/>
        <w:ind w:firstLine="526" w:firstLineChars="177"/>
        <w:rPr>
          <w:rFonts w:cs="Times New Roman"/>
          <w:szCs w:val="32"/>
        </w:rPr>
      </w:pPr>
      <w:r>
        <w:rPr>
          <w:rFonts w:cs="Times New Roman"/>
          <w:szCs w:val="32"/>
        </w:rPr>
        <w:t>运粮河距秦淮东河实施要求仍有差距，秦淮东河一期工程有待实施，撇洪沟堤防防洪标准不足；区域雨水管网系统、行洪河道、城市暗涵需进一步治理提升，保障排水通畅；老城区排水系统老旧、提标改造难度大，海绵城市建设任务艰巨；城区排水防涝缺少指导性专项规划。</w:t>
      </w:r>
    </w:p>
    <w:p w14:paraId="7A9A068A">
      <w:pPr>
        <w:spacing w:line="600" w:lineRule="atLeast"/>
        <w:ind w:firstLine="526" w:firstLineChars="177"/>
        <w:rPr>
          <w:rFonts w:cs="Times New Roman"/>
          <w:b/>
          <w:szCs w:val="32"/>
        </w:rPr>
      </w:pPr>
      <w:r>
        <w:rPr>
          <w:rFonts w:cs="Times New Roman"/>
          <w:b/>
          <w:szCs w:val="32"/>
        </w:rPr>
        <w:t>（2）水资源综合保障和管理与新时期治水要求仍有差距</w:t>
      </w:r>
    </w:p>
    <w:p w14:paraId="0DF9382C">
      <w:pPr>
        <w:spacing w:line="600" w:lineRule="atLeast"/>
        <w:ind w:firstLine="526" w:firstLineChars="177"/>
        <w:rPr>
          <w:rFonts w:cs="Times New Roman"/>
          <w:szCs w:val="32"/>
          <w:highlight w:val="yellow"/>
        </w:rPr>
      </w:pPr>
      <w:r>
        <w:rPr>
          <w:rFonts w:cs="Times New Roman"/>
          <w:szCs w:val="32"/>
        </w:rPr>
        <w:t>水资源管理的刚性约束未得到充分体现；部分水体水资源功能尚不能完全发挥。</w:t>
      </w:r>
    </w:p>
    <w:p w14:paraId="0A14EC65">
      <w:pPr>
        <w:spacing w:line="600" w:lineRule="atLeast"/>
        <w:ind w:firstLine="526" w:firstLineChars="177"/>
        <w:rPr>
          <w:rFonts w:cs="Times New Roman"/>
          <w:b/>
          <w:szCs w:val="32"/>
        </w:rPr>
      </w:pPr>
      <w:r>
        <w:rPr>
          <w:rFonts w:cs="Times New Roman"/>
          <w:b/>
          <w:szCs w:val="32"/>
        </w:rPr>
        <w:t>（3）水环境、水生态巩固并进一步提升面临挑战</w:t>
      </w:r>
    </w:p>
    <w:p w14:paraId="750B296F">
      <w:pPr>
        <w:spacing w:line="600" w:lineRule="atLeast"/>
        <w:ind w:firstLine="526" w:firstLineChars="177"/>
        <w:rPr>
          <w:rFonts w:cs="Times New Roman"/>
          <w:szCs w:val="32"/>
        </w:rPr>
      </w:pPr>
      <w:r>
        <w:rPr>
          <w:rFonts w:cs="Times New Roman"/>
          <w:szCs w:val="32"/>
        </w:rPr>
        <w:t>厂</w:t>
      </w:r>
      <w:r>
        <w:rPr>
          <w:rFonts w:hint="eastAsia" w:cs="Times New Roman"/>
          <w:szCs w:val="32"/>
        </w:rPr>
        <w:t>、</w:t>
      </w:r>
      <w:r>
        <w:rPr>
          <w:rFonts w:cs="Times New Roman"/>
          <w:szCs w:val="32"/>
        </w:rPr>
        <w:t>网</w:t>
      </w:r>
      <w:r>
        <w:rPr>
          <w:rFonts w:hint="eastAsia" w:cs="Times New Roman"/>
          <w:szCs w:val="32"/>
        </w:rPr>
        <w:t>、</w:t>
      </w:r>
      <w:r>
        <w:rPr>
          <w:rFonts w:cs="Times New Roman"/>
          <w:szCs w:val="32"/>
        </w:rPr>
        <w:t>河一体化的目标需要进一步努力；雨污分流、污水管网系统完善及维护仍需大量工作和持续投入；河湖生态治理、水系连通、岸线整治及长效管控体系仍</w:t>
      </w:r>
      <w:r>
        <w:rPr>
          <w:rFonts w:hint="eastAsia" w:cs="Times New Roman"/>
          <w:szCs w:val="32"/>
        </w:rPr>
        <w:t>存在</w:t>
      </w:r>
      <w:r>
        <w:rPr>
          <w:rFonts w:cs="Times New Roman"/>
          <w:szCs w:val="32"/>
        </w:rPr>
        <w:t>不足。</w:t>
      </w:r>
    </w:p>
    <w:p w14:paraId="1DA1DD70">
      <w:pPr>
        <w:spacing w:line="600" w:lineRule="atLeast"/>
        <w:ind w:firstLine="526" w:firstLineChars="177"/>
        <w:rPr>
          <w:rFonts w:cs="Times New Roman"/>
          <w:b/>
          <w:szCs w:val="32"/>
        </w:rPr>
      </w:pPr>
      <w:r>
        <w:rPr>
          <w:rFonts w:cs="Times New Roman"/>
          <w:b/>
          <w:szCs w:val="32"/>
        </w:rPr>
        <w:t>（4）水文化、水产业和水经济发展不足</w:t>
      </w:r>
    </w:p>
    <w:p w14:paraId="7C28487E">
      <w:pPr>
        <w:spacing w:line="600" w:lineRule="atLeast"/>
        <w:ind w:firstLine="526" w:firstLineChars="177"/>
        <w:rPr>
          <w:rFonts w:cs="Times New Roman"/>
          <w:szCs w:val="32"/>
        </w:rPr>
      </w:pPr>
      <w:r>
        <w:rPr>
          <w:rFonts w:cs="Times New Roman"/>
          <w:szCs w:val="32"/>
        </w:rPr>
        <w:t>现状河道水体与既有文化建筑、园林绿化之间融合不足，存量水文化挖掘深度不足；水务工程建设与水文化、水景观的融合有待加强，水文化载体建设相对较少；滨水产业及滨水经济发展不突出</w:t>
      </w:r>
      <w:r>
        <w:rPr>
          <w:rFonts w:hint="eastAsia" w:cs="Times New Roman"/>
          <w:szCs w:val="32"/>
        </w:rPr>
        <w:t>，</w:t>
      </w:r>
      <w:r>
        <w:rPr>
          <w:rFonts w:cs="Times New Roman"/>
          <w:szCs w:val="32"/>
        </w:rPr>
        <w:t>水文化特性趋于同质化、水文化遗产保护发扬难度大；新城开发建设中水系特点不鲜明。</w:t>
      </w:r>
    </w:p>
    <w:p w14:paraId="4DDE02F8">
      <w:pPr>
        <w:spacing w:line="600" w:lineRule="atLeast"/>
        <w:ind w:firstLine="526" w:firstLineChars="177"/>
        <w:rPr>
          <w:rFonts w:cs="Times New Roman"/>
          <w:b/>
          <w:szCs w:val="32"/>
        </w:rPr>
      </w:pPr>
      <w:r>
        <w:rPr>
          <w:rFonts w:cs="Times New Roman"/>
          <w:b/>
          <w:szCs w:val="32"/>
        </w:rPr>
        <w:t>（5）水务管理与治理体系完善与现代化还有待加强</w:t>
      </w:r>
    </w:p>
    <w:p w14:paraId="099B6C0D">
      <w:pPr>
        <w:spacing w:line="600" w:lineRule="atLeast"/>
        <w:ind w:firstLine="526" w:firstLineChars="177"/>
        <w:rPr>
          <w:rFonts w:cs="Times New Roman"/>
          <w:szCs w:val="32"/>
        </w:rPr>
      </w:pPr>
      <w:r>
        <w:rPr>
          <w:rFonts w:cs="Times New Roman"/>
          <w:szCs w:val="32"/>
        </w:rPr>
        <w:t>传统水利和城市水务管理治理体系需进一步融合；涉水建设工程的技术管理和行政监管职责分工需要进一步确权明确；河湖长效管护、水务工程监督考核、涉水联合执法管控等仍需进一步加强；管理设施建设现代化水平不高，信息化建设有较大提升空间。</w:t>
      </w:r>
    </w:p>
    <w:p w14:paraId="5004F3DF">
      <w:pPr>
        <w:widowControl/>
        <w:spacing w:line="600" w:lineRule="atLeast"/>
        <w:jc w:val="left"/>
        <w:rPr>
          <w:rFonts w:eastAsia="黑体" w:cs="Times New Roman"/>
          <w:b/>
          <w:bCs/>
          <w:kern w:val="44"/>
          <w:szCs w:val="44"/>
          <w:lang w:val="zh-CN"/>
        </w:rPr>
      </w:pPr>
      <w:r>
        <w:rPr>
          <w:rFonts w:eastAsia="黑体" w:cs="Times New Roman"/>
        </w:rPr>
        <w:br w:type="page"/>
      </w:r>
    </w:p>
    <w:p w14:paraId="61CA5888">
      <w:pPr>
        <w:pStyle w:val="2"/>
        <w:spacing w:before="191" w:beforeLines="50" w:after="191" w:afterLines="50" w:line="600" w:lineRule="atLeast"/>
        <w:jc w:val="center"/>
        <w:rPr>
          <w:rFonts w:eastAsia="方正黑体_GBK"/>
        </w:rPr>
      </w:pPr>
      <w:bookmarkStart w:id="23" w:name="_Toc81566730"/>
      <w:r>
        <w:rPr>
          <w:rFonts w:eastAsia="方正黑体_GBK"/>
        </w:rPr>
        <w:t>二、“十四五”水务发展规划</w:t>
      </w:r>
      <w:bookmarkEnd w:id="17"/>
      <w:bookmarkStart w:id="24" w:name="_Toc35897002"/>
      <w:r>
        <w:rPr>
          <w:rFonts w:eastAsia="方正黑体_GBK"/>
        </w:rPr>
        <w:t>总体思路</w:t>
      </w:r>
      <w:bookmarkEnd w:id="23"/>
    </w:p>
    <w:p w14:paraId="34E13FF2">
      <w:pPr>
        <w:pStyle w:val="26"/>
        <w:spacing w:line="600" w:lineRule="atLeast"/>
        <w:rPr>
          <w:rFonts w:eastAsia="方正楷体_GBK" w:cs="Times New Roman"/>
          <w:sz w:val="32"/>
          <w:szCs w:val="32"/>
        </w:rPr>
      </w:pPr>
      <w:bookmarkStart w:id="25" w:name="_Toc14942330"/>
      <w:bookmarkStart w:id="26" w:name="_Toc81566731"/>
      <w:r>
        <w:rPr>
          <w:rFonts w:eastAsia="方正楷体_GBK" w:cs="Times New Roman"/>
          <w:sz w:val="32"/>
          <w:szCs w:val="32"/>
        </w:rPr>
        <w:t>（一）指导思想</w:t>
      </w:r>
      <w:bookmarkEnd w:id="25"/>
      <w:bookmarkEnd w:id="26"/>
    </w:p>
    <w:p w14:paraId="6EC31F27">
      <w:pPr>
        <w:spacing w:line="600" w:lineRule="atLeast"/>
        <w:ind w:firstLine="594" w:firstLineChars="200"/>
        <w:rPr>
          <w:rFonts w:cs="Times New Roman"/>
          <w:szCs w:val="32"/>
        </w:rPr>
      </w:pPr>
      <w:r>
        <w:rPr>
          <w:rFonts w:cs="Times New Roman"/>
          <w:szCs w:val="32"/>
        </w:rPr>
        <w:t>以习近平新时代中国特色社会主义思想为指导，深入贯彻党的十九大和十九届二中、三中、四中、五中全会精神，</w:t>
      </w:r>
      <w:r>
        <w:rPr>
          <w:rFonts w:hint="eastAsia" w:cs="Times New Roman"/>
          <w:szCs w:val="32"/>
        </w:rPr>
        <w:t>立足新发展阶段、贯彻新发展理念、服务新发展格局，强化“争当表率、争做示范、走在前列”的使命担当，积极践行“节水优先、空间均衡、系统治理、两手发力”的新时代治水方针，围绕全市水务发展“美丽河湖、水润金陵”总目标，以推动水务高质量发展、实现水务现代化为统领，以满足人民群众日益增长的美好生活需要为导向，以“安全、生态、美丽、智慧”的现代水网建设为抓手，以改革创新为动力，坚持水务工程补短板、水务行业强监管、系统治水提质效，统筹推进安全水务、资源水务、生态水务、环境水务、民生水务、法治水务、河（湖）长制建设，全面提升水务治理体系和治理能力现代化水平，为秦淮打造创新名城示范区、美丽古都核心区提供坚实支撑。</w:t>
      </w:r>
    </w:p>
    <w:p w14:paraId="39715AD2">
      <w:pPr>
        <w:pStyle w:val="26"/>
        <w:spacing w:line="600" w:lineRule="atLeast"/>
        <w:rPr>
          <w:rFonts w:eastAsia="方正楷体_GBK" w:cs="Times New Roman"/>
          <w:sz w:val="32"/>
          <w:szCs w:val="32"/>
        </w:rPr>
      </w:pPr>
      <w:bookmarkStart w:id="27" w:name="_Toc81566732"/>
      <w:bookmarkStart w:id="28" w:name="_Toc14942332"/>
      <w:r>
        <w:rPr>
          <w:rFonts w:eastAsia="方正楷体_GBK" w:cs="Times New Roman"/>
          <w:sz w:val="32"/>
          <w:szCs w:val="32"/>
        </w:rPr>
        <w:t>（二）规划原则</w:t>
      </w:r>
      <w:bookmarkEnd w:id="27"/>
      <w:bookmarkEnd w:id="28"/>
    </w:p>
    <w:p w14:paraId="7B1B314B">
      <w:pPr>
        <w:ind w:firstLine="523" w:firstLineChars="176"/>
        <w:rPr>
          <w:rFonts w:cs="Times New Roman"/>
          <w:b/>
          <w:szCs w:val="32"/>
        </w:rPr>
      </w:pPr>
      <w:r>
        <w:rPr>
          <w:rFonts w:cs="Times New Roman"/>
          <w:b/>
          <w:szCs w:val="32"/>
        </w:rPr>
        <w:t>坚持生态优先，人水和谐。</w:t>
      </w:r>
      <w:r>
        <w:rPr>
          <w:rFonts w:cs="Times New Roman"/>
          <w:szCs w:val="32"/>
        </w:rPr>
        <w:t>以水定需、因水制宜、量水而行</w:t>
      </w:r>
      <w:r>
        <w:rPr>
          <w:rFonts w:hint="eastAsia" w:cs="Times New Roman"/>
          <w:szCs w:val="32"/>
        </w:rPr>
        <w:t>，</w:t>
      </w:r>
      <w:r>
        <w:rPr>
          <w:rFonts w:cs="Times New Roman"/>
          <w:szCs w:val="32"/>
        </w:rPr>
        <w:t>经济社会发展与水资源、水生态、水环境承载能力相适应；切实解决群众最关心最迫切的实际问题</w:t>
      </w:r>
      <w:r>
        <w:rPr>
          <w:rFonts w:hint="eastAsia" w:cs="Times New Roman"/>
          <w:szCs w:val="32"/>
        </w:rPr>
        <w:t>，建设</w:t>
      </w:r>
      <w:r>
        <w:rPr>
          <w:rFonts w:cs="Times New Roman"/>
          <w:szCs w:val="32"/>
        </w:rPr>
        <w:t>以人民</w:t>
      </w:r>
      <w:r>
        <w:rPr>
          <w:rFonts w:hint="eastAsia" w:cs="Times New Roman"/>
          <w:szCs w:val="32"/>
        </w:rPr>
        <w:t>群众</w:t>
      </w:r>
      <w:r>
        <w:rPr>
          <w:rFonts w:cs="Times New Roman"/>
          <w:szCs w:val="32"/>
        </w:rPr>
        <w:t>为中心的高品质水务基础设施保障。</w:t>
      </w:r>
    </w:p>
    <w:p w14:paraId="6DF1F60A">
      <w:pPr>
        <w:ind w:firstLine="523" w:firstLineChars="176"/>
        <w:rPr>
          <w:rFonts w:cs="Times New Roman"/>
          <w:b/>
          <w:szCs w:val="32"/>
        </w:rPr>
      </w:pPr>
      <w:r>
        <w:rPr>
          <w:rFonts w:cs="Times New Roman"/>
          <w:b/>
          <w:szCs w:val="32"/>
        </w:rPr>
        <w:t>坚持资源优化，系统治理。</w:t>
      </w:r>
      <w:r>
        <w:rPr>
          <w:rFonts w:cs="Times New Roman"/>
          <w:szCs w:val="32"/>
        </w:rPr>
        <w:t>实施山、水、林、田、湖系统治理，兼顾防洪减灾、水资源开发、污水处理与再生水利用；推进厂、网、河一体化综合治理，相对独立，协调运行。</w:t>
      </w:r>
    </w:p>
    <w:p w14:paraId="4C67852E">
      <w:pPr>
        <w:ind w:firstLine="523" w:firstLineChars="176"/>
        <w:rPr>
          <w:rFonts w:cs="Times New Roman"/>
          <w:b/>
          <w:szCs w:val="32"/>
        </w:rPr>
      </w:pPr>
      <w:r>
        <w:rPr>
          <w:rFonts w:cs="Times New Roman"/>
          <w:b/>
          <w:szCs w:val="32"/>
        </w:rPr>
        <w:t>坚持问题导向，</w:t>
      </w:r>
      <w:r>
        <w:rPr>
          <w:rFonts w:hint="eastAsia" w:cs="Times New Roman"/>
          <w:b/>
          <w:szCs w:val="32"/>
        </w:rPr>
        <w:t>补齐短板</w:t>
      </w:r>
      <w:r>
        <w:rPr>
          <w:rFonts w:cs="Times New Roman"/>
          <w:b/>
          <w:szCs w:val="32"/>
        </w:rPr>
        <w:t>。</w:t>
      </w:r>
      <w:r>
        <w:rPr>
          <w:rFonts w:cs="Times New Roman"/>
          <w:szCs w:val="32"/>
        </w:rPr>
        <w:t>根据秦淮区水务发展的突出问题，提高效率靶向治理</w:t>
      </w:r>
      <w:r>
        <w:rPr>
          <w:rFonts w:hint="eastAsia" w:cs="Times New Roman"/>
          <w:szCs w:val="32"/>
        </w:rPr>
        <w:t>，</w:t>
      </w:r>
      <w:r>
        <w:rPr>
          <w:rFonts w:cs="Times New Roman"/>
          <w:szCs w:val="32"/>
        </w:rPr>
        <w:t>强化补短板，采取针对措施重点主攻薄弱环节；加强监管能力和治理能力建设，加快实现水务治理体系现代化。</w:t>
      </w:r>
    </w:p>
    <w:p w14:paraId="28101A82">
      <w:pPr>
        <w:ind w:firstLine="523" w:firstLineChars="176"/>
        <w:rPr>
          <w:rFonts w:cs="Times New Roman"/>
          <w:b/>
          <w:szCs w:val="32"/>
        </w:rPr>
      </w:pPr>
      <w:r>
        <w:rPr>
          <w:rFonts w:cs="Times New Roman"/>
          <w:b/>
          <w:szCs w:val="32"/>
        </w:rPr>
        <w:t>坚持依法治水，改革创新。</w:t>
      </w:r>
      <w:r>
        <w:rPr>
          <w:rFonts w:hint="eastAsia" w:cs="Times New Roman"/>
          <w:szCs w:val="32"/>
        </w:rPr>
        <w:t>坚守</w:t>
      </w:r>
      <w:r>
        <w:rPr>
          <w:rFonts w:cs="Times New Roman"/>
          <w:szCs w:val="32"/>
        </w:rPr>
        <w:t>安全发展底线，防范化解重大风险；强化法治保障、规划引领和创新驱动，推动水务建设管理手段、方式变革和能力提升，不断完善适应水务一体化需求的现代化水务治理体系。</w:t>
      </w:r>
    </w:p>
    <w:p w14:paraId="68025FA4">
      <w:pPr>
        <w:ind w:firstLine="523" w:firstLineChars="176"/>
        <w:rPr>
          <w:rFonts w:cs="Times New Roman"/>
          <w:b/>
          <w:szCs w:val="32"/>
        </w:rPr>
      </w:pPr>
      <w:r>
        <w:rPr>
          <w:rFonts w:cs="Times New Roman"/>
          <w:b/>
          <w:szCs w:val="32"/>
        </w:rPr>
        <w:t>坚持统筹协调，有序推进。</w:t>
      </w:r>
      <w:r>
        <w:rPr>
          <w:rFonts w:cs="Times New Roman"/>
          <w:szCs w:val="32"/>
        </w:rPr>
        <w:t>注重多元主体共同规划，水务发展规划和城市总体规划、国土空间规划、生态环境规划、各项市政专项规划相协调，按照“多规合一”要求统筹推进规划实施。</w:t>
      </w:r>
    </w:p>
    <w:p w14:paraId="10DB9CA0">
      <w:pPr>
        <w:ind w:firstLine="523" w:firstLineChars="176"/>
        <w:rPr>
          <w:rFonts w:cs="Times New Roman"/>
          <w:b/>
          <w:szCs w:val="32"/>
        </w:rPr>
      </w:pPr>
      <w:r>
        <w:rPr>
          <w:rFonts w:cs="Times New Roman"/>
          <w:b/>
          <w:szCs w:val="32"/>
        </w:rPr>
        <w:t>坚持彰显特色，示范引领。</w:t>
      </w:r>
      <w:r>
        <w:rPr>
          <w:rFonts w:hint="eastAsia" w:cs="Times New Roman"/>
          <w:szCs w:val="32"/>
        </w:rPr>
        <w:t>深入挖掘</w:t>
      </w:r>
      <w:r>
        <w:rPr>
          <w:rFonts w:cs="Times New Roman"/>
          <w:szCs w:val="32"/>
        </w:rPr>
        <w:t>秦淮区独特的自然历史文化禀赋，提出符合实际、可操作性强且独具特色的区域水文化景观建设规划方案。</w:t>
      </w:r>
    </w:p>
    <w:bookmarkEnd w:id="24"/>
    <w:p w14:paraId="3A65E95C">
      <w:pPr>
        <w:pStyle w:val="26"/>
        <w:spacing w:line="600" w:lineRule="atLeast"/>
        <w:rPr>
          <w:rFonts w:eastAsia="方正楷体_GBK" w:cs="Times New Roman"/>
          <w:sz w:val="32"/>
          <w:szCs w:val="32"/>
        </w:rPr>
      </w:pPr>
      <w:bookmarkStart w:id="29" w:name="_Toc81566733"/>
      <w:r>
        <w:rPr>
          <w:rFonts w:eastAsia="方正楷体_GBK" w:cs="Times New Roman"/>
          <w:sz w:val="32"/>
          <w:szCs w:val="32"/>
        </w:rPr>
        <w:t>（三）规划目标</w:t>
      </w:r>
      <w:bookmarkEnd w:id="29"/>
    </w:p>
    <w:p w14:paraId="214C01A4">
      <w:pPr>
        <w:ind w:firstLine="594" w:firstLineChars="200"/>
        <w:rPr>
          <w:rFonts w:cs="Times New Roman"/>
          <w:szCs w:val="32"/>
        </w:rPr>
      </w:pPr>
      <w:r>
        <w:rPr>
          <w:rFonts w:cs="Times New Roman"/>
          <w:b/>
          <w:bCs/>
          <w:szCs w:val="32"/>
        </w:rPr>
        <w:t>总体目标：</w:t>
      </w:r>
      <w:r>
        <w:rPr>
          <w:rFonts w:cs="Times New Roman"/>
          <w:b/>
          <w:szCs w:val="32"/>
        </w:rPr>
        <w:t xml:space="preserve"> “十四五”期间，秦淮区将以“共建水系流域花园，共享美丽幸福河湖”为目标，</w:t>
      </w:r>
      <w:r>
        <w:rPr>
          <w:rFonts w:cs="Times New Roman"/>
          <w:szCs w:val="32"/>
        </w:rPr>
        <w:t>围绕水安全、水资源、水环境、水生态、水管理和水文化六个方面，</w:t>
      </w:r>
      <w:r>
        <w:rPr>
          <w:rFonts w:hint="eastAsia" w:cs="Times New Roman"/>
          <w:szCs w:val="32"/>
        </w:rPr>
        <w:t>以更高标准提升城市韧性与城市品质，坚持内外兼修，让发展的底色更靓，加快建设绿色生态、独具韵味的美丽古都核心区。</w:t>
      </w:r>
      <w:r>
        <w:rPr>
          <w:rFonts w:cs="Times New Roman"/>
          <w:b/>
          <w:szCs w:val="32"/>
        </w:rPr>
        <w:t>推进三个全面:</w:t>
      </w:r>
      <w:r>
        <w:rPr>
          <w:rFonts w:cs="Times New Roman"/>
          <w:szCs w:val="32"/>
        </w:rPr>
        <w:t>即全面剿灭水质不稳定河湖，全面深化河长制改革，全面打造群众满意的美丽幸福河；</w:t>
      </w:r>
      <w:r>
        <w:rPr>
          <w:rFonts w:cs="Times New Roman"/>
          <w:b/>
          <w:szCs w:val="32"/>
        </w:rPr>
        <w:t>取得三个突破:</w:t>
      </w:r>
      <w:r>
        <w:rPr>
          <w:rFonts w:cs="Times New Roman"/>
          <w:szCs w:val="32"/>
        </w:rPr>
        <w:t>污染减排有突破，水质改善有突破，常态管护有突破；</w:t>
      </w:r>
      <w:r>
        <w:rPr>
          <w:rFonts w:cs="Times New Roman"/>
          <w:b/>
          <w:szCs w:val="32"/>
        </w:rPr>
        <w:t>构建六大水务治理体系：</w:t>
      </w:r>
      <w:r>
        <w:rPr>
          <w:rFonts w:cs="Times New Roman"/>
          <w:szCs w:val="32"/>
        </w:rPr>
        <w:t>构筑高标准防洪除涝体系；建设高效能水务设施系统；构建高要求水资源管理体系；打造高质量的水环境生态集成；塑造高品质的文旅融合水名片；推进高水平水监管能力建设。</w:t>
      </w:r>
    </w:p>
    <w:p w14:paraId="75609AD2">
      <w:pPr>
        <w:ind w:firstLine="594" w:firstLineChars="200"/>
        <w:rPr>
          <w:rFonts w:cs="Times New Roman"/>
          <w:szCs w:val="32"/>
        </w:rPr>
      </w:pPr>
      <w:r>
        <w:rPr>
          <w:rFonts w:cs="Times New Roman"/>
          <w:b/>
          <w:szCs w:val="32"/>
        </w:rPr>
        <w:t>具体指标：</w:t>
      </w:r>
      <w:r>
        <w:rPr>
          <w:rFonts w:cs="Times New Roman"/>
          <w:szCs w:val="32"/>
        </w:rPr>
        <w:t>设定防洪排涝、供水节水、水环境、水生态、水文化、水监管6个方面，19项具体指标。</w:t>
      </w:r>
    </w:p>
    <w:p w14:paraId="11FD8FF3">
      <w:pPr>
        <w:ind w:firstLine="594" w:firstLineChars="200"/>
        <w:rPr>
          <w:rFonts w:cs="Times New Roman"/>
          <w:szCs w:val="32"/>
        </w:rPr>
      </w:pPr>
    </w:p>
    <w:p w14:paraId="2DE5B2C4">
      <w:pPr>
        <w:ind w:firstLine="594" w:firstLineChars="200"/>
        <w:rPr>
          <w:rFonts w:cs="Times New Roman"/>
          <w:szCs w:val="32"/>
        </w:rPr>
      </w:pPr>
    </w:p>
    <w:p w14:paraId="7E497049">
      <w:pPr>
        <w:ind w:firstLine="594" w:firstLineChars="200"/>
        <w:rPr>
          <w:rFonts w:cs="Times New Roman"/>
          <w:szCs w:val="32"/>
        </w:rPr>
      </w:pPr>
    </w:p>
    <w:p w14:paraId="5AB45AB9">
      <w:pPr>
        <w:ind w:firstLine="594" w:firstLineChars="200"/>
        <w:rPr>
          <w:rFonts w:cs="Times New Roman"/>
          <w:szCs w:val="32"/>
        </w:rPr>
      </w:pPr>
    </w:p>
    <w:p w14:paraId="0D25E881">
      <w:pPr>
        <w:pStyle w:val="8"/>
        <w:kinsoku w:val="0"/>
        <w:overflowPunct w:val="0"/>
        <w:spacing w:before="4" w:line="600" w:lineRule="atLeast"/>
        <w:ind w:left="119" w:right="116"/>
        <w:jc w:val="center"/>
        <w:rPr>
          <w:rFonts w:ascii="Times New Roman" w:eastAsia="方正黑体_GBK" w:cs="Times New Roman"/>
          <w:color w:val="000000" w:themeColor="text1"/>
          <w:kern w:val="2"/>
          <w:szCs w:val="32"/>
          <w14:textFill>
            <w14:solidFill>
              <w14:schemeClr w14:val="tx1"/>
            </w14:solidFill>
          </w14:textFill>
        </w:rPr>
      </w:pPr>
      <w:r>
        <w:rPr>
          <w:rFonts w:ascii="Times New Roman" w:eastAsia="方正黑体_GBK" w:cs="Times New Roman"/>
          <w:color w:val="000000" w:themeColor="text1"/>
          <w:kern w:val="2"/>
          <w:szCs w:val="32"/>
          <w14:textFill>
            <w14:solidFill>
              <w14:schemeClr w14:val="tx1"/>
            </w14:solidFill>
          </w14:textFill>
        </w:rPr>
        <w:t>表2.3-1 秦淮区水务发展“十四五”规划主要指标</w:t>
      </w:r>
    </w:p>
    <w:tbl>
      <w:tblPr>
        <w:tblStyle w:val="16"/>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639"/>
        <w:gridCol w:w="1785"/>
        <w:gridCol w:w="884"/>
        <w:gridCol w:w="1335"/>
        <w:gridCol w:w="2021"/>
        <w:gridCol w:w="2196"/>
      </w:tblGrid>
      <w:tr w14:paraId="3953B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blHeader/>
          <w:jc w:val="center"/>
        </w:trPr>
        <w:tc>
          <w:tcPr>
            <w:tcW w:w="2860" w:type="dxa"/>
            <w:gridSpan w:val="3"/>
            <w:vAlign w:val="center"/>
          </w:tcPr>
          <w:p w14:paraId="2125ED50">
            <w:pPr>
              <w:widowControl/>
              <w:adjustRightInd w:val="0"/>
              <w:snapToGrid w:val="0"/>
              <w:jc w:val="center"/>
              <w:rPr>
                <w:rFonts w:eastAsia="方正黑体_GBK" w:cs="Times New Roman"/>
                <w:kern w:val="0"/>
                <w:sz w:val="21"/>
              </w:rPr>
            </w:pPr>
            <w:r>
              <w:rPr>
                <w:rFonts w:eastAsia="方正黑体_GBK" w:cs="Times New Roman"/>
                <w:kern w:val="0"/>
                <w:sz w:val="21"/>
              </w:rPr>
              <w:t>指标体系</w:t>
            </w:r>
          </w:p>
        </w:tc>
        <w:tc>
          <w:tcPr>
            <w:tcW w:w="884" w:type="dxa"/>
            <w:vAlign w:val="center"/>
          </w:tcPr>
          <w:p w14:paraId="15B38818">
            <w:pPr>
              <w:widowControl/>
              <w:adjustRightInd w:val="0"/>
              <w:snapToGrid w:val="0"/>
              <w:jc w:val="center"/>
              <w:rPr>
                <w:rFonts w:eastAsia="方正黑体_GBK" w:cs="Times New Roman"/>
                <w:kern w:val="0"/>
                <w:sz w:val="21"/>
              </w:rPr>
            </w:pPr>
            <w:r>
              <w:rPr>
                <w:rFonts w:eastAsia="方正黑体_GBK" w:cs="Times New Roman"/>
                <w:kern w:val="0"/>
                <w:sz w:val="21"/>
              </w:rPr>
              <w:t>指标</w:t>
            </w:r>
          </w:p>
          <w:p w14:paraId="3BA3C5FE">
            <w:pPr>
              <w:widowControl/>
              <w:adjustRightInd w:val="0"/>
              <w:snapToGrid w:val="0"/>
              <w:jc w:val="center"/>
              <w:rPr>
                <w:rFonts w:eastAsia="方正黑体_GBK" w:cs="Times New Roman"/>
                <w:kern w:val="0"/>
                <w:sz w:val="21"/>
              </w:rPr>
            </w:pPr>
            <w:r>
              <w:rPr>
                <w:rFonts w:eastAsia="方正黑体_GBK" w:cs="Times New Roman"/>
                <w:kern w:val="0"/>
                <w:sz w:val="21"/>
              </w:rPr>
              <w:t>属性</w:t>
            </w:r>
          </w:p>
        </w:tc>
        <w:tc>
          <w:tcPr>
            <w:tcW w:w="1335" w:type="dxa"/>
            <w:vAlign w:val="center"/>
          </w:tcPr>
          <w:p w14:paraId="71A3FFCE">
            <w:pPr>
              <w:widowControl/>
              <w:adjustRightInd w:val="0"/>
              <w:snapToGrid w:val="0"/>
              <w:jc w:val="center"/>
              <w:rPr>
                <w:rFonts w:eastAsia="方正黑体_GBK" w:cs="Times New Roman"/>
                <w:kern w:val="0"/>
                <w:sz w:val="21"/>
              </w:rPr>
            </w:pPr>
            <w:r>
              <w:rPr>
                <w:rFonts w:eastAsia="方正黑体_GBK" w:cs="Times New Roman"/>
                <w:kern w:val="0"/>
                <w:sz w:val="21"/>
              </w:rPr>
              <w:t>现状值</w:t>
            </w:r>
          </w:p>
        </w:tc>
        <w:tc>
          <w:tcPr>
            <w:tcW w:w="2021" w:type="dxa"/>
            <w:vAlign w:val="center"/>
          </w:tcPr>
          <w:p w14:paraId="5CA02FBF">
            <w:pPr>
              <w:widowControl/>
              <w:adjustRightInd w:val="0"/>
              <w:snapToGrid w:val="0"/>
              <w:jc w:val="center"/>
              <w:rPr>
                <w:rFonts w:eastAsia="方正黑体_GBK" w:cs="Times New Roman"/>
                <w:kern w:val="0"/>
                <w:sz w:val="21"/>
              </w:rPr>
            </w:pPr>
            <w:r>
              <w:rPr>
                <w:rFonts w:eastAsia="方正黑体_GBK" w:cs="Times New Roman"/>
                <w:kern w:val="0"/>
                <w:sz w:val="21"/>
              </w:rPr>
              <w:t>市级“十四五”目标</w:t>
            </w:r>
          </w:p>
        </w:tc>
        <w:tc>
          <w:tcPr>
            <w:tcW w:w="2196" w:type="dxa"/>
            <w:vAlign w:val="center"/>
          </w:tcPr>
          <w:p w14:paraId="55AA1699">
            <w:pPr>
              <w:widowControl/>
              <w:adjustRightInd w:val="0"/>
              <w:snapToGrid w:val="0"/>
              <w:jc w:val="center"/>
              <w:rPr>
                <w:rFonts w:eastAsia="方正黑体_GBK" w:cs="Times New Roman"/>
                <w:kern w:val="0"/>
                <w:sz w:val="21"/>
              </w:rPr>
            </w:pPr>
            <w:r>
              <w:rPr>
                <w:rFonts w:eastAsia="方正黑体_GBK" w:cs="Times New Roman"/>
                <w:kern w:val="0"/>
                <w:sz w:val="21"/>
              </w:rPr>
              <w:t>秦淮区“十四五”目标（2025年）</w:t>
            </w:r>
          </w:p>
        </w:tc>
      </w:tr>
      <w:tr w14:paraId="51A6B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436" w:type="dxa"/>
            <w:vAlign w:val="center"/>
          </w:tcPr>
          <w:p w14:paraId="25988D55">
            <w:pPr>
              <w:widowControl/>
              <w:adjustRightInd w:val="0"/>
              <w:snapToGrid w:val="0"/>
              <w:jc w:val="center"/>
              <w:rPr>
                <w:rFonts w:eastAsia="方正书宋_GBK" w:cs="Times New Roman"/>
                <w:kern w:val="0"/>
                <w:sz w:val="21"/>
              </w:rPr>
            </w:pPr>
            <w:r>
              <w:rPr>
                <w:rFonts w:eastAsia="方正书宋_GBK" w:cs="Times New Roman"/>
                <w:kern w:val="0"/>
                <w:sz w:val="21"/>
              </w:rPr>
              <w:t>1</w:t>
            </w:r>
          </w:p>
        </w:tc>
        <w:tc>
          <w:tcPr>
            <w:tcW w:w="639" w:type="dxa"/>
            <w:vMerge w:val="restart"/>
            <w:vAlign w:val="center"/>
          </w:tcPr>
          <w:p w14:paraId="5A0E8FEF">
            <w:pPr>
              <w:widowControl/>
              <w:adjustRightInd w:val="0"/>
              <w:snapToGrid w:val="0"/>
              <w:jc w:val="center"/>
              <w:rPr>
                <w:rFonts w:eastAsia="方正书宋_GBK" w:cs="Times New Roman"/>
                <w:kern w:val="0"/>
                <w:sz w:val="21"/>
              </w:rPr>
            </w:pPr>
            <w:r>
              <w:rPr>
                <w:rFonts w:eastAsia="方正书宋_GBK" w:cs="Times New Roman"/>
                <w:kern w:val="0"/>
                <w:sz w:val="21"/>
              </w:rPr>
              <w:t>防洪排涝</w:t>
            </w:r>
          </w:p>
        </w:tc>
        <w:tc>
          <w:tcPr>
            <w:tcW w:w="1785" w:type="dxa"/>
            <w:vAlign w:val="center"/>
          </w:tcPr>
          <w:p w14:paraId="14B50DAB">
            <w:pPr>
              <w:widowControl/>
              <w:adjustRightInd w:val="0"/>
              <w:snapToGrid w:val="0"/>
              <w:jc w:val="left"/>
              <w:rPr>
                <w:rFonts w:eastAsia="方正书宋_GBK" w:cs="Times New Roman"/>
                <w:kern w:val="0"/>
                <w:sz w:val="21"/>
              </w:rPr>
            </w:pPr>
            <w:r>
              <w:rPr>
                <w:rFonts w:eastAsia="方正书宋_GBK" w:cs="Times New Roman"/>
                <w:kern w:val="0"/>
                <w:sz w:val="21"/>
              </w:rPr>
              <w:t>江河堤防达标率</w:t>
            </w:r>
          </w:p>
        </w:tc>
        <w:tc>
          <w:tcPr>
            <w:tcW w:w="884" w:type="dxa"/>
            <w:vAlign w:val="center"/>
          </w:tcPr>
          <w:p w14:paraId="4908FD36">
            <w:pPr>
              <w:widowControl/>
              <w:adjustRightInd w:val="0"/>
              <w:snapToGrid w:val="0"/>
              <w:jc w:val="center"/>
              <w:rPr>
                <w:rFonts w:eastAsia="方正书宋_GBK" w:cs="Times New Roman"/>
                <w:kern w:val="0"/>
                <w:sz w:val="21"/>
              </w:rPr>
            </w:pPr>
            <w:r>
              <w:rPr>
                <w:rFonts w:eastAsia="方正书宋_GBK" w:cs="Times New Roman"/>
                <w:kern w:val="0"/>
                <w:sz w:val="21"/>
              </w:rPr>
              <w:t>约束性</w:t>
            </w:r>
          </w:p>
        </w:tc>
        <w:tc>
          <w:tcPr>
            <w:tcW w:w="1335" w:type="dxa"/>
            <w:vAlign w:val="center"/>
          </w:tcPr>
          <w:p w14:paraId="11D47C42">
            <w:pPr>
              <w:widowControl/>
              <w:adjustRightInd w:val="0"/>
              <w:snapToGrid w:val="0"/>
              <w:jc w:val="center"/>
              <w:rPr>
                <w:rFonts w:eastAsia="方正书宋_GBK" w:cs="Times New Roman"/>
                <w:kern w:val="0"/>
                <w:sz w:val="21"/>
              </w:rPr>
            </w:pPr>
            <w:r>
              <w:rPr>
                <w:rFonts w:eastAsia="方正书宋_GBK" w:cs="Times New Roman"/>
                <w:kern w:val="0"/>
                <w:sz w:val="21"/>
              </w:rPr>
              <w:t>秦淮河堤防已基本达标</w:t>
            </w:r>
          </w:p>
        </w:tc>
        <w:tc>
          <w:tcPr>
            <w:tcW w:w="2021" w:type="dxa"/>
            <w:vAlign w:val="center"/>
          </w:tcPr>
          <w:p w14:paraId="3322D3F4">
            <w:pPr>
              <w:widowControl/>
              <w:adjustRightInd w:val="0"/>
              <w:snapToGrid w:val="0"/>
              <w:jc w:val="center"/>
              <w:rPr>
                <w:rFonts w:eastAsia="方正书宋_GBK" w:cs="Times New Roman"/>
                <w:kern w:val="0"/>
                <w:sz w:val="21"/>
              </w:rPr>
            </w:pPr>
            <w:r>
              <w:rPr>
                <w:rFonts w:eastAsia="方正书宋_GBK" w:cs="Times New Roman"/>
                <w:kern w:val="0"/>
                <w:sz w:val="21"/>
              </w:rPr>
              <w:t>≥92%</w:t>
            </w:r>
          </w:p>
        </w:tc>
        <w:tc>
          <w:tcPr>
            <w:tcW w:w="2196" w:type="dxa"/>
            <w:vAlign w:val="center"/>
          </w:tcPr>
          <w:p w14:paraId="0577139F">
            <w:pPr>
              <w:widowControl/>
              <w:adjustRightInd w:val="0"/>
              <w:snapToGrid w:val="0"/>
              <w:jc w:val="center"/>
              <w:rPr>
                <w:rFonts w:eastAsia="方正书宋_GBK" w:cs="Times New Roman"/>
                <w:kern w:val="0"/>
                <w:sz w:val="21"/>
              </w:rPr>
            </w:pPr>
            <w:r>
              <w:rPr>
                <w:rFonts w:eastAsia="方正书宋_GBK" w:cs="Times New Roman"/>
                <w:kern w:val="0"/>
                <w:sz w:val="21"/>
              </w:rPr>
              <w:t>≥95%</w:t>
            </w:r>
          </w:p>
        </w:tc>
      </w:tr>
      <w:tr w14:paraId="7443A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436" w:type="dxa"/>
            <w:vAlign w:val="center"/>
          </w:tcPr>
          <w:p w14:paraId="49C2F2DA">
            <w:pPr>
              <w:widowControl/>
              <w:adjustRightInd w:val="0"/>
              <w:snapToGrid w:val="0"/>
              <w:jc w:val="center"/>
              <w:rPr>
                <w:rFonts w:eastAsia="方正书宋_GBK" w:cs="Times New Roman"/>
                <w:kern w:val="0"/>
                <w:sz w:val="21"/>
              </w:rPr>
            </w:pPr>
            <w:r>
              <w:rPr>
                <w:rFonts w:eastAsia="方正书宋_GBK" w:cs="Times New Roman"/>
                <w:kern w:val="0"/>
                <w:sz w:val="21"/>
              </w:rPr>
              <w:t>2</w:t>
            </w:r>
          </w:p>
        </w:tc>
        <w:tc>
          <w:tcPr>
            <w:tcW w:w="639" w:type="dxa"/>
            <w:vMerge w:val="continue"/>
            <w:vAlign w:val="center"/>
          </w:tcPr>
          <w:p w14:paraId="5B0D9434">
            <w:pPr>
              <w:widowControl/>
              <w:adjustRightInd w:val="0"/>
              <w:snapToGrid w:val="0"/>
              <w:jc w:val="center"/>
              <w:rPr>
                <w:rFonts w:eastAsia="方正书宋_GBK" w:cs="Times New Roman"/>
                <w:kern w:val="0"/>
                <w:sz w:val="21"/>
              </w:rPr>
            </w:pPr>
          </w:p>
        </w:tc>
        <w:tc>
          <w:tcPr>
            <w:tcW w:w="1785" w:type="dxa"/>
            <w:vAlign w:val="center"/>
          </w:tcPr>
          <w:p w14:paraId="7E7BCA9F">
            <w:pPr>
              <w:widowControl/>
              <w:adjustRightInd w:val="0"/>
              <w:snapToGrid w:val="0"/>
              <w:jc w:val="left"/>
              <w:rPr>
                <w:rFonts w:eastAsia="方正书宋_GBK" w:cs="Times New Roman"/>
                <w:kern w:val="0"/>
                <w:sz w:val="21"/>
              </w:rPr>
            </w:pPr>
            <w:r>
              <w:rPr>
                <w:rFonts w:eastAsia="方正书宋_GBK" w:cs="Times New Roman"/>
                <w:kern w:val="0"/>
                <w:sz w:val="21"/>
              </w:rPr>
              <w:t>城市内涝防治能力</w:t>
            </w:r>
          </w:p>
        </w:tc>
        <w:tc>
          <w:tcPr>
            <w:tcW w:w="884" w:type="dxa"/>
            <w:vAlign w:val="center"/>
          </w:tcPr>
          <w:p w14:paraId="44A1CFAD">
            <w:pPr>
              <w:widowControl/>
              <w:adjustRightInd w:val="0"/>
              <w:snapToGrid w:val="0"/>
              <w:jc w:val="center"/>
              <w:rPr>
                <w:rFonts w:eastAsia="方正书宋_GBK" w:cs="Times New Roman"/>
                <w:kern w:val="0"/>
                <w:sz w:val="21"/>
              </w:rPr>
            </w:pPr>
            <w:r>
              <w:rPr>
                <w:rFonts w:eastAsia="方正书宋_GBK" w:cs="Times New Roman"/>
                <w:kern w:val="0"/>
                <w:sz w:val="21"/>
              </w:rPr>
              <w:t>预期性</w:t>
            </w:r>
          </w:p>
        </w:tc>
        <w:tc>
          <w:tcPr>
            <w:tcW w:w="1335" w:type="dxa"/>
            <w:vAlign w:val="center"/>
          </w:tcPr>
          <w:p w14:paraId="1CA859A0">
            <w:pPr>
              <w:widowControl/>
              <w:adjustRightInd w:val="0"/>
              <w:snapToGrid w:val="0"/>
              <w:jc w:val="center"/>
              <w:rPr>
                <w:rFonts w:eastAsia="方正书宋_GBK" w:cs="Times New Roman"/>
                <w:kern w:val="0"/>
                <w:sz w:val="21"/>
              </w:rPr>
            </w:pPr>
            <w:r>
              <w:rPr>
                <w:rFonts w:eastAsia="方正书宋_GBK" w:cs="Times New Roman"/>
                <w:kern w:val="0"/>
                <w:sz w:val="21"/>
              </w:rPr>
              <w:t>20-50年一遇</w:t>
            </w:r>
          </w:p>
        </w:tc>
        <w:tc>
          <w:tcPr>
            <w:tcW w:w="2021" w:type="dxa"/>
            <w:vAlign w:val="center"/>
          </w:tcPr>
          <w:p w14:paraId="2ABE0A6C">
            <w:pPr>
              <w:widowControl/>
              <w:adjustRightInd w:val="0"/>
              <w:snapToGrid w:val="0"/>
              <w:jc w:val="left"/>
              <w:rPr>
                <w:rFonts w:eastAsia="方正书宋_GBK" w:cs="Times New Roman"/>
                <w:kern w:val="0"/>
                <w:sz w:val="21"/>
              </w:rPr>
            </w:pPr>
            <w:r>
              <w:rPr>
                <w:rFonts w:eastAsia="方正书宋_GBK" w:cs="Times New Roman"/>
                <w:kern w:val="0"/>
                <w:sz w:val="21"/>
              </w:rPr>
              <w:t>中心城区基本达到50年一遇，副城、新城基本达到30年一遇</w:t>
            </w:r>
          </w:p>
        </w:tc>
        <w:tc>
          <w:tcPr>
            <w:tcW w:w="2196" w:type="dxa"/>
            <w:vAlign w:val="center"/>
          </w:tcPr>
          <w:p w14:paraId="626EA71A">
            <w:pPr>
              <w:widowControl/>
              <w:adjustRightInd w:val="0"/>
              <w:snapToGrid w:val="0"/>
              <w:jc w:val="center"/>
              <w:rPr>
                <w:rFonts w:eastAsia="方正书宋_GBK" w:cs="Times New Roman"/>
                <w:kern w:val="0"/>
                <w:sz w:val="21"/>
              </w:rPr>
            </w:pPr>
            <w:r>
              <w:rPr>
                <w:rFonts w:eastAsia="方正书宋_GBK" w:cs="Times New Roman"/>
                <w:kern w:val="0"/>
                <w:sz w:val="21"/>
              </w:rPr>
              <w:t>基本达到50年一遇</w:t>
            </w:r>
          </w:p>
          <w:p w14:paraId="18FEB289">
            <w:pPr>
              <w:widowControl/>
              <w:adjustRightInd w:val="0"/>
              <w:snapToGrid w:val="0"/>
              <w:jc w:val="center"/>
              <w:rPr>
                <w:rFonts w:eastAsia="方正书宋_GBK" w:cs="Times New Roman"/>
                <w:kern w:val="0"/>
                <w:sz w:val="21"/>
              </w:rPr>
            </w:pPr>
            <w:r>
              <w:rPr>
                <w:rFonts w:eastAsia="方正书宋_GBK" w:cs="Times New Roman"/>
                <w:kern w:val="0"/>
                <w:sz w:val="21"/>
              </w:rPr>
              <w:t>（中心城区）</w:t>
            </w:r>
          </w:p>
        </w:tc>
      </w:tr>
      <w:tr w14:paraId="3F7CB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436" w:type="dxa"/>
            <w:vAlign w:val="center"/>
          </w:tcPr>
          <w:p w14:paraId="6C7BCE84">
            <w:pPr>
              <w:widowControl/>
              <w:adjustRightInd w:val="0"/>
              <w:snapToGrid w:val="0"/>
              <w:jc w:val="center"/>
              <w:rPr>
                <w:rFonts w:eastAsia="方正书宋_GBK" w:cs="Times New Roman"/>
                <w:kern w:val="0"/>
                <w:sz w:val="21"/>
              </w:rPr>
            </w:pPr>
            <w:r>
              <w:rPr>
                <w:rFonts w:eastAsia="方正书宋_GBK" w:cs="Times New Roman"/>
                <w:kern w:val="0"/>
                <w:sz w:val="21"/>
              </w:rPr>
              <w:t>3</w:t>
            </w:r>
          </w:p>
        </w:tc>
        <w:tc>
          <w:tcPr>
            <w:tcW w:w="639" w:type="dxa"/>
            <w:vMerge w:val="restart"/>
            <w:vAlign w:val="center"/>
          </w:tcPr>
          <w:p w14:paraId="4263256E">
            <w:pPr>
              <w:widowControl/>
              <w:adjustRightInd w:val="0"/>
              <w:snapToGrid w:val="0"/>
              <w:jc w:val="center"/>
              <w:rPr>
                <w:rFonts w:eastAsia="方正书宋_GBK" w:cs="Times New Roman"/>
                <w:kern w:val="0"/>
                <w:sz w:val="21"/>
              </w:rPr>
            </w:pPr>
            <w:r>
              <w:rPr>
                <w:rFonts w:eastAsia="方正书宋_GBK" w:cs="Times New Roman"/>
                <w:kern w:val="0"/>
                <w:sz w:val="21"/>
              </w:rPr>
              <w:t>供水节水</w:t>
            </w:r>
          </w:p>
        </w:tc>
        <w:tc>
          <w:tcPr>
            <w:tcW w:w="1785" w:type="dxa"/>
            <w:vAlign w:val="center"/>
          </w:tcPr>
          <w:p w14:paraId="2C743884">
            <w:pPr>
              <w:widowControl/>
              <w:adjustRightInd w:val="0"/>
              <w:snapToGrid w:val="0"/>
              <w:jc w:val="left"/>
              <w:rPr>
                <w:rFonts w:eastAsia="方正书宋_GBK" w:cs="Times New Roman"/>
                <w:kern w:val="0"/>
                <w:sz w:val="21"/>
              </w:rPr>
            </w:pPr>
            <w:r>
              <w:rPr>
                <w:rFonts w:eastAsia="方正书宋_GBK" w:cs="Times New Roman"/>
                <w:kern w:val="0"/>
                <w:sz w:val="21"/>
              </w:rPr>
              <w:t>年用水总量</w:t>
            </w:r>
          </w:p>
          <w:p w14:paraId="23F209EF">
            <w:pPr>
              <w:widowControl/>
              <w:adjustRightInd w:val="0"/>
              <w:snapToGrid w:val="0"/>
              <w:jc w:val="left"/>
              <w:rPr>
                <w:rFonts w:eastAsia="方正书宋_GBK" w:cs="Times New Roman"/>
                <w:kern w:val="0"/>
                <w:sz w:val="21"/>
              </w:rPr>
            </w:pPr>
            <w:r>
              <w:rPr>
                <w:rFonts w:eastAsia="方正书宋_GBK" w:cs="Times New Roman"/>
                <w:kern w:val="0"/>
                <w:sz w:val="21"/>
              </w:rPr>
              <w:t>(亿m3)</w:t>
            </w:r>
          </w:p>
        </w:tc>
        <w:tc>
          <w:tcPr>
            <w:tcW w:w="884" w:type="dxa"/>
            <w:vAlign w:val="center"/>
          </w:tcPr>
          <w:p w14:paraId="24E34DA9">
            <w:pPr>
              <w:widowControl/>
              <w:adjustRightInd w:val="0"/>
              <w:snapToGrid w:val="0"/>
              <w:jc w:val="center"/>
              <w:rPr>
                <w:rFonts w:eastAsia="方正书宋_GBK" w:cs="Times New Roman"/>
                <w:kern w:val="0"/>
                <w:sz w:val="21"/>
              </w:rPr>
            </w:pPr>
            <w:r>
              <w:rPr>
                <w:rFonts w:eastAsia="方正书宋_GBK" w:cs="Times New Roman"/>
                <w:kern w:val="0"/>
                <w:sz w:val="21"/>
              </w:rPr>
              <w:t>约束性</w:t>
            </w:r>
          </w:p>
        </w:tc>
        <w:tc>
          <w:tcPr>
            <w:tcW w:w="1335" w:type="dxa"/>
            <w:vAlign w:val="center"/>
          </w:tcPr>
          <w:p w14:paraId="39369245">
            <w:pPr>
              <w:widowControl/>
              <w:adjustRightInd w:val="0"/>
              <w:snapToGrid w:val="0"/>
              <w:jc w:val="center"/>
              <w:rPr>
                <w:rFonts w:eastAsia="方正书宋_GBK" w:cs="Times New Roman"/>
                <w:kern w:val="0"/>
                <w:sz w:val="21"/>
              </w:rPr>
            </w:pPr>
            <w:r>
              <w:rPr>
                <w:rFonts w:eastAsia="方正书宋_GBK" w:cs="Times New Roman"/>
                <w:kern w:val="0"/>
                <w:sz w:val="21"/>
              </w:rPr>
              <w:t>0.71</w:t>
            </w:r>
          </w:p>
        </w:tc>
        <w:tc>
          <w:tcPr>
            <w:tcW w:w="2021" w:type="dxa"/>
            <w:vAlign w:val="center"/>
          </w:tcPr>
          <w:p w14:paraId="16130B27">
            <w:pPr>
              <w:widowControl/>
              <w:adjustRightInd w:val="0"/>
              <w:snapToGrid w:val="0"/>
              <w:jc w:val="center"/>
              <w:rPr>
                <w:rFonts w:eastAsia="方正书宋_GBK" w:cs="Times New Roman"/>
                <w:kern w:val="0"/>
                <w:sz w:val="21"/>
              </w:rPr>
            </w:pPr>
            <w:r>
              <w:rPr>
                <w:rFonts w:eastAsia="方正书宋_GBK" w:cs="Times New Roman"/>
                <w:kern w:val="0"/>
                <w:sz w:val="21"/>
              </w:rPr>
              <w:t>≤45.82</w:t>
            </w:r>
          </w:p>
        </w:tc>
        <w:tc>
          <w:tcPr>
            <w:tcW w:w="2196" w:type="dxa"/>
            <w:vAlign w:val="center"/>
          </w:tcPr>
          <w:p w14:paraId="2D939A39">
            <w:pPr>
              <w:widowControl/>
              <w:adjustRightInd w:val="0"/>
              <w:snapToGrid w:val="0"/>
              <w:jc w:val="center"/>
              <w:rPr>
                <w:rFonts w:eastAsia="方正书宋_GBK" w:cs="Times New Roman"/>
                <w:kern w:val="0"/>
                <w:sz w:val="21"/>
              </w:rPr>
            </w:pPr>
            <w:r>
              <w:rPr>
                <w:rFonts w:eastAsia="方正书宋_GBK" w:cs="Times New Roman"/>
                <w:kern w:val="0"/>
                <w:sz w:val="21"/>
              </w:rPr>
              <w:t>≤1.0</w:t>
            </w:r>
          </w:p>
        </w:tc>
      </w:tr>
      <w:tr w14:paraId="0D3C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436" w:type="dxa"/>
            <w:vAlign w:val="center"/>
          </w:tcPr>
          <w:p w14:paraId="0516A4DF">
            <w:pPr>
              <w:widowControl/>
              <w:adjustRightInd w:val="0"/>
              <w:snapToGrid w:val="0"/>
              <w:jc w:val="center"/>
              <w:rPr>
                <w:rFonts w:eastAsia="方正书宋_GBK" w:cs="Times New Roman"/>
                <w:kern w:val="0"/>
                <w:sz w:val="21"/>
              </w:rPr>
            </w:pPr>
            <w:r>
              <w:rPr>
                <w:rFonts w:eastAsia="方正书宋_GBK" w:cs="Times New Roman"/>
                <w:kern w:val="0"/>
                <w:sz w:val="21"/>
              </w:rPr>
              <w:t>4</w:t>
            </w:r>
          </w:p>
        </w:tc>
        <w:tc>
          <w:tcPr>
            <w:tcW w:w="639" w:type="dxa"/>
            <w:vMerge w:val="continue"/>
            <w:vAlign w:val="center"/>
          </w:tcPr>
          <w:p w14:paraId="15EE4399">
            <w:pPr>
              <w:widowControl/>
              <w:adjustRightInd w:val="0"/>
              <w:snapToGrid w:val="0"/>
              <w:jc w:val="center"/>
              <w:rPr>
                <w:rFonts w:eastAsia="方正书宋_GBK" w:cs="Times New Roman"/>
                <w:kern w:val="0"/>
                <w:sz w:val="21"/>
              </w:rPr>
            </w:pPr>
          </w:p>
        </w:tc>
        <w:tc>
          <w:tcPr>
            <w:tcW w:w="1785" w:type="dxa"/>
            <w:vAlign w:val="center"/>
          </w:tcPr>
          <w:p w14:paraId="7C218ED8">
            <w:pPr>
              <w:widowControl/>
              <w:adjustRightInd w:val="0"/>
              <w:snapToGrid w:val="0"/>
              <w:jc w:val="left"/>
              <w:rPr>
                <w:rFonts w:eastAsia="方正书宋_GBK" w:cs="Times New Roman"/>
                <w:kern w:val="0"/>
                <w:sz w:val="21"/>
              </w:rPr>
            </w:pPr>
            <w:r>
              <w:rPr>
                <w:rFonts w:eastAsia="方正书宋_GBK" w:cs="Times New Roman"/>
                <w:kern w:val="0"/>
                <w:sz w:val="21"/>
              </w:rPr>
              <w:t>万元GDP用水量(m3)</w:t>
            </w:r>
          </w:p>
        </w:tc>
        <w:tc>
          <w:tcPr>
            <w:tcW w:w="884" w:type="dxa"/>
            <w:vAlign w:val="center"/>
          </w:tcPr>
          <w:p w14:paraId="3B32295C">
            <w:pPr>
              <w:widowControl/>
              <w:adjustRightInd w:val="0"/>
              <w:snapToGrid w:val="0"/>
              <w:jc w:val="center"/>
              <w:rPr>
                <w:rFonts w:eastAsia="方正书宋_GBK" w:cs="Times New Roman"/>
                <w:kern w:val="0"/>
                <w:sz w:val="21"/>
              </w:rPr>
            </w:pPr>
            <w:r>
              <w:rPr>
                <w:rFonts w:eastAsia="方正书宋_GBK" w:cs="Times New Roman"/>
                <w:kern w:val="0"/>
                <w:sz w:val="21"/>
              </w:rPr>
              <w:t>约束性</w:t>
            </w:r>
          </w:p>
        </w:tc>
        <w:tc>
          <w:tcPr>
            <w:tcW w:w="1335" w:type="dxa"/>
            <w:vAlign w:val="center"/>
          </w:tcPr>
          <w:p w14:paraId="5A621CBD">
            <w:pPr>
              <w:widowControl/>
              <w:adjustRightInd w:val="0"/>
              <w:snapToGrid w:val="0"/>
              <w:jc w:val="center"/>
              <w:rPr>
                <w:rFonts w:eastAsia="方正书宋_GBK" w:cs="Times New Roman"/>
                <w:kern w:val="0"/>
                <w:sz w:val="21"/>
              </w:rPr>
            </w:pPr>
            <w:r>
              <w:rPr>
                <w:rFonts w:eastAsia="方正书宋_GBK" w:cs="Times New Roman"/>
                <w:kern w:val="0"/>
                <w:sz w:val="21"/>
              </w:rPr>
              <w:t>30.3</w:t>
            </w:r>
          </w:p>
        </w:tc>
        <w:tc>
          <w:tcPr>
            <w:tcW w:w="2021" w:type="dxa"/>
            <w:vAlign w:val="center"/>
          </w:tcPr>
          <w:p w14:paraId="3A3B14B1">
            <w:pPr>
              <w:widowControl/>
              <w:adjustRightInd w:val="0"/>
              <w:snapToGrid w:val="0"/>
              <w:jc w:val="center"/>
              <w:rPr>
                <w:rFonts w:eastAsia="方正书宋_GBK" w:cs="Times New Roman"/>
                <w:kern w:val="0"/>
                <w:sz w:val="21"/>
              </w:rPr>
            </w:pPr>
            <w:r>
              <w:rPr>
                <w:rFonts w:eastAsia="方正书宋_GBK" w:cs="Times New Roman"/>
                <w:kern w:val="0"/>
                <w:sz w:val="21"/>
              </w:rPr>
              <w:t>较2020年下降20%</w:t>
            </w:r>
          </w:p>
        </w:tc>
        <w:tc>
          <w:tcPr>
            <w:tcW w:w="2196" w:type="dxa"/>
            <w:vAlign w:val="center"/>
          </w:tcPr>
          <w:p w14:paraId="52CC55D9">
            <w:pPr>
              <w:widowControl/>
              <w:adjustRightInd w:val="0"/>
              <w:snapToGrid w:val="0"/>
              <w:jc w:val="center"/>
              <w:rPr>
                <w:rFonts w:eastAsia="方正书宋_GBK" w:cs="Times New Roman"/>
                <w:kern w:val="0"/>
                <w:sz w:val="21"/>
              </w:rPr>
            </w:pPr>
            <w:r>
              <w:rPr>
                <w:rFonts w:eastAsia="方正书宋_GBK" w:cs="Times New Roman"/>
                <w:kern w:val="0"/>
                <w:sz w:val="21"/>
              </w:rPr>
              <w:t>较2020年下降20%</w:t>
            </w:r>
          </w:p>
        </w:tc>
      </w:tr>
      <w:tr w14:paraId="48C2E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436" w:type="dxa"/>
            <w:vAlign w:val="center"/>
          </w:tcPr>
          <w:p w14:paraId="54CD170E">
            <w:pPr>
              <w:widowControl/>
              <w:adjustRightInd w:val="0"/>
              <w:snapToGrid w:val="0"/>
              <w:jc w:val="center"/>
              <w:rPr>
                <w:rFonts w:eastAsia="方正书宋_GBK" w:cs="Times New Roman"/>
                <w:kern w:val="0"/>
                <w:sz w:val="21"/>
              </w:rPr>
            </w:pPr>
            <w:r>
              <w:rPr>
                <w:rFonts w:eastAsia="方正书宋_GBK" w:cs="Times New Roman"/>
                <w:kern w:val="0"/>
                <w:sz w:val="21"/>
              </w:rPr>
              <w:t>5</w:t>
            </w:r>
          </w:p>
        </w:tc>
        <w:tc>
          <w:tcPr>
            <w:tcW w:w="639" w:type="dxa"/>
            <w:vMerge w:val="continue"/>
            <w:vAlign w:val="center"/>
          </w:tcPr>
          <w:p w14:paraId="7110B7B5">
            <w:pPr>
              <w:widowControl/>
              <w:adjustRightInd w:val="0"/>
              <w:snapToGrid w:val="0"/>
              <w:jc w:val="center"/>
              <w:rPr>
                <w:rFonts w:eastAsia="方正书宋_GBK" w:cs="Times New Roman"/>
                <w:kern w:val="0"/>
                <w:sz w:val="21"/>
              </w:rPr>
            </w:pPr>
          </w:p>
        </w:tc>
        <w:tc>
          <w:tcPr>
            <w:tcW w:w="1785" w:type="dxa"/>
            <w:vAlign w:val="center"/>
          </w:tcPr>
          <w:p w14:paraId="077C4124">
            <w:pPr>
              <w:widowControl/>
              <w:adjustRightInd w:val="0"/>
              <w:snapToGrid w:val="0"/>
              <w:jc w:val="left"/>
              <w:rPr>
                <w:rFonts w:eastAsia="方正书宋_GBK" w:cs="Times New Roman"/>
                <w:kern w:val="0"/>
                <w:sz w:val="21"/>
              </w:rPr>
            </w:pPr>
            <w:r>
              <w:rPr>
                <w:rFonts w:eastAsia="方正书宋_GBK" w:cs="Times New Roman"/>
                <w:kern w:val="0"/>
                <w:sz w:val="21"/>
              </w:rPr>
              <w:t>城镇供水管网漏损率</w:t>
            </w:r>
          </w:p>
        </w:tc>
        <w:tc>
          <w:tcPr>
            <w:tcW w:w="884" w:type="dxa"/>
            <w:vAlign w:val="center"/>
          </w:tcPr>
          <w:p w14:paraId="4D38C937">
            <w:pPr>
              <w:widowControl/>
              <w:adjustRightInd w:val="0"/>
              <w:snapToGrid w:val="0"/>
              <w:jc w:val="center"/>
              <w:rPr>
                <w:rFonts w:eastAsia="方正书宋_GBK" w:cs="Times New Roman"/>
                <w:kern w:val="0"/>
                <w:sz w:val="21"/>
              </w:rPr>
            </w:pPr>
            <w:r>
              <w:rPr>
                <w:rFonts w:eastAsia="方正书宋_GBK" w:cs="Times New Roman"/>
                <w:kern w:val="0"/>
                <w:sz w:val="21"/>
              </w:rPr>
              <w:t>约束性</w:t>
            </w:r>
          </w:p>
        </w:tc>
        <w:tc>
          <w:tcPr>
            <w:tcW w:w="1335" w:type="dxa"/>
            <w:vAlign w:val="center"/>
          </w:tcPr>
          <w:p w14:paraId="173908B2">
            <w:pPr>
              <w:widowControl/>
              <w:adjustRightInd w:val="0"/>
              <w:snapToGrid w:val="0"/>
              <w:jc w:val="center"/>
              <w:rPr>
                <w:rFonts w:eastAsia="方正书宋_GBK" w:cs="Times New Roman"/>
                <w:kern w:val="0"/>
                <w:sz w:val="21"/>
              </w:rPr>
            </w:pPr>
            <w:r>
              <w:rPr>
                <w:rFonts w:eastAsia="方正书宋_GBK" w:cs="Times New Roman"/>
                <w:kern w:val="0"/>
                <w:sz w:val="21"/>
              </w:rPr>
              <w:t>9.36%</w:t>
            </w:r>
          </w:p>
        </w:tc>
        <w:tc>
          <w:tcPr>
            <w:tcW w:w="2021" w:type="dxa"/>
            <w:vAlign w:val="center"/>
          </w:tcPr>
          <w:p w14:paraId="07CB1245">
            <w:pPr>
              <w:widowControl/>
              <w:adjustRightInd w:val="0"/>
              <w:snapToGrid w:val="0"/>
              <w:jc w:val="center"/>
              <w:rPr>
                <w:rFonts w:eastAsia="方正书宋_GBK" w:cs="Times New Roman"/>
                <w:kern w:val="0"/>
                <w:sz w:val="21"/>
              </w:rPr>
            </w:pPr>
            <w:r>
              <w:rPr>
                <w:rFonts w:eastAsia="方正书宋_GBK" w:cs="Times New Roman"/>
                <w:kern w:val="0"/>
                <w:sz w:val="21"/>
              </w:rPr>
              <w:t>≤10%</w:t>
            </w:r>
          </w:p>
        </w:tc>
        <w:tc>
          <w:tcPr>
            <w:tcW w:w="2196" w:type="dxa"/>
            <w:vAlign w:val="center"/>
          </w:tcPr>
          <w:p w14:paraId="7426F642">
            <w:pPr>
              <w:widowControl/>
              <w:adjustRightInd w:val="0"/>
              <w:snapToGrid w:val="0"/>
              <w:jc w:val="center"/>
              <w:rPr>
                <w:rFonts w:eastAsia="方正书宋_GBK" w:cs="Times New Roman"/>
                <w:kern w:val="0"/>
                <w:sz w:val="21"/>
              </w:rPr>
            </w:pPr>
            <w:r>
              <w:rPr>
                <w:rFonts w:eastAsia="方正书宋_GBK" w:cs="Times New Roman"/>
                <w:kern w:val="0"/>
                <w:sz w:val="21"/>
              </w:rPr>
              <w:t>≤10%</w:t>
            </w:r>
          </w:p>
        </w:tc>
      </w:tr>
      <w:tr w14:paraId="7092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436" w:type="dxa"/>
            <w:vAlign w:val="center"/>
          </w:tcPr>
          <w:p w14:paraId="595E9236">
            <w:pPr>
              <w:widowControl/>
              <w:adjustRightInd w:val="0"/>
              <w:snapToGrid w:val="0"/>
              <w:jc w:val="center"/>
              <w:rPr>
                <w:rFonts w:eastAsia="方正书宋_GBK" w:cs="Times New Roman"/>
                <w:kern w:val="0"/>
                <w:sz w:val="21"/>
              </w:rPr>
            </w:pPr>
            <w:r>
              <w:rPr>
                <w:rFonts w:eastAsia="方正书宋_GBK" w:cs="Times New Roman"/>
                <w:kern w:val="0"/>
                <w:sz w:val="21"/>
              </w:rPr>
              <w:t>6</w:t>
            </w:r>
          </w:p>
        </w:tc>
        <w:tc>
          <w:tcPr>
            <w:tcW w:w="639" w:type="dxa"/>
            <w:vMerge w:val="restart"/>
            <w:vAlign w:val="center"/>
          </w:tcPr>
          <w:p w14:paraId="7192DCD9">
            <w:pPr>
              <w:adjustRightInd w:val="0"/>
              <w:snapToGrid w:val="0"/>
              <w:jc w:val="center"/>
              <w:rPr>
                <w:rFonts w:eastAsia="方正书宋_GBK" w:cs="Times New Roman"/>
                <w:kern w:val="0"/>
                <w:sz w:val="21"/>
              </w:rPr>
            </w:pPr>
            <w:r>
              <w:rPr>
                <w:rFonts w:eastAsia="方正书宋_GBK" w:cs="Times New Roman"/>
                <w:kern w:val="0"/>
                <w:sz w:val="21"/>
              </w:rPr>
              <w:t>水环境</w:t>
            </w:r>
          </w:p>
        </w:tc>
        <w:tc>
          <w:tcPr>
            <w:tcW w:w="1785" w:type="dxa"/>
            <w:vAlign w:val="center"/>
          </w:tcPr>
          <w:p w14:paraId="08E25D35">
            <w:pPr>
              <w:widowControl/>
              <w:adjustRightInd w:val="0"/>
              <w:snapToGrid w:val="0"/>
              <w:jc w:val="left"/>
              <w:rPr>
                <w:rFonts w:eastAsia="方正书宋_GBK" w:cs="Times New Roman"/>
                <w:kern w:val="0"/>
                <w:sz w:val="21"/>
              </w:rPr>
            </w:pPr>
            <w:r>
              <w:rPr>
                <w:rFonts w:eastAsia="方正书宋_GBK" w:cs="Times New Roman"/>
                <w:kern w:val="0"/>
                <w:sz w:val="21"/>
              </w:rPr>
              <w:t>城镇生活污水集中收集率</w:t>
            </w:r>
          </w:p>
        </w:tc>
        <w:tc>
          <w:tcPr>
            <w:tcW w:w="884" w:type="dxa"/>
            <w:vAlign w:val="center"/>
          </w:tcPr>
          <w:p w14:paraId="5A525E8D">
            <w:pPr>
              <w:widowControl/>
              <w:adjustRightInd w:val="0"/>
              <w:snapToGrid w:val="0"/>
              <w:jc w:val="center"/>
              <w:rPr>
                <w:rFonts w:eastAsia="方正书宋_GBK" w:cs="Times New Roman"/>
                <w:kern w:val="0"/>
                <w:sz w:val="21"/>
              </w:rPr>
            </w:pPr>
            <w:r>
              <w:rPr>
                <w:rFonts w:eastAsia="方正书宋_GBK" w:cs="Times New Roman"/>
                <w:kern w:val="0"/>
                <w:sz w:val="21"/>
              </w:rPr>
              <w:t>预期性</w:t>
            </w:r>
          </w:p>
        </w:tc>
        <w:tc>
          <w:tcPr>
            <w:tcW w:w="1335" w:type="dxa"/>
            <w:vAlign w:val="center"/>
          </w:tcPr>
          <w:p w14:paraId="5D3AC969">
            <w:pPr>
              <w:widowControl/>
              <w:adjustRightInd w:val="0"/>
              <w:snapToGrid w:val="0"/>
              <w:jc w:val="center"/>
              <w:rPr>
                <w:rFonts w:eastAsia="方正书宋_GBK" w:cs="Times New Roman"/>
                <w:kern w:val="0"/>
                <w:sz w:val="21"/>
              </w:rPr>
            </w:pPr>
            <w:r>
              <w:rPr>
                <w:rFonts w:eastAsia="方正书宋_GBK" w:cs="Times New Roman"/>
                <w:kern w:val="0"/>
                <w:sz w:val="21"/>
              </w:rPr>
              <w:t>69.7%</w:t>
            </w:r>
          </w:p>
        </w:tc>
        <w:tc>
          <w:tcPr>
            <w:tcW w:w="2021" w:type="dxa"/>
            <w:vAlign w:val="center"/>
          </w:tcPr>
          <w:p w14:paraId="3CCBBB67">
            <w:pPr>
              <w:widowControl/>
              <w:adjustRightInd w:val="0"/>
              <w:snapToGrid w:val="0"/>
              <w:jc w:val="center"/>
              <w:rPr>
                <w:rFonts w:eastAsia="方正书宋_GBK" w:cs="Times New Roman"/>
                <w:kern w:val="0"/>
                <w:sz w:val="21"/>
              </w:rPr>
            </w:pPr>
            <w:r>
              <w:rPr>
                <w:rFonts w:eastAsia="方正书宋_GBK" w:cs="Times New Roman"/>
                <w:kern w:val="0"/>
                <w:sz w:val="21"/>
              </w:rPr>
              <w:t>省定考核目标</w:t>
            </w:r>
          </w:p>
        </w:tc>
        <w:tc>
          <w:tcPr>
            <w:tcW w:w="2196" w:type="dxa"/>
            <w:vAlign w:val="center"/>
          </w:tcPr>
          <w:p w14:paraId="11BC4569">
            <w:pPr>
              <w:widowControl/>
              <w:adjustRightInd w:val="0"/>
              <w:snapToGrid w:val="0"/>
              <w:jc w:val="center"/>
              <w:rPr>
                <w:rFonts w:eastAsia="方正书宋_GBK" w:cs="Times New Roman"/>
                <w:kern w:val="0"/>
                <w:sz w:val="21"/>
              </w:rPr>
            </w:pPr>
            <w:r>
              <w:rPr>
                <w:rFonts w:eastAsia="方正书宋_GBK" w:cs="Times New Roman"/>
                <w:kern w:val="0"/>
                <w:sz w:val="21"/>
              </w:rPr>
              <w:t>省定考核目标</w:t>
            </w:r>
          </w:p>
        </w:tc>
      </w:tr>
      <w:tr w14:paraId="381A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436" w:type="dxa"/>
            <w:vAlign w:val="center"/>
          </w:tcPr>
          <w:p w14:paraId="509AA492">
            <w:pPr>
              <w:widowControl/>
              <w:adjustRightInd w:val="0"/>
              <w:snapToGrid w:val="0"/>
              <w:jc w:val="center"/>
              <w:rPr>
                <w:rFonts w:eastAsia="方正书宋_GBK" w:cs="Times New Roman"/>
                <w:kern w:val="0"/>
                <w:sz w:val="21"/>
              </w:rPr>
            </w:pPr>
            <w:r>
              <w:rPr>
                <w:rFonts w:eastAsia="方正书宋_GBK" w:cs="Times New Roman"/>
                <w:kern w:val="0"/>
                <w:sz w:val="21"/>
              </w:rPr>
              <w:t>7</w:t>
            </w:r>
          </w:p>
        </w:tc>
        <w:tc>
          <w:tcPr>
            <w:tcW w:w="639" w:type="dxa"/>
            <w:vMerge w:val="continue"/>
            <w:vAlign w:val="center"/>
          </w:tcPr>
          <w:p w14:paraId="32DADFA7">
            <w:pPr>
              <w:widowControl/>
              <w:adjustRightInd w:val="0"/>
              <w:snapToGrid w:val="0"/>
              <w:jc w:val="center"/>
              <w:rPr>
                <w:rFonts w:eastAsia="方正书宋_GBK" w:cs="Times New Roman"/>
                <w:kern w:val="0"/>
                <w:sz w:val="21"/>
              </w:rPr>
            </w:pPr>
          </w:p>
        </w:tc>
        <w:tc>
          <w:tcPr>
            <w:tcW w:w="1785" w:type="dxa"/>
            <w:vAlign w:val="center"/>
          </w:tcPr>
          <w:p w14:paraId="573845C5">
            <w:pPr>
              <w:widowControl/>
              <w:adjustRightInd w:val="0"/>
              <w:snapToGrid w:val="0"/>
              <w:jc w:val="left"/>
              <w:rPr>
                <w:rFonts w:eastAsia="方正书宋_GBK" w:cs="Times New Roman"/>
                <w:kern w:val="0"/>
                <w:sz w:val="21"/>
              </w:rPr>
            </w:pPr>
            <w:r>
              <w:rPr>
                <w:rFonts w:eastAsia="方正书宋_GBK" w:cs="Times New Roman"/>
                <w:kern w:val="0"/>
                <w:sz w:val="21"/>
              </w:rPr>
              <w:t>地表水市考及以上断面达标率</w:t>
            </w:r>
          </w:p>
        </w:tc>
        <w:tc>
          <w:tcPr>
            <w:tcW w:w="884" w:type="dxa"/>
            <w:vAlign w:val="center"/>
          </w:tcPr>
          <w:p w14:paraId="52865D6F">
            <w:pPr>
              <w:widowControl/>
              <w:adjustRightInd w:val="0"/>
              <w:snapToGrid w:val="0"/>
              <w:jc w:val="center"/>
              <w:rPr>
                <w:rFonts w:eastAsia="方正书宋_GBK" w:cs="Times New Roman"/>
                <w:kern w:val="0"/>
                <w:sz w:val="21"/>
              </w:rPr>
            </w:pPr>
            <w:r>
              <w:rPr>
                <w:rFonts w:eastAsia="方正书宋_GBK" w:cs="Times New Roman"/>
                <w:kern w:val="0"/>
                <w:sz w:val="21"/>
              </w:rPr>
              <w:t>约束性</w:t>
            </w:r>
          </w:p>
        </w:tc>
        <w:tc>
          <w:tcPr>
            <w:tcW w:w="1335" w:type="dxa"/>
            <w:vAlign w:val="center"/>
          </w:tcPr>
          <w:p w14:paraId="563AE3B3">
            <w:pPr>
              <w:widowControl/>
              <w:adjustRightInd w:val="0"/>
              <w:snapToGrid w:val="0"/>
              <w:jc w:val="center"/>
              <w:rPr>
                <w:rFonts w:eastAsia="方正书宋_GBK" w:cs="Times New Roman"/>
                <w:kern w:val="0"/>
                <w:sz w:val="21"/>
              </w:rPr>
            </w:pPr>
            <w:r>
              <w:rPr>
                <w:rFonts w:eastAsia="方正书宋_GBK" w:cs="Times New Roman"/>
                <w:kern w:val="0"/>
                <w:sz w:val="21"/>
              </w:rPr>
              <w:t>—</w:t>
            </w:r>
          </w:p>
        </w:tc>
        <w:tc>
          <w:tcPr>
            <w:tcW w:w="2021" w:type="dxa"/>
            <w:vAlign w:val="center"/>
          </w:tcPr>
          <w:p w14:paraId="30380AF7">
            <w:pPr>
              <w:widowControl/>
              <w:adjustRightInd w:val="0"/>
              <w:snapToGrid w:val="0"/>
              <w:jc w:val="center"/>
              <w:rPr>
                <w:rFonts w:eastAsia="方正书宋_GBK" w:cs="Times New Roman"/>
                <w:kern w:val="0"/>
                <w:sz w:val="21"/>
              </w:rPr>
            </w:pPr>
            <w:r>
              <w:rPr>
                <w:rFonts w:eastAsia="方正书宋_GBK" w:cs="Times New Roman"/>
                <w:kern w:val="0"/>
                <w:sz w:val="21"/>
              </w:rPr>
              <w:t>95.2%（国省考）</w:t>
            </w:r>
          </w:p>
        </w:tc>
        <w:tc>
          <w:tcPr>
            <w:tcW w:w="2196" w:type="dxa"/>
            <w:vAlign w:val="center"/>
          </w:tcPr>
          <w:p w14:paraId="16AADF4C">
            <w:pPr>
              <w:widowControl/>
              <w:adjustRightInd w:val="0"/>
              <w:snapToGrid w:val="0"/>
              <w:jc w:val="center"/>
              <w:rPr>
                <w:rFonts w:eastAsia="方正书宋_GBK" w:cs="Times New Roman"/>
                <w:kern w:val="0"/>
                <w:sz w:val="21"/>
              </w:rPr>
            </w:pPr>
            <w:r>
              <w:rPr>
                <w:rFonts w:eastAsia="方正书宋_GBK" w:cs="Times New Roman"/>
                <w:kern w:val="0"/>
                <w:sz w:val="21"/>
              </w:rPr>
              <w:t>完成市定目标</w:t>
            </w:r>
          </w:p>
        </w:tc>
      </w:tr>
      <w:tr w14:paraId="5D0D4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36" w:type="dxa"/>
            <w:vAlign w:val="center"/>
          </w:tcPr>
          <w:p w14:paraId="0C3E94F4">
            <w:pPr>
              <w:widowControl/>
              <w:adjustRightInd w:val="0"/>
              <w:snapToGrid w:val="0"/>
              <w:jc w:val="center"/>
              <w:rPr>
                <w:rFonts w:eastAsia="方正书宋_GBK" w:cs="Times New Roman"/>
                <w:kern w:val="0"/>
                <w:sz w:val="21"/>
              </w:rPr>
            </w:pPr>
            <w:r>
              <w:rPr>
                <w:rFonts w:eastAsia="方正书宋_GBK" w:cs="Times New Roman"/>
                <w:kern w:val="0"/>
                <w:sz w:val="21"/>
              </w:rPr>
              <w:t>8</w:t>
            </w:r>
          </w:p>
        </w:tc>
        <w:tc>
          <w:tcPr>
            <w:tcW w:w="639" w:type="dxa"/>
            <w:vMerge w:val="continue"/>
            <w:vAlign w:val="center"/>
          </w:tcPr>
          <w:p w14:paraId="3771EAC2">
            <w:pPr>
              <w:widowControl/>
              <w:adjustRightInd w:val="0"/>
              <w:snapToGrid w:val="0"/>
              <w:jc w:val="center"/>
              <w:rPr>
                <w:rFonts w:eastAsia="方正书宋_GBK" w:cs="Times New Roman"/>
                <w:kern w:val="0"/>
                <w:sz w:val="21"/>
              </w:rPr>
            </w:pPr>
          </w:p>
        </w:tc>
        <w:tc>
          <w:tcPr>
            <w:tcW w:w="1785" w:type="dxa"/>
            <w:vAlign w:val="center"/>
          </w:tcPr>
          <w:p w14:paraId="749A0A41">
            <w:pPr>
              <w:widowControl/>
              <w:adjustRightInd w:val="0"/>
              <w:snapToGrid w:val="0"/>
              <w:jc w:val="left"/>
              <w:rPr>
                <w:rFonts w:eastAsia="方正书宋_GBK" w:cs="Times New Roman"/>
                <w:kern w:val="0"/>
                <w:sz w:val="21"/>
              </w:rPr>
            </w:pPr>
            <w:r>
              <w:rPr>
                <w:rFonts w:eastAsia="方正书宋_GBK" w:cs="Times New Roman"/>
                <w:kern w:val="0"/>
                <w:sz w:val="21"/>
              </w:rPr>
              <w:t>城镇污水处理厂尾水再生利用率</w:t>
            </w:r>
          </w:p>
        </w:tc>
        <w:tc>
          <w:tcPr>
            <w:tcW w:w="884" w:type="dxa"/>
            <w:vAlign w:val="center"/>
          </w:tcPr>
          <w:p w14:paraId="5DF41CD2">
            <w:pPr>
              <w:widowControl/>
              <w:adjustRightInd w:val="0"/>
              <w:snapToGrid w:val="0"/>
              <w:jc w:val="center"/>
              <w:rPr>
                <w:rFonts w:eastAsia="方正书宋_GBK" w:cs="Times New Roman"/>
                <w:kern w:val="0"/>
                <w:sz w:val="21"/>
              </w:rPr>
            </w:pPr>
            <w:r>
              <w:rPr>
                <w:rFonts w:eastAsia="方正书宋_GBK" w:cs="Times New Roman"/>
                <w:kern w:val="0"/>
                <w:sz w:val="21"/>
              </w:rPr>
              <w:t>约束性</w:t>
            </w:r>
          </w:p>
        </w:tc>
        <w:tc>
          <w:tcPr>
            <w:tcW w:w="1335" w:type="dxa"/>
            <w:vAlign w:val="center"/>
          </w:tcPr>
          <w:p w14:paraId="7DBF1195">
            <w:pPr>
              <w:widowControl/>
              <w:adjustRightInd w:val="0"/>
              <w:snapToGrid w:val="0"/>
              <w:jc w:val="center"/>
              <w:rPr>
                <w:rFonts w:eastAsia="方正书宋_GBK" w:cs="Times New Roman"/>
                <w:kern w:val="0"/>
                <w:sz w:val="21"/>
              </w:rPr>
            </w:pPr>
            <w:r>
              <w:rPr>
                <w:rFonts w:eastAsia="方正书宋_GBK" w:cs="Times New Roman"/>
                <w:kern w:val="0"/>
                <w:sz w:val="21"/>
              </w:rPr>
              <w:t>19.94%</w:t>
            </w:r>
          </w:p>
        </w:tc>
        <w:tc>
          <w:tcPr>
            <w:tcW w:w="2021" w:type="dxa"/>
            <w:vAlign w:val="center"/>
          </w:tcPr>
          <w:p w14:paraId="7AAC4A57">
            <w:pPr>
              <w:widowControl/>
              <w:adjustRightInd w:val="0"/>
              <w:snapToGrid w:val="0"/>
              <w:jc w:val="center"/>
              <w:rPr>
                <w:rFonts w:eastAsia="方正书宋_GBK" w:cs="Times New Roman"/>
                <w:kern w:val="0"/>
                <w:sz w:val="21"/>
              </w:rPr>
            </w:pPr>
            <w:r>
              <w:rPr>
                <w:rFonts w:eastAsia="方正书宋_GBK" w:cs="Times New Roman"/>
                <w:kern w:val="0"/>
                <w:sz w:val="21"/>
              </w:rPr>
              <w:t>25%</w:t>
            </w:r>
          </w:p>
        </w:tc>
        <w:tc>
          <w:tcPr>
            <w:tcW w:w="2196" w:type="dxa"/>
            <w:vAlign w:val="center"/>
          </w:tcPr>
          <w:p w14:paraId="5963E0E7">
            <w:pPr>
              <w:widowControl/>
              <w:adjustRightInd w:val="0"/>
              <w:snapToGrid w:val="0"/>
              <w:jc w:val="center"/>
              <w:rPr>
                <w:rFonts w:eastAsia="方正书宋_GBK" w:cs="Times New Roman"/>
                <w:kern w:val="0"/>
                <w:sz w:val="21"/>
              </w:rPr>
            </w:pPr>
            <w:r>
              <w:rPr>
                <w:rFonts w:eastAsia="方正书宋_GBK" w:cs="Times New Roman"/>
                <w:kern w:val="0"/>
                <w:sz w:val="21"/>
              </w:rPr>
              <w:t>25%</w:t>
            </w:r>
          </w:p>
        </w:tc>
      </w:tr>
      <w:tr w14:paraId="4786D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436" w:type="dxa"/>
            <w:vAlign w:val="center"/>
          </w:tcPr>
          <w:p w14:paraId="57AE9CDD">
            <w:pPr>
              <w:widowControl/>
              <w:adjustRightInd w:val="0"/>
              <w:snapToGrid w:val="0"/>
              <w:jc w:val="center"/>
              <w:rPr>
                <w:rFonts w:eastAsia="方正书宋_GBK" w:cs="Times New Roman"/>
                <w:kern w:val="0"/>
                <w:sz w:val="21"/>
              </w:rPr>
            </w:pPr>
            <w:r>
              <w:rPr>
                <w:rFonts w:eastAsia="方正书宋_GBK" w:cs="Times New Roman"/>
                <w:kern w:val="0"/>
                <w:sz w:val="21"/>
              </w:rPr>
              <w:t>9</w:t>
            </w:r>
          </w:p>
        </w:tc>
        <w:tc>
          <w:tcPr>
            <w:tcW w:w="639" w:type="dxa"/>
            <w:vMerge w:val="continue"/>
            <w:vAlign w:val="center"/>
          </w:tcPr>
          <w:p w14:paraId="658192F4">
            <w:pPr>
              <w:widowControl/>
              <w:adjustRightInd w:val="0"/>
              <w:snapToGrid w:val="0"/>
              <w:jc w:val="center"/>
              <w:rPr>
                <w:rFonts w:eastAsia="方正书宋_GBK" w:cs="Times New Roman"/>
                <w:kern w:val="0"/>
                <w:sz w:val="21"/>
              </w:rPr>
            </w:pPr>
          </w:p>
        </w:tc>
        <w:tc>
          <w:tcPr>
            <w:tcW w:w="1785" w:type="dxa"/>
            <w:vAlign w:val="center"/>
          </w:tcPr>
          <w:p w14:paraId="2E03A4BB">
            <w:pPr>
              <w:widowControl/>
              <w:adjustRightInd w:val="0"/>
              <w:snapToGrid w:val="0"/>
              <w:jc w:val="left"/>
              <w:rPr>
                <w:rFonts w:eastAsia="方正书宋_GBK" w:cs="Times New Roman"/>
                <w:kern w:val="0"/>
                <w:sz w:val="21"/>
              </w:rPr>
            </w:pPr>
            <w:r>
              <w:rPr>
                <w:rFonts w:eastAsia="方正书宋_GBK" w:cs="Times New Roman"/>
                <w:kern w:val="0"/>
                <w:sz w:val="21"/>
              </w:rPr>
              <w:t>提质增效达标区创建率</w:t>
            </w:r>
          </w:p>
        </w:tc>
        <w:tc>
          <w:tcPr>
            <w:tcW w:w="884" w:type="dxa"/>
            <w:vAlign w:val="center"/>
          </w:tcPr>
          <w:p w14:paraId="160EFA9F">
            <w:pPr>
              <w:widowControl/>
              <w:adjustRightInd w:val="0"/>
              <w:snapToGrid w:val="0"/>
              <w:jc w:val="center"/>
              <w:rPr>
                <w:rFonts w:eastAsia="方正书宋_GBK" w:cs="Times New Roman"/>
                <w:kern w:val="0"/>
                <w:sz w:val="21"/>
              </w:rPr>
            </w:pPr>
            <w:r>
              <w:rPr>
                <w:rFonts w:eastAsia="方正书宋_GBK" w:cs="Times New Roman"/>
                <w:kern w:val="0"/>
                <w:sz w:val="21"/>
              </w:rPr>
              <w:t>预期性</w:t>
            </w:r>
          </w:p>
        </w:tc>
        <w:tc>
          <w:tcPr>
            <w:tcW w:w="1335" w:type="dxa"/>
            <w:vAlign w:val="center"/>
          </w:tcPr>
          <w:p w14:paraId="7CA0BCCC">
            <w:pPr>
              <w:widowControl/>
              <w:adjustRightInd w:val="0"/>
              <w:snapToGrid w:val="0"/>
              <w:jc w:val="center"/>
              <w:rPr>
                <w:rFonts w:eastAsia="方正书宋_GBK" w:cs="Times New Roman"/>
                <w:kern w:val="0"/>
                <w:sz w:val="21"/>
              </w:rPr>
            </w:pPr>
            <w:r>
              <w:rPr>
                <w:rFonts w:eastAsia="方正书宋_GBK" w:cs="Times New Roman"/>
                <w:kern w:val="0"/>
                <w:sz w:val="21"/>
              </w:rPr>
              <w:t>—</w:t>
            </w:r>
          </w:p>
        </w:tc>
        <w:tc>
          <w:tcPr>
            <w:tcW w:w="2021" w:type="dxa"/>
            <w:vAlign w:val="center"/>
          </w:tcPr>
          <w:p w14:paraId="3941FDC4">
            <w:pPr>
              <w:widowControl/>
              <w:adjustRightInd w:val="0"/>
              <w:snapToGrid w:val="0"/>
              <w:jc w:val="center"/>
              <w:rPr>
                <w:rFonts w:eastAsia="方正书宋_GBK" w:cs="Times New Roman"/>
                <w:kern w:val="0"/>
                <w:sz w:val="21"/>
              </w:rPr>
            </w:pPr>
            <w:r>
              <w:rPr>
                <w:rFonts w:eastAsia="方正书宋_GBK" w:cs="Times New Roman"/>
                <w:kern w:val="0"/>
                <w:sz w:val="21"/>
              </w:rPr>
              <w:t>—</w:t>
            </w:r>
          </w:p>
        </w:tc>
        <w:tc>
          <w:tcPr>
            <w:tcW w:w="2196" w:type="dxa"/>
            <w:vAlign w:val="center"/>
          </w:tcPr>
          <w:p w14:paraId="4A26FA08">
            <w:pPr>
              <w:widowControl/>
              <w:adjustRightInd w:val="0"/>
              <w:snapToGrid w:val="0"/>
              <w:jc w:val="center"/>
              <w:rPr>
                <w:rFonts w:eastAsia="方正书宋_GBK" w:cs="Times New Roman"/>
                <w:kern w:val="0"/>
                <w:sz w:val="21"/>
              </w:rPr>
            </w:pPr>
            <w:r>
              <w:rPr>
                <w:rFonts w:eastAsia="方正书宋_GBK" w:cs="Times New Roman"/>
                <w:kern w:val="0"/>
                <w:sz w:val="21"/>
              </w:rPr>
              <w:t>≥80%</w:t>
            </w:r>
          </w:p>
        </w:tc>
      </w:tr>
      <w:tr w14:paraId="5920B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436" w:type="dxa"/>
            <w:vAlign w:val="center"/>
          </w:tcPr>
          <w:p w14:paraId="264BB233">
            <w:pPr>
              <w:widowControl/>
              <w:adjustRightInd w:val="0"/>
              <w:snapToGrid w:val="0"/>
              <w:jc w:val="center"/>
              <w:rPr>
                <w:rFonts w:eastAsia="方正书宋_GBK" w:cs="Times New Roman"/>
                <w:kern w:val="0"/>
                <w:sz w:val="21"/>
              </w:rPr>
            </w:pPr>
            <w:r>
              <w:rPr>
                <w:rFonts w:eastAsia="方正书宋_GBK" w:cs="Times New Roman"/>
                <w:kern w:val="0"/>
                <w:sz w:val="21"/>
              </w:rPr>
              <w:t>10</w:t>
            </w:r>
          </w:p>
        </w:tc>
        <w:tc>
          <w:tcPr>
            <w:tcW w:w="639" w:type="dxa"/>
            <w:vMerge w:val="restart"/>
            <w:vAlign w:val="center"/>
          </w:tcPr>
          <w:p w14:paraId="0EA1B7C5">
            <w:pPr>
              <w:widowControl/>
              <w:adjustRightInd w:val="0"/>
              <w:snapToGrid w:val="0"/>
              <w:jc w:val="center"/>
              <w:rPr>
                <w:rFonts w:eastAsia="方正书宋_GBK" w:cs="Times New Roman"/>
                <w:kern w:val="0"/>
                <w:sz w:val="21"/>
              </w:rPr>
            </w:pPr>
            <w:r>
              <w:rPr>
                <w:rFonts w:eastAsia="方正书宋_GBK" w:cs="Times New Roman"/>
                <w:kern w:val="0"/>
                <w:sz w:val="21"/>
              </w:rPr>
              <w:t>水生态</w:t>
            </w:r>
          </w:p>
        </w:tc>
        <w:tc>
          <w:tcPr>
            <w:tcW w:w="1785" w:type="dxa"/>
            <w:vAlign w:val="center"/>
          </w:tcPr>
          <w:p w14:paraId="32C9673C">
            <w:pPr>
              <w:widowControl/>
              <w:adjustRightInd w:val="0"/>
              <w:snapToGrid w:val="0"/>
              <w:jc w:val="left"/>
              <w:rPr>
                <w:rFonts w:eastAsia="方正书宋_GBK" w:cs="Times New Roman"/>
                <w:kern w:val="0"/>
                <w:sz w:val="21"/>
              </w:rPr>
            </w:pPr>
            <w:r>
              <w:rPr>
                <w:rFonts w:eastAsia="方正书宋_GBK" w:cs="Times New Roman"/>
                <w:kern w:val="0"/>
                <w:sz w:val="21"/>
              </w:rPr>
              <w:t>河湖水域面积率</w:t>
            </w:r>
          </w:p>
        </w:tc>
        <w:tc>
          <w:tcPr>
            <w:tcW w:w="884" w:type="dxa"/>
            <w:vAlign w:val="center"/>
          </w:tcPr>
          <w:p w14:paraId="0882825D">
            <w:pPr>
              <w:widowControl/>
              <w:adjustRightInd w:val="0"/>
              <w:snapToGrid w:val="0"/>
              <w:jc w:val="center"/>
              <w:rPr>
                <w:rFonts w:eastAsia="方正书宋_GBK" w:cs="Times New Roman"/>
                <w:kern w:val="0"/>
                <w:sz w:val="21"/>
              </w:rPr>
            </w:pPr>
            <w:r>
              <w:rPr>
                <w:rFonts w:eastAsia="方正书宋_GBK" w:cs="Times New Roman"/>
                <w:kern w:val="0"/>
                <w:sz w:val="21"/>
              </w:rPr>
              <w:t>约束性</w:t>
            </w:r>
          </w:p>
        </w:tc>
        <w:tc>
          <w:tcPr>
            <w:tcW w:w="1335" w:type="dxa"/>
            <w:vAlign w:val="center"/>
          </w:tcPr>
          <w:p w14:paraId="302F7690">
            <w:pPr>
              <w:widowControl/>
              <w:adjustRightInd w:val="0"/>
              <w:snapToGrid w:val="0"/>
              <w:jc w:val="center"/>
              <w:rPr>
                <w:rFonts w:eastAsia="方正书宋_GBK" w:cs="Times New Roman"/>
                <w:kern w:val="0"/>
                <w:sz w:val="21"/>
              </w:rPr>
            </w:pPr>
            <w:r>
              <w:rPr>
                <w:rFonts w:eastAsia="方正书宋_GBK" w:cs="Times New Roman"/>
                <w:kern w:val="0"/>
                <w:sz w:val="21"/>
              </w:rPr>
              <w:t>6.8%</w:t>
            </w:r>
          </w:p>
        </w:tc>
        <w:tc>
          <w:tcPr>
            <w:tcW w:w="2021" w:type="dxa"/>
            <w:vAlign w:val="center"/>
          </w:tcPr>
          <w:p w14:paraId="53FDF8AC">
            <w:pPr>
              <w:widowControl/>
              <w:adjustRightInd w:val="0"/>
              <w:snapToGrid w:val="0"/>
              <w:jc w:val="center"/>
              <w:rPr>
                <w:rFonts w:eastAsia="方正书宋_GBK" w:cs="Times New Roman"/>
                <w:kern w:val="0"/>
                <w:sz w:val="21"/>
              </w:rPr>
            </w:pPr>
            <w:r>
              <w:rPr>
                <w:rFonts w:hint="eastAsia" w:eastAsia="方正书宋_GBK" w:cs="Times New Roman"/>
                <w:kern w:val="0"/>
                <w:sz w:val="21"/>
              </w:rPr>
              <w:t>不降低</w:t>
            </w:r>
          </w:p>
        </w:tc>
        <w:tc>
          <w:tcPr>
            <w:tcW w:w="2196" w:type="dxa"/>
            <w:vAlign w:val="center"/>
          </w:tcPr>
          <w:p w14:paraId="7769BE0C">
            <w:pPr>
              <w:widowControl/>
              <w:adjustRightInd w:val="0"/>
              <w:snapToGrid w:val="0"/>
              <w:jc w:val="center"/>
              <w:rPr>
                <w:rFonts w:eastAsia="方正书宋_GBK" w:cs="Times New Roman"/>
                <w:kern w:val="0"/>
                <w:sz w:val="21"/>
              </w:rPr>
            </w:pPr>
            <w:r>
              <w:rPr>
                <w:rFonts w:hint="eastAsia" w:eastAsia="方正书宋_GBK" w:cs="Times New Roman"/>
                <w:kern w:val="0"/>
                <w:sz w:val="21"/>
              </w:rPr>
              <w:t>不降低</w:t>
            </w:r>
          </w:p>
        </w:tc>
      </w:tr>
      <w:tr w14:paraId="2E4D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436" w:type="dxa"/>
            <w:vAlign w:val="center"/>
          </w:tcPr>
          <w:p w14:paraId="7C785BD6">
            <w:pPr>
              <w:widowControl/>
              <w:adjustRightInd w:val="0"/>
              <w:snapToGrid w:val="0"/>
              <w:jc w:val="center"/>
              <w:rPr>
                <w:rFonts w:eastAsia="方正书宋_GBK" w:cs="Times New Roman"/>
                <w:kern w:val="0"/>
                <w:sz w:val="21"/>
              </w:rPr>
            </w:pPr>
            <w:r>
              <w:rPr>
                <w:rFonts w:eastAsia="方正书宋_GBK" w:cs="Times New Roman"/>
                <w:kern w:val="0"/>
                <w:sz w:val="21"/>
              </w:rPr>
              <w:t>11</w:t>
            </w:r>
          </w:p>
        </w:tc>
        <w:tc>
          <w:tcPr>
            <w:tcW w:w="639" w:type="dxa"/>
            <w:vMerge w:val="continue"/>
            <w:vAlign w:val="center"/>
          </w:tcPr>
          <w:p w14:paraId="587E03E0">
            <w:pPr>
              <w:widowControl/>
              <w:adjustRightInd w:val="0"/>
              <w:snapToGrid w:val="0"/>
              <w:jc w:val="center"/>
              <w:rPr>
                <w:rFonts w:eastAsia="方正书宋_GBK" w:cs="Times New Roman"/>
                <w:kern w:val="0"/>
                <w:sz w:val="21"/>
              </w:rPr>
            </w:pPr>
          </w:p>
        </w:tc>
        <w:tc>
          <w:tcPr>
            <w:tcW w:w="1785" w:type="dxa"/>
            <w:vAlign w:val="center"/>
          </w:tcPr>
          <w:p w14:paraId="4422278C">
            <w:pPr>
              <w:widowControl/>
              <w:adjustRightInd w:val="0"/>
              <w:snapToGrid w:val="0"/>
              <w:jc w:val="left"/>
              <w:rPr>
                <w:rFonts w:eastAsia="方正书宋_GBK" w:cs="Times New Roman"/>
                <w:kern w:val="0"/>
                <w:sz w:val="21"/>
              </w:rPr>
            </w:pPr>
            <w:r>
              <w:rPr>
                <w:rFonts w:eastAsia="方正书宋_GBK" w:cs="Times New Roman"/>
                <w:kern w:val="0"/>
                <w:sz w:val="21"/>
              </w:rPr>
              <w:t>生态岸线比例</w:t>
            </w:r>
          </w:p>
        </w:tc>
        <w:tc>
          <w:tcPr>
            <w:tcW w:w="884" w:type="dxa"/>
            <w:vAlign w:val="center"/>
          </w:tcPr>
          <w:p w14:paraId="09642730">
            <w:pPr>
              <w:widowControl/>
              <w:adjustRightInd w:val="0"/>
              <w:snapToGrid w:val="0"/>
              <w:jc w:val="center"/>
              <w:rPr>
                <w:rFonts w:eastAsia="方正书宋_GBK" w:cs="Times New Roman"/>
                <w:kern w:val="0"/>
                <w:sz w:val="21"/>
              </w:rPr>
            </w:pPr>
            <w:r>
              <w:rPr>
                <w:rFonts w:eastAsia="方正书宋_GBK" w:cs="Times New Roman"/>
                <w:kern w:val="0"/>
                <w:sz w:val="21"/>
              </w:rPr>
              <w:t>约束性</w:t>
            </w:r>
          </w:p>
        </w:tc>
        <w:tc>
          <w:tcPr>
            <w:tcW w:w="1335" w:type="dxa"/>
            <w:vAlign w:val="center"/>
          </w:tcPr>
          <w:p w14:paraId="6A5496A2">
            <w:pPr>
              <w:widowControl/>
              <w:adjustRightInd w:val="0"/>
              <w:snapToGrid w:val="0"/>
              <w:jc w:val="center"/>
              <w:rPr>
                <w:rFonts w:eastAsia="方正书宋_GBK" w:cs="Times New Roman"/>
                <w:kern w:val="0"/>
                <w:sz w:val="21"/>
              </w:rPr>
            </w:pPr>
            <w:r>
              <w:rPr>
                <w:rFonts w:eastAsia="方正书宋_GBK" w:cs="Times New Roman"/>
                <w:kern w:val="0"/>
                <w:sz w:val="21"/>
              </w:rPr>
              <w:t>37%</w:t>
            </w:r>
          </w:p>
        </w:tc>
        <w:tc>
          <w:tcPr>
            <w:tcW w:w="2021" w:type="dxa"/>
            <w:vAlign w:val="center"/>
          </w:tcPr>
          <w:p w14:paraId="0E165130">
            <w:pPr>
              <w:widowControl/>
              <w:adjustRightInd w:val="0"/>
              <w:snapToGrid w:val="0"/>
              <w:jc w:val="center"/>
              <w:rPr>
                <w:rFonts w:eastAsia="方正书宋_GBK" w:cs="Times New Roman"/>
                <w:kern w:val="0"/>
                <w:sz w:val="21"/>
              </w:rPr>
            </w:pPr>
            <w:r>
              <w:rPr>
                <w:rFonts w:eastAsia="方正书宋_GBK" w:cs="Times New Roman"/>
                <w:kern w:val="0"/>
                <w:sz w:val="21"/>
              </w:rPr>
              <w:t>—</w:t>
            </w:r>
          </w:p>
        </w:tc>
        <w:tc>
          <w:tcPr>
            <w:tcW w:w="2196" w:type="dxa"/>
            <w:vAlign w:val="center"/>
          </w:tcPr>
          <w:p w14:paraId="2355B695">
            <w:pPr>
              <w:widowControl/>
              <w:adjustRightInd w:val="0"/>
              <w:snapToGrid w:val="0"/>
              <w:jc w:val="center"/>
              <w:rPr>
                <w:rFonts w:eastAsia="方正书宋_GBK" w:cs="Times New Roman"/>
                <w:kern w:val="0"/>
                <w:sz w:val="21"/>
              </w:rPr>
            </w:pPr>
            <w:r>
              <w:rPr>
                <w:rFonts w:eastAsia="方正书宋_GBK" w:cs="Times New Roman"/>
                <w:kern w:val="0"/>
                <w:sz w:val="21"/>
              </w:rPr>
              <w:t>新建区域不低于80%</w:t>
            </w:r>
          </w:p>
        </w:tc>
      </w:tr>
      <w:tr w14:paraId="1533E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 w:hRule="atLeast"/>
          <w:jc w:val="center"/>
        </w:trPr>
        <w:tc>
          <w:tcPr>
            <w:tcW w:w="436" w:type="dxa"/>
            <w:vAlign w:val="center"/>
          </w:tcPr>
          <w:p w14:paraId="346AC203">
            <w:pPr>
              <w:widowControl/>
              <w:adjustRightInd w:val="0"/>
              <w:snapToGrid w:val="0"/>
              <w:jc w:val="center"/>
              <w:rPr>
                <w:rFonts w:eastAsia="方正书宋_GBK" w:cs="Times New Roman"/>
                <w:kern w:val="0"/>
                <w:sz w:val="21"/>
              </w:rPr>
            </w:pPr>
            <w:r>
              <w:rPr>
                <w:rFonts w:eastAsia="方正书宋_GBK" w:cs="Times New Roman"/>
                <w:kern w:val="0"/>
                <w:sz w:val="21"/>
              </w:rPr>
              <w:t>12</w:t>
            </w:r>
          </w:p>
        </w:tc>
        <w:tc>
          <w:tcPr>
            <w:tcW w:w="639" w:type="dxa"/>
            <w:vMerge w:val="continue"/>
            <w:vAlign w:val="center"/>
          </w:tcPr>
          <w:p w14:paraId="2F5B6EF6">
            <w:pPr>
              <w:widowControl/>
              <w:adjustRightInd w:val="0"/>
              <w:snapToGrid w:val="0"/>
              <w:jc w:val="center"/>
              <w:rPr>
                <w:rFonts w:eastAsia="方正书宋_GBK" w:cs="Times New Roman"/>
                <w:kern w:val="0"/>
                <w:sz w:val="21"/>
              </w:rPr>
            </w:pPr>
          </w:p>
        </w:tc>
        <w:tc>
          <w:tcPr>
            <w:tcW w:w="1785" w:type="dxa"/>
            <w:vAlign w:val="center"/>
          </w:tcPr>
          <w:p w14:paraId="23E163F3">
            <w:pPr>
              <w:widowControl/>
              <w:adjustRightInd w:val="0"/>
              <w:snapToGrid w:val="0"/>
              <w:jc w:val="left"/>
              <w:rPr>
                <w:rFonts w:eastAsia="方正书宋_GBK" w:cs="Times New Roman"/>
                <w:kern w:val="0"/>
                <w:sz w:val="21"/>
              </w:rPr>
            </w:pPr>
            <w:r>
              <w:rPr>
                <w:rFonts w:eastAsia="方正书宋_GBK" w:cs="Times New Roman"/>
                <w:kern w:val="0"/>
                <w:sz w:val="21"/>
              </w:rPr>
              <w:t>建成区海绵城市比率</w:t>
            </w:r>
          </w:p>
        </w:tc>
        <w:tc>
          <w:tcPr>
            <w:tcW w:w="884" w:type="dxa"/>
            <w:vAlign w:val="center"/>
          </w:tcPr>
          <w:p w14:paraId="2A0B7CDD">
            <w:pPr>
              <w:widowControl/>
              <w:adjustRightInd w:val="0"/>
              <w:snapToGrid w:val="0"/>
              <w:jc w:val="center"/>
              <w:rPr>
                <w:rFonts w:eastAsia="方正书宋_GBK" w:cs="Times New Roman"/>
                <w:kern w:val="0"/>
                <w:sz w:val="21"/>
              </w:rPr>
            </w:pPr>
            <w:r>
              <w:rPr>
                <w:rFonts w:eastAsia="方正书宋_GBK" w:cs="Times New Roman"/>
                <w:kern w:val="0"/>
                <w:sz w:val="21"/>
              </w:rPr>
              <w:t>预期性</w:t>
            </w:r>
          </w:p>
        </w:tc>
        <w:tc>
          <w:tcPr>
            <w:tcW w:w="1335" w:type="dxa"/>
            <w:vAlign w:val="center"/>
          </w:tcPr>
          <w:p w14:paraId="394C16BD">
            <w:pPr>
              <w:widowControl/>
              <w:adjustRightInd w:val="0"/>
              <w:snapToGrid w:val="0"/>
              <w:jc w:val="center"/>
              <w:rPr>
                <w:rFonts w:eastAsia="方正书宋_GBK" w:cs="Times New Roman"/>
                <w:kern w:val="0"/>
                <w:sz w:val="21"/>
              </w:rPr>
            </w:pPr>
            <w:r>
              <w:rPr>
                <w:rFonts w:eastAsia="方正书宋_GBK" w:cs="Times New Roman"/>
                <w:kern w:val="0"/>
                <w:sz w:val="21"/>
              </w:rPr>
              <w:t>—</w:t>
            </w:r>
          </w:p>
        </w:tc>
        <w:tc>
          <w:tcPr>
            <w:tcW w:w="2021" w:type="dxa"/>
            <w:vAlign w:val="center"/>
          </w:tcPr>
          <w:p w14:paraId="628805F0">
            <w:pPr>
              <w:widowControl/>
              <w:adjustRightInd w:val="0"/>
              <w:snapToGrid w:val="0"/>
              <w:jc w:val="center"/>
              <w:rPr>
                <w:rFonts w:eastAsia="方正书宋_GBK" w:cs="Times New Roman"/>
                <w:kern w:val="0"/>
                <w:sz w:val="21"/>
              </w:rPr>
            </w:pPr>
            <w:r>
              <w:rPr>
                <w:rFonts w:eastAsia="方正书宋_GBK" w:cs="Times New Roman"/>
                <w:kern w:val="0"/>
                <w:sz w:val="21"/>
              </w:rPr>
              <w:t>—</w:t>
            </w:r>
          </w:p>
        </w:tc>
        <w:tc>
          <w:tcPr>
            <w:tcW w:w="2196" w:type="dxa"/>
            <w:vAlign w:val="center"/>
          </w:tcPr>
          <w:p w14:paraId="0D04DE36">
            <w:pPr>
              <w:widowControl/>
              <w:adjustRightInd w:val="0"/>
              <w:snapToGrid w:val="0"/>
              <w:jc w:val="center"/>
              <w:rPr>
                <w:rFonts w:eastAsia="方正书宋_GBK" w:cs="Times New Roman"/>
                <w:kern w:val="0"/>
                <w:sz w:val="21"/>
              </w:rPr>
            </w:pPr>
            <w:r>
              <w:rPr>
                <w:rFonts w:eastAsia="方正书宋_GBK" w:cs="Times New Roman"/>
                <w:kern w:val="0"/>
                <w:sz w:val="21"/>
              </w:rPr>
              <w:t>≥40%</w:t>
            </w:r>
          </w:p>
        </w:tc>
      </w:tr>
      <w:tr w14:paraId="3E11A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436" w:type="dxa"/>
            <w:vAlign w:val="center"/>
          </w:tcPr>
          <w:p w14:paraId="1286D638">
            <w:pPr>
              <w:widowControl/>
              <w:adjustRightInd w:val="0"/>
              <w:snapToGrid w:val="0"/>
              <w:jc w:val="center"/>
              <w:rPr>
                <w:rFonts w:eastAsia="方正书宋_GBK" w:cs="Times New Roman"/>
                <w:kern w:val="0"/>
                <w:sz w:val="21"/>
              </w:rPr>
            </w:pPr>
            <w:r>
              <w:rPr>
                <w:rFonts w:eastAsia="方正书宋_GBK" w:cs="Times New Roman"/>
                <w:kern w:val="0"/>
                <w:sz w:val="21"/>
              </w:rPr>
              <w:t>13</w:t>
            </w:r>
          </w:p>
        </w:tc>
        <w:tc>
          <w:tcPr>
            <w:tcW w:w="639" w:type="dxa"/>
            <w:vMerge w:val="continue"/>
            <w:vAlign w:val="center"/>
          </w:tcPr>
          <w:p w14:paraId="231E2FA7">
            <w:pPr>
              <w:widowControl/>
              <w:adjustRightInd w:val="0"/>
              <w:snapToGrid w:val="0"/>
              <w:jc w:val="center"/>
              <w:rPr>
                <w:rFonts w:eastAsia="方正书宋_GBK" w:cs="Times New Roman"/>
                <w:kern w:val="0"/>
                <w:sz w:val="21"/>
              </w:rPr>
            </w:pPr>
          </w:p>
        </w:tc>
        <w:tc>
          <w:tcPr>
            <w:tcW w:w="1785" w:type="dxa"/>
            <w:vAlign w:val="center"/>
          </w:tcPr>
          <w:p w14:paraId="167D6295">
            <w:pPr>
              <w:widowControl/>
              <w:adjustRightInd w:val="0"/>
              <w:snapToGrid w:val="0"/>
              <w:jc w:val="left"/>
              <w:rPr>
                <w:rFonts w:eastAsia="方正书宋_GBK" w:cs="Times New Roman"/>
                <w:kern w:val="0"/>
                <w:sz w:val="21"/>
              </w:rPr>
            </w:pPr>
            <w:r>
              <w:rPr>
                <w:rFonts w:eastAsia="方正书宋_GBK" w:cs="Times New Roman"/>
                <w:kern w:val="0"/>
                <w:sz w:val="21"/>
              </w:rPr>
              <w:t>主要河湖生态优良率</w:t>
            </w:r>
          </w:p>
        </w:tc>
        <w:tc>
          <w:tcPr>
            <w:tcW w:w="884" w:type="dxa"/>
            <w:vAlign w:val="center"/>
          </w:tcPr>
          <w:p w14:paraId="237CDAFC">
            <w:pPr>
              <w:widowControl/>
              <w:adjustRightInd w:val="0"/>
              <w:snapToGrid w:val="0"/>
              <w:jc w:val="center"/>
              <w:rPr>
                <w:rFonts w:eastAsia="方正书宋_GBK" w:cs="Times New Roman"/>
                <w:kern w:val="0"/>
                <w:sz w:val="21"/>
              </w:rPr>
            </w:pPr>
            <w:r>
              <w:rPr>
                <w:rFonts w:eastAsia="方正书宋_GBK" w:cs="Times New Roman"/>
                <w:kern w:val="0"/>
                <w:sz w:val="21"/>
              </w:rPr>
              <w:t>预期性</w:t>
            </w:r>
          </w:p>
        </w:tc>
        <w:tc>
          <w:tcPr>
            <w:tcW w:w="1335" w:type="dxa"/>
            <w:vAlign w:val="center"/>
          </w:tcPr>
          <w:p w14:paraId="2A3ADCD9">
            <w:pPr>
              <w:widowControl/>
              <w:adjustRightInd w:val="0"/>
              <w:snapToGrid w:val="0"/>
              <w:jc w:val="center"/>
              <w:rPr>
                <w:rFonts w:eastAsia="方正书宋_GBK" w:cs="Times New Roman"/>
                <w:kern w:val="0"/>
                <w:sz w:val="21"/>
              </w:rPr>
            </w:pPr>
            <w:r>
              <w:rPr>
                <w:rFonts w:eastAsia="方正书宋_GBK" w:cs="Times New Roman"/>
                <w:kern w:val="0"/>
                <w:sz w:val="21"/>
              </w:rPr>
              <w:t>—</w:t>
            </w:r>
          </w:p>
        </w:tc>
        <w:tc>
          <w:tcPr>
            <w:tcW w:w="2021" w:type="dxa"/>
            <w:vAlign w:val="center"/>
          </w:tcPr>
          <w:p w14:paraId="6E75BF4F">
            <w:pPr>
              <w:widowControl/>
              <w:adjustRightInd w:val="0"/>
              <w:snapToGrid w:val="0"/>
              <w:jc w:val="center"/>
              <w:rPr>
                <w:rFonts w:eastAsia="方正书宋_GBK" w:cs="Times New Roman"/>
                <w:kern w:val="0"/>
                <w:sz w:val="21"/>
              </w:rPr>
            </w:pPr>
            <w:r>
              <w:rPr>
                <w:rFonts w:eastAsia="方正书宋_GBK" w:cs="Times New Roman"/>
                <w:kern w:val="0"/>
                <w:sz w:val="21"/>
              </w:rPr>
              <w:t>—</w:t>
            </w:r>
          </w:p>
        </w:tc>
        <w:tc>
          <w:tcPr>
            <w:tcW w:w="2196" w:type="dxa"/>
            <w:vAlign w:val="center"/>
          </w:tcPr>
          <w:p w14:paraId="11D14039">
            <w:pPr>
              <w:widowControl/>
              <w:adjustRightInd w:val="0"/>
              <w:snapToGrid w:val="0"/>
              <w:jc w:val="center"/>
              <w:rPr>
                <w:rFonts w:eastAsia="方正书宋_GBK" w:cs="Times New Roman"/>
                <w:kern w:val="0"/>
                <w:sz w:val="21"/>
              </w:rPr>
            </w:pPr>
            <w:r>
              <w:rPr>
                <w:rFonts w:eastAsia="方正书宋_GBK" w:cs="Times New Roman"/>
                <w:kern w:val="0"/>
                <w:sz w:val="21"/>
              </w:rPr>
              <w:t>≥50%</w:t>
            </w:r>
          </w:p>
        </w:tc>
      </w:tr>
      <w:tr w14:paraId="78AF9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436" w:type="dxa"/>
            <w:vAlign w:val="center"/>
          </w:tcPr>
          <w:p w14:paraId="248407EB">
            <w:pPr>
              <w:widowControl/>
              <w:adjustRightInd w:val="0"/>
              <w:snapToGrid w:val="0"/>
              <w:jc w:val="center"/>
              <w:rPr>
                <w:rFonts w:eastAsia="方正书宋_GBK" w:cs="Times New Roman"/>
                <w:kern w:val="0"/>
                <w:sz w:val="21"/>
              </w:rPr>
            </w:pPr>
            <w:r>
              <w:rPr>
                <w:rFonts w:eastAsia="方正书宋_GBK" w:cs="Times New Roman"/>
                <w:kern w:val="0"/>
                <w:sz w:val="21"/>
              </w:rPr>
              <w:t>14</w:t>
            </w:r>
          </w:p>
        </w:tc>
        <w:tc>
          <w:tcPr>
            <w:tcW w:w="639" w:type="dxa"/>
            <w:vMerge w:val="continue"/>
            <w:vAlign w:val="center"/>
          </w:tcPr>
          <w:p w14:paraId="51A2AA91">
            <w:pPr>
              <w:widowControl/>
              <w:adjustRightInd w:val="0"/>
              <w:snapToGrid w:val="0"/>
              <w:jc w:val="center"/>
              <w:rPr>
                <w:rFonts w:eastAsia="方正书宋_GBK" w:cs="Times New Roman"/>
                <w:kern w:val="0"/>
                <w:sz w:val="21"/>
              </w:rPr>
            </w:pPr>
          </w:p>
        </w:tc>
        <w:tc>
          <w:tcPr>
            <w:tcW w:w="1785" w:type="dxa"/>
            <w:vAlign w:val="center"/>
          </w:tcPr>
          <w:p w14:paraId="0704438B">
            <w:pPr>
              <w:widowControl/>
              <w:adjustRightInd w:val="0"/>
              <w:snapToGrid w:val="0"/>
              <w:jc w:val="left"/>
              <w:rPr>
                <w:rFonts w:eastAsia="方正书宋_GBK" w:cs="Times New Roman"/>
                <w:kern w:val="0"/>
                <w:sz w:val="21"/>
              </w:rPr>
            </w:pPr>
            <w:r>
              <w:rPr>
                <w:rFonts w:eastAsia="方正书宋_GBK" w:cs="Times New Roman"/>
                <w:kern w:val="0"/>
                <w:sz w:val="21"/>
              </w:rPr>
              <w:t>重点河湖生态水位（流量）保障率</w:t>
            </w:r>
          </w:p>
        </w:tc>
        <w:tc>
          <w:tcPr>
            <w:tcW w:w="884" w:type="dxa"/>
            <w:vAlign w:val="center"/>
          </w:tcPr>
          <w:p w14:paraId="71F53612">
            <w:pPr>
              <w:widowControl/>
              <w:adjustRightInd w:val="0"/>
              <w:snapToGrid w:val="0"/>
              <w:jc w:val="center"/>
              <w:rPr>
                <w:rFonts w:eastAsia="方正书宋_GBK" w:cs="Times New Roman"/>
                <w:kern w:val="0"/>
                <w:sz w:val="21"/>
              </w:rPr>
            </w:pPr>
            <w:r>
              <w:rPr>
                <w:rFonts w:eastAsia="方正书宋_GBK" w:cs="Times New Roman"/>
                <w:kern w:val="0"/>
                <w:sz w:val="21"/>
              </w:rPr>
              <w:t>预期性</w:t>
            </w:r>
          </w:p>
        </w:tc>
        <w:tc>
          <w:tcPr>
            <w:tcW w:w="1335" w:type="dxa"/>
            <w:vAlign w:val="center"/>
          </w:tcPr>
          <w:p w14:paraId="49EBEE54">
            <w:pPr>
              <w:widowControl/>
              <w:adjustRightInd w:val="0"/>
              <w:snapToGrid w:val="0"/>
              <w:jc w:val="center"/>
              <w:rPr>
                <w:rFonts w:eastAsia="方正书宋_GBK" w:cs="Times New Roman"/>
                <w:kern w:val="0"/>
                <w:sz w:val="21"/>
              </w:rPr>
            </w:pPr>
            <w:r>
              <w:rPr>
                <w:rFonts w:eastAsia="方正书宋_GBK" w:cs="Times New Roman"/>
                <w:kern w:val="0"/>
                <w:sz w:val="21"/>
              </w:rPr>
              <w:t>—</w:t>
            </w:r>
          </w:p>
        </w:tc>
        <w:tc>
          <w:tcPr>
            <w:tcW w:w="2021" w:type="dxa"/>
            <w:vAlign w:val="center"/>
          </w:tcPr>
          <w:p w14:paraId="351CB603">
            <w:pPr>
              <w:widowControl/>
              <w:adjustRightInd w:val="0"/>
              <w:snapToGrid w:val="0"/>
              <w:jc w:val="center"/>
              <w:rPr>
                <w:rFonts w:eastAsia="方正书宋_GBK" w:cs="Times New Roman"/>
                <w:kern w:val="0"/>
                <w:sz w:val="21"/>
              </w:rPr>
            </w:pPr>
            <w:r>
              <w:rPr>
                <w:rFonts w:eastAsia="方正书宋_GBK" w:cs="Times New Roman"/>
                <w:kern w:val="0"/>
                <w:sz w:val="21"/>
              </w:rPr>
              <w:t>90%</w:t>
            </w:r>
          </w:p>
        </w:tc>
        <w:tc>
          <w:tcPr>
            <w:tcW w:w="2196" w:type="dxa"/>
            <w:vAlign w:val="center"/>
          </w:tcPr>
          <w:p w14:paraId="32A2C195">
            <w:pPr>
              <w:widowControl/>
              <w:adjustRightInd w:val="0"/>
              <w:snapToGrid w:val="0"/>
              <w:jc w:val="center"/>
              <w:rPr>
                <w:rFonts w:eastAsia="方正书宋_GBK" w:cs="Times New Roman"/>
                <w:kern w:val="0"/>
                <w:sz w:val="21"/>
              </w:rPr>
            </w:pPr>
            <w:r>
              <w:rPr>
                <w:rFonts w:hint="eastAsia" w:eastAsia="方正书宋_GBK" w:cs="Times New Roman"/>
                <w:kern w:val="0"/>
                <w:sz w:val="21"/>
              </w:rPr>
              <w:t>完成市定目标</w:t>
            </w:r>
          </w:p>
        </w:tc>
      </w:tr>
      <w:tr w14:paraId="48B93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436" w:type="dxa"/>
            <w:vAlign w:val="center"/>
          </w:tcPr>
          <w:p w14:paraId="624B6A50">
            <w:pPr>
              <w:widowControl/>
              <w:adjustRightInd w:val="0"/>
              <w:snapToGrid w:val="0"/>
              <w:jc w:val="center"/>
              <w:rPr>
                <w:rFonts w:eastAsia="方正书宋_GBK" w:cs="Times New Roman"/>
                <w:kern w:val="0"/>
                <w:sz w:val="21"/>
              </w:rPr>
            </w:pPr>
            <w:r>
              <w:rPr>
                <w:rFonts w:eastAsia="方正书宋_GBK" w:cs="Times New Roman"/>
                <w:kern w:val="0"/>
                <w:sz w:val="21"/>
              </w:rPr>
              <w:t>15</w:t>
            </w:r>
          </w:p>
        </w:tc>
        <w:tc>
          <w:tcPr>
            <w:tcW w:w="639" w:type="dxa"/>
            <w:vMerge w:val="continue"/>
            <w:vAlign w:val="center"/>
          </w:tcPr>
          <w:p w14:paraId="02BEAB19">
            <w:pPr>
              <w:widowControl/>
              <w:adjustRightInd w:val="0"/>
              <w:snapToGrid w:val="0"/>
              <w:jc w:val="center"/>
              <w:rPr>
                <w:rFonts w:eastAsia="方正书宋_GBK" w:cs="Times New Roman"/>
                <w:kern w:val="0"/>
                <w:sz w:val="21"/>
              </w:rPr>
            </w:pPr>
          </w:p>
        </w:tc>
        <w:tc>
          <w:tcPr>
            <w:tcW w:w="1785" w:type="dxa"/>
            <w:vAlign w:val="center"/>
          </w:tcPr>
          <w:p w14:paraId="2B11664F">
            <w:pPr>
              <w:widowControl/>
              <w:adjustRightInd w:val="0"/>
              <w:snapToGrid w:val="0"/>
              <w:jc w:val="left"/>
              <w:rPr>
                <w:rFonts w:eastAsia="方正书宋_GBK" w:cs="Times New Roman"/>
                <w:kern w:val="0"/>
                <w:sz w:val="21"/>
              </w:rPr>
            </w:pPr>
            <w:r>
              <w:rPr>
                <w:rFonts w:eastAsia="方正书宋_GBK" w:cs="Times New Roman"/>
                <w:kern w:val="0"/>
                <w:sz w:val="21"/>
              </w:rPr>
              <w:t>水土保持率</w:t>
            </w:r>
          </w:p>
        </w:tc>
        <w:tc>
          <w:tcPr>
            <w:tcW w:w="884" w:type="dxa"/>
            <w:vAlign w:val="center"/>
          </w:tcPr>
          <w:p w14:paraId="24852B70">
            <w:pPr>
              <w:widowControl/>
              <w:adjustRightInd w:val="0"/>
              <w:snapToGrid w:val="0"/>
              <w:jc w:val="center"/>
              <w:rPr>
                <w:rFonts w:eastAsia="方正书宋_GBK" w:cs="Times New Roman"/>
                <w:kern w:val="0"/>
                <w:sz w:val="21"/>
              </w:rPr>
            </w:pPr>
            <w:r>
              <w:rPr>
                <w:rFonts w:eastAsia="方正书宋_GBK" w:cs="Times New Roman"/>
                <w:kern w:val="0"/>
                <w:sz w:val="21"/>
              </w:rPr>
              <w:t>约束性</w:t>
            </w:r>
          </w:p>
        </w:tc>
        <w:tc>
          <w:tcPr>
            <w:tcW w:w="1335" w:type="dxa"/>
            <w:vAlign w:val="center"/>
          </w:tcPr>
          <w:p w14:paraId="6B0C35DD">
            <w:pPr>
              <w:widowControl/>
              <w:adjustRightInd w:val="0"/>
              <w:snapToGrid w:val="0"/>
              <w:jc w:val="center"/>
              <w:rPr>
                <w:rFonts w:eastAsia="方正书宋_GBK" w:cs="Times New Roman"/>
                <w:kern w:val="0"/>
                <w:sz w:val="21"/>
              </w:rPr>
            </w:pPr>
            <w:r>
              <w:rPr>
                <w:rFonts w:eastAsia="方正书宋_GBK" w:cs="Times New Roman"/>
                <w:kern w:val="0"/>
                <w:sz w:val="21"/>
              </w:rPr>
              <w:t>100%</w:t>
            </w:r>
          </w:p>
        </w:tc>
        <w:tc>
          <w:tcPr>
            <w:tcW w:w="2021" w:type="dxa"/>
            <w:vAlign w:val="center"/>
          </w:tcPr>
          <w:p w14:paraId="6211073F">
            <w:pPr>
              <w:widowControl/>
              <w:adjustRightInd w:val="0"/>
              <w:snapToGrid w:val="0"/>
              <w:jc w:val="center"/>
              <w:rPr>
                <w:rFonts w:eastAsia="方正书宋_GBK" w:cs="Times New Roman"/>
                <w:kern w:val="0"/>
                <w:sz w:val="21"/>
              </w:rPr>
            </w:pPr>
            <w:r>
              <w:rPr>
                <w:rFonts w:eastAsia="方正书宋_GBK" w:cs="Times New Roman"/>
                <w:kern w:val="0"/>
                <w:sz w:val="21"/>
              </w:rPr>
              <w:t>省定考核目标</w:t>
            </w:r>
          </w:p>
        </w:tc>
        <w:tc>
          <w:tcPr>
            <w:tcW w:w="2196" w:type="dxa"/>
            <w:vAlign w:val="center"/>
          </w:tcPr>
          <w:p w14:paraId="14DD7504">
            <w:pPr>
              <w:widowControl/>
              <w:adjustRightInd w:val="0"/>
              <w:snapToGrid w:val="0"/>
              <w:jc w:val="center"/>
              <w:rPr>
                <w:rFonts w:eastAsia="方正书宋_GBK" w:cs="Times New Roman"/>
                <w:kern w:val="0"/>
                <w:sz w:val="21"/>
              </w:rPr>
            </w:pPr>
            <w:r>
              <w:rPr>
                <w:rFonts w:eastAsia="方正书宋_GBK" w:cs="Times New Roman"/>
                <w:kern w:val="0"/>
                <w:sz w:val="21"/>
              </w:rPr>
              <w:t>100%</w:t>
            </w:r>
          </w:p>
        </w:tc>
      </w:tr>
      <w:tr w14:paraId="3968D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436" w:type="dxa"/>
            <w:vAlign w:val="center"/>
          </w:tcPr>
          <w:p w14:paraId="37BE2D64">
            <w:pPr>
              <w:widowControl/>
              <w:adjustRightInd w:val="0"/>
              <w:snapToGrid w:val="0"/>
              <w:jc w:val="center"/>
              <w:rPr>
                <w:rFonts w:eastAsia="方正书宋_GBK" w:cs="Times New Roman"/>
                <w:kern w:val="0"/>
                <w:sz w:val="21"/>
              </w:rPr>
            </w:pPr>
            <w:r>
              <w:rPr>
                <w:rFonts w:eastAsia="方正书宋_GBK" w:cs="Times New Roman"/>
                <w:kern w:val="0"/>
                <w:sz w:val="21"/>
              </w:rPr>
              <w:t>16</w:t>
            </w:r>
          </w:p>
        </w:tc>
        <w:tc>
          <w:tcPr>
            <w:tcW w:w="639" w:type="dxa"/>
            <w:vMerge w:val="restart"/>
            <w:vAlign w:val="center"/>
          </w:tcPr>
          <w:p w14:paraId="44FF2E3D">
            <w:pPr>
              <w:widowControl/>
              <w:adjustRightInd w:val="0"/>
              <w:snapToGrid w:val="0"/>
              <w:jc w:val="center"/>
              <w:rPr>
                <w:rFonts w:eastAsia="方正书宋_GBK" w:cs="Times New Roman"/>
                <w:kern w:val="0"/>
                <w:sz w:val="21"/>
              </w:rPr>
            </w:pPr>
            <w:r>
              <w:rPr>
                <w:rFonts w:eastAsia="方正书宋_GBK" w:cs="Times New Roman"/>
                <w:kern w:val="0"/>
                <w:sz w:val="21"/>
              </w:rPr>
              <w:t>水文化</w:t>
            </w:r>
          </w:p>
        </w:tc>
        <w:tc>
          <w:tcPr>
            <w:tcW w:w="1785" w:type="dxa"/>
            <w:vAlign w:val="center"/>
          </w:tcPr>
          <w:p w14:paraId="1D86D72B">
            <w:pPr>
              <w:widowControl/>
              <w:adjustRightInd w:val="0"/>
              <w:snapToGrid w:val="0"/>
              <w:jc w:val="left"/>
              <w:rPr>
                <w:rFonts w:eastAsia="方正书宋_GBK" w:cs="Times New Roman"/>
                <w:kern w:val="0"/>
                <w:sz w:val="21"/>
              </w:rPr>
            </w:pPr>
            <w:r>
              <w:rPr>
                <w:rFonts w:eastAsia="方正书宋_GBK" w:cs="Times New Roman"/>
                <w:kern w:val="0"/>
                <w:sz w:val="21"/>
              </w:rPr>
              <w:t>水文化载体建设</w:t>
            </w:r>
          </w:p>
        </w:tc>
        <w:tc>
          <w:tcPr>
            <w:tcW w:w="884" w:type="dxa"/>
            <w:vAlign w:val="center"/>
          </w:tcPr>
          <w:p w14:paraId="75973709">
            <w:pPr>
              <w:widowControl/>
              <w:adjustRightInd w:val="0"/>
              <w:snapToGrid w:val="0"/>
              <w:jc w:val="center"/>
              <w:rPr>
                <w:rFonts w:eastAsia="方正书宋_GBK" w:cs="Times New Roman"/>
                <w:kern w:val="0"/>
                <w:sz w:val="21"/>
              </w:rPr>
            </w:pPr>
            <w:r>
              <w:rPr>
                <w:rFonts w:eastAsia="方正书宋_GBK" w:cs="Times New Roman"/>
                <w:kern w:val="0"/>
                <w:sz w:val="21"/>
              </w:rPr>
              <w:t>预期性</w:t>
            </w:r>
          </w:p>
        </w:tc>
        <w:tc>
          <w:tcPr>
            <w:tcW w:w="1335" w:type="dxa"/>
            <w:vAlign w:val="center"/>
          </w:tcPr>
          <w:p w14:paraId="45A8043E">
            <w:pPr>
              <w:widowControl/>
              <w:adjustRightInd w:val="0"/>
              <w:snapToGrid w:val="0"/>
              <w:jc w:val="center"/>
              <w:rPr>
                <w:rFonts w:eastAsia="方正书宋_GBK" w:cs="Times New Roman"/>
                <w:kern w:val="0"/>
                <w:sz w:val="21"/>
              </w:rPr>
            </w:pPr>
            <w:r>
              <w:rPr>
                <w:rFonts w:eastAsia="方正书宋_GBK" w:cs="Times New Roman"/>
                <w:kern w:val="0"/>
                <w:sz w:val="21"/>
              </w:rPr>
              <w:t>—</w:t>
            </w:r>
          </w:p>
        </w:tc>
        <w:tc>
          <w:tcPr>
            <w:tcW w:w="2021" w:type="dxa"/>
            <w:vAlign w:val="center"/>
          </w:tcPr>
          <w:p w14:paraId="1801EC2D">
            <w:pPr>
              <w:widowControl/>
              <w:adjustRightInd w:val="0"/>
              <w:snapToGrid w:val="0"/>
              <w:jc w:val="center"/>
              <w:rPr>
                <w:rFonts w:eastAsia="方正书宋_GBK" w:cs="Times New Roman"/>
                <w:kern w:val="0"/>
                <w:sz w:val="21"/>
              </w:rPr>
            </w:pPr>
            <w:r>
              <w:rPr>
                <w:rFonts w:eastAsia="方正书宋_GBK" w:cs="Times New Roman"/>
                <w:kern w:val="0"/>
                <w:sz w:val="21"/>
              </w:rPr>
              <w:t>—</w:t>
            </w:r>
          </w:p>
        </w:tc>
        <w:tc>
          <w:tcPr>
            <w:tcW w:w="2196" w:type="dxa"/>
            <w:vAlign w:val="center"/>
          </w:tcPr>
          <w:p w14:paraId="6F060378">
            <w:pPr>
              <w:widowControl/>
              <w:adjustRightInd w:val="0"/>
              <w:snapToGrid w:val="0"/>
              <w:jc w:val="center"/>
              <w:rPr>
                <w:rFonts w:eastAsia="方正书宋_GBK" w:cs="Times New Roman"/>
                <w:kern w:val="0"/>
                <w:sz w:val="21"/>
              </w:rPr>
            </w:pPr>
            <w:r>
              <w:rPr>
                <w:rFonts w:eastAsia="方正书宋_GBK" w:cs="Times New Roman"/>
                <w:kern w:val="0"/>
                <w:sz w:val="21"/>
              </w:rPr>
              <w:t>≥5个</w:t>
            </w:r>
          </w:p>
        </w:tc>
      </w:tr>
      <w:tr w14:paraId="7ABA6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436" w:type="dxa"/>
            <w:vAlign w:val="center"/>
          </w:tcPr>
          <w:p w14:paraId="3C6AB40F">
            <w:pPr>
              <w:widowControl/>
              <w:adjustRightInd w:val="0"/>
              <w:snapToGrid w:val="0"/>
              <w:jc w:val="center"/>
              <w:rPr>
                <w:rFonts w:eastAsia="方正书宋_GBK" w:cs="Times New Roman"/>
                <w:kern w:val="0"/>
                <w:sz w:val="21"/>
              </w:rPr>
            </w:pPr>
            <w:r>
              <w:rPr>
                <w:rFonts w:eastAsia="方正书宋_GBK" w:cs="Times New Roman"/>
                <w:kern w:val="0"/>
                <w:sz w:val="21"/>
              </w:rPr>
              <w:t>17</w:t>
            </w:r>
          </w:p>
        </w:tc>
        <w:tc>
          <w:tcPr>
            <w:tcW w:w="639" w:type="dxa"/>
            <w:vMerge w:val="continue"/>
            <w:vAlign w:val="center"/>
          </w:tcPr>
          <w:p w14:paraId="63CE71E2">
            <w:pPr>
              <w:widowControl/>
              <w:adjustRightInd w:val="0"/>
              <w:snapToGrid w:val="0"/>
              <w:jc w:val="center"/>
              <w:rPr>
                <w:rFonts w:eastAsia="方正书宋_GBK" w:cs="Times New Roman"/>
                <w:kern w:val="0"/>
                <w:sz w:val="21"/>
              </w:rPr>
            </w:pPr>
          </w:p>
        </w:tc>
        <w:tc>
          <w:tcPr>
            <w:tcW w:w="1785" w:type="dxa"/>
            <w:vAlign w:val="center"/>
          </w:tcPr>
          <w:p w14:paraId="34DB6195">
            <w:pPr>
              <w:widowControl/>
              <w:adjustRightInd w:val="0"/>
              <w:snapToGrid w:val="0"/>
              <w:jc w:val="left"/>
              <w:rPr>
                <w:rFonts w:eastAsia="方正书宋_GBK" w:cs="Times New Roman"/>
                <w:kern w:val="0"/>
                <w:sz w:val="21"/>
              </w:rPr>
            </w:pPr>
            <w:r>
              <w:rPr>
                <w:rFonts w:eastAsia="方正书宋_GBK" w:cs="Times New Roman"/>
                <w:kern w:val="0"/>
                <w:sz w:val="21"/>
              </w:rPr>
              <w:t>水利风景区创建</w:t>
            </w:r>
          </w:p>
        </w:tc>
        <w:tc>
          <w:tcPr>
            <w:tcW w:w="884" w:type="dxa"/>
            <w:vAlign w:val="center"/>
          </w:tcPr>
          <w:p w14:paraId="18A1AEFA">
            <w:pPr>
              <w:widowControl/>
              <w:adjustRightInd w:val="0"/>
              <w:snapToGrid w:val="0"/>
              <w:jc w:val="center"/>
              <w:rPr>
                <w:rFonts w:eastAsia="方正书宋_GBK" w:cs="Times New Roman"/>
                <w:kern w:val="0"/>
                <w:sz w:val="21"/>
              </w:rPr>
            </w:pPr>
            <w:r>
              <w:rPr>
                <w:rFonts w:eastAsia="方正书宋_GBK" w:cs="Times New Roman"/>
                <w:kern w:val="0"/>
                <w:sz w:val="21"/>
              </w:rPr>
              <w:t>预期性</w:t>
            </w:r>
          </w:p>
        </w:tc>
        <w:tc>
          <w:tcPr>
            <w:tcW w:w="1335" w:type="dxa"/>
            <w:vAlign w:val="center"/>
          </w:tcPr>
          <w:p w14:paraId="0875FB97">
            <w:pPr>
              <w:widowControl/>
              <w:adjustRightInd w:val="0"/>
              <w:snapToGrid w:val="0"/>
              <w:jc w:val="center"/>
              <w:rPr>
                <w:rFonts w:eastAsia="方正书宋_GBK" w:cs="Times New Roman"/>
                <w:kern w:val="0"/>
                <w:sz w:val="21"/>
              </w:rPr>
            </w:pPr>
            <w:r>
              <w:rPr>
                <w:rFonts w:eastAsia="方正书宋_GBK" w:cs="Times New Roman"/>
                <w:kern w:val="0"/>
                <w:sz w:val="21"/>
              </w:rPr>
              <w:t>—</w:t>
            </w:r>
          </w:p>
        </w:tc>
        <w:tc>
          <w:tcPr>
            <w:tcW w:w="2021" w:type="dxa"/>
            <w:vAlign w:val="center"/>
          </w:tcPr>
          <w:p w14:paraId="0EB378FF">
            <w:pPr>
              <w:widowControl/>
              <w:adjustRightInd w:val="0"/>
              <w:snapToGrid w:val="0"/>
              <w:jc w:val="center"/>
              <w:rPr>
                <w:rFonts w:eastAsia="方正书宋_GBK" w:cs="Times New Roman"/>
                <w:kern w:val="0"/>
                <w:sz w:val="21"/>
              </w:rPr>
            </w:pPr>
            <w:r>
              <w:rPr>
                <w:rFonts w:eastAsia="方正书宋_GBK" w:cs="Times New Roman"/>
                <w:kern w:val="0"/>
                <w:sz w:val="21"/>
              </w:rPr>
              <w:t>—</w:t>
            </w:r>
          </w:p>
        </w:tc>
        <w:tc>
          <w:tcPr>
            <w:tcW w:w="2196" w:type="dxa"/>
            <w:vAlign w:val="center"/>
          </w:tcPr>
          <w:p w14:paraId="479BD710">
            <w:pPr>
              <w:widowControl/>
              <w:adjustRightInd w:val="0"/>
              <w:snapToGrid w:val="0"/>
              <w:jc w:val="center"/>
              <w:rPr>
                <w:rFonts w:eastAsia="方正书宋_GBK" w:cs="Times New Roman"/>
                <w:kern w:val="0"/>
                <w:sz w:val="21"/>
              </w:rPr>
            </w:pPr>
            <w:r>
              <w:rPr>
                <w:rFonts w:eastAsia="方正书宋_GBK" w:cs="Times New Roman"/>
                <w:kern w:val="0"/>
                <w:sz w:val="21"/>
              </w:rPr>
              <w:t>1个</w:t>
            </w:r>
          </w:p>
        </w:tc>
      </w:tr>
      <w:tr w14:paraId="5F9B6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436" w:type="dxa"/>
            <w:vAlign w:val="center"/>
          </w:tcPr>
          <w:p w14:paraId="376EBED1">
            <w:pPr>
              <w:widowControl/>
              <w:adjustRightInd w:val="0"/>
              <w:snapToGrid w:val="0"/>
              <w:jc w:val="center"/>
              <w:rPr>
                <w:rFonts w:eastAsia="方正书宋_GBK" w:cs="Times New Roman"/>
                <w:kern w:val="0"/>
                <w:sz w:val="21"/>
              </w:rPr>
            </w:pPr>
            <w:r>
              <w:rPr>
                <w:rFonts w:eastAsia="方正书宋_GBK" w:cs="Times New Roman"/>
                <w:kern w:val="0"/>
                <w:sz w:val="21"/>
              </w:rPr>
              <w:t>18</w:t>
            </w:r>
          </w:p>
        </w:tc>
        <w:tc>
          <w:tcPr>
            <w:tcW w:w="639" w:type="dxa"/>
            <w:vMerge w:val="restart"/>
            <w:vAlign w:val="center"/>
          </w:tcPr>
          <w:p w14:paraId="2FBAAE0E">
            <w:pPr>
              <w:widowControl/>
              <w:adjustRightInd w:val="0"/>
              <w:snapToGrid w:val="0"/>
              <w:jc w:val="center"/>
              <w:rPr>
                <w:rFonts w:eastAsia="方正书宋_GBK" w:cs="Times New Roman"/>
                <w:kern w:val="0"/>
                <w:sz w:val="21"/>
              </w:rPr>
            </w:pPr>
            <w:r>
              <w:rPr>
                <w:rFonts w:eastAsia="方正书宋_GBK" w:cs="Times New Roman"/>
                <w:kern w:val="0"/>
                <w:sz w:val="21"/>
              </w:rPr>
              <w:t>水监管</w:t>
            </w:r>
          </w:p>
        </w:tc>
        <w:tc>
          <w:tcPr>
            <w:tcW w:w="1785" w:type="dxa"/>
            <w:vAlign w:val="center"/>
          </w:tcPr>
          <w:p w14:paraId="059A29BB">
            <w:pPr>
              <w:widowControl/>
              <w:adjustRightInd w:val="0"/>
              <w:snapToGrid w:val="0"/>
              <w:jc w:val="left"/>
              <w:rPr>
                <w:rFonts w:eastAsia="方正书宋_GBK" w:cs="Times New Roman"/>
                <w:kern w:val="0"/>
                <w:sz w:val="21"/>
              </w:rPr>
            </w:pPr>
            <w:r>
              <w:rPr>
                <w:rFonts w:eastAsia="方正书宋_GBK" w:cs="Times New Roman"/>
                <w:kern w:val="0"/>
                <w:sz w:val="21"/>
              </w:rPr>
              <w:t>河湖水域岸线有效监管率</w:t>
            </w:r>
          </w:p>
        </w:tc>
        <w:tc>
          <w:tcPr>
            <w:tcW w:w="884" w:type="dxa"/>
            <w:vAlign w:val="center"/>
          </w:tcPr>
          <w:p w14:paraId="08557331">
            <w:pPr>
              <w:widowControl/>
              <w:adjustRightInd w:val="0"/>
              <w:snapToGrid w:val="0"/>
              <w:jc w:val="center"/>
              <w:rPr>
                <w:rFonts w:eastAsia="方正书宋_GBK" w:cs="Times New Roman"/>
                <w:kern w:val="0"/>
                <w:sz w:val="21"/>
              </w:rPr>
            </w:pPr>
            <w:r>
              <w:rPr>
                <w:rFonts w:eastAsia="方正书宋_GBK" w:cs="Times New Roman"/>
                <w:kern w:val="0"/>
                <w:sz w:val="21"/>
              </w:rPr>
              <w:t>预期性</w:t>
            </w:r>
          </w:p>
        </w:tc>
        <w:tc>
          <w:tcPr>
            <w:tcW w:w="1335" w:type="dxa"/>
            <w:vAlign w:val="center"/>
          </w:tcPr>
          <w:p w14:paraId="1BB26246">
            <w:pPr>
              <w:widowControl/>
              <w:adjustRightInd w:val="0"/>
              <w:snapToGrid w:val="0"/>
              <w:jc w:val="center"/>
              <w:rPr>
                <w:rFonts w:eastAsia="方正书宋_GBK" w:cs="Times New Roman"/>
                <w:kern w:val="0"/>
                <w:sz w:val="21"/>
              </w:rPr>
            </w:pPr>
            <w:r>
              <w:rPr>
                <w:rFonts w:eastAsia="方正书宋_GBK" w:cs="Times New Roman"/>
                <w:kern w:val="0"/>
                <w:sz w:val="21"/>
              </w:rPr>
              <w:t>—</w:t>
            </w:r>
          </w:p>
        </w:tc>
        <w:tc>
          <w:tcPr>
            <w:tcW w:w="2021" w:type="dxa"/>
            <w:vAlign w:val="center"/>
          </w:tcPr>
          <w:p w14:paraId="03DD6D99">
            <w:pPr>
              <w:widowControl/>
              <w:adjustRightInd w:val="0"/>
              <w:snapToGrid w:val="0"/>
              <w:jc w:val="center"/>
              <w:rPr>
                <w:rFonts w:eastAsia="方正书宋_GBK" w:cs="Times New Roman"/>
                <w:kern w:val="0"/>
                <w:sz w:val="21"/>
              </w:rPr>
            </w:pPr>
            <w:r>
              <w:rPr>
                <w:rFonts w:eastAsia="方正书宋_GBK" w:cs="Times New Roman"/>
                <w:kern w:val="0"/>
                <w:sz w:val="21"/>
              </w:rPr>
              <w:t>95%</w:t>
            </w:r>
          </w:p>
        </w:tc>
        <w:tc>
          <w:tcPr>
            <w:tcW w:w="2196" w:type="dxa"/>
            <w:vAlign w:val="center"/>
          </w:tcPr>
          <w:p w14:paraId="391B9ACB">
            <w:pPr>
              <w:widowControl/>
              <w:adjustRightInd w:val="0"/>
              <w:snapToGrid w:val="0"/>
              <w:jc w:val="center"/>
              <w:rPr>
                <w:rFonts w:eastAsia="方正书宋_GBK" w:cs="Times New Roman"/>
                <w:kern w:val="0"/>
                <w:sz w:val="21"/>
              </w:rPr>
            </w:pPr>
            <w:r>
              <w:rPr>
                <w:rFonts w:eastAsia="方正书宋_GBK" w:cs="Times New Roman"/>
                <w:kern w:val="0"/>
                <w:sz w:val="21"/>
              </w:rPr>
              <w:t>95%</w:t>
            </w:r>
          </w:p>
        </w:tc>
      </w:tr>
      <w:tr w14:paraId="6DBE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436" w:type="dxa"/>
            <w:vAlign w:val="center"/>
          </w:tcPr>
          <w:p w14:paraId="1A3D3863">
            <w:pPr>
              <w:widowControl/>
              <w:adjustRightInd w:val="0"/>
              <w:snapToGrid w:val="0"/>
              <w:jc w:val="center"/>
              <w:rPr>
                <w:rFonts w:eastAsia="方正书宋_GBK" w:cs="Times New Roman"/>
                <w:kern w:val="0"/>
                <w:sz w:val="21"/>
              </w:rPr>
            </w:pPr>
            <w:r>
              <w:rPr>
                <w:rFonts w:eastAsia="方正书宋_GBK" w:cs="Times New Roman"/>
                <w:kern w:val="0"/>
                <w:sz w:val="21"/>
              </w:rPr>
              <w:t>19</w:t>
            </w:r>
          </w:p>
        </w:tc>
        <w:tc>
          <w:tcPr>
            <w:tcW w:w="639" w:type="dxa"/>
            <w:vMerge w:val="continue"/>
            <w:vAlign w:val="center"/>
          </w:tcPr>
          <w:p w14:paraId="2150FD00">
            <w:pPr>
              <w:widowControl/>
              <w:adjustRightInd w:val="0"/>
              <w:snapToGrid w:val="0"/>
              <w:jc w:val="center"/>
              <w:rPr>
                <w:rFonts w:eastAsia="方正书宋_GBK" w:cs="Times New Roman"/>
                <w:kern w:val="0"/>
                <w:sz w:val="21"/>
              </w:rPr>
            </w:pPr>
          </w:p>
        </w:tc>
        <w:tc>
          <w:tcPr>
            <w:tcW w:w="1785" w:type="dxa"/>
            <w:vAlign w:val="center"/>
          </w:tcPr>
          <w:p w14:paraId="49A8A086">
            <w:pPr>
              <w:widowControl/>
              <w:adjustRightInd w:val="0"/>
              <w:snapToGrid w:val="0"/>
              <w:jc w:val="left"/>
              <w:rPr>
                <w:rFonts w:eastAsia="方正书宋_GBK" w:cs="Times New Roman"/>
                <w:kern w:val="0"/>
                <w:sz w:val="21"/>
              </w:rPr>
            </w:pPr>
            <w:r>
              <w:rPr>
                <w:rFonts w:eastAsia="方正书宋_GBK" w:cs="Times New Roman"/>
                <w:kern w:val="0"/>
                <w:sz w:val="21"/>
              </w:rPr>
              <w:t>重特大安全生产事故数量</w:t>
            </w:r>
          </w:p>
        </w:tc>
        <w:tc>
          <w:tcPr>
            <w:tcW w:w="884" w:type="dxa"/>
            <w:vAlign w:val="center"/>
          </w:tcPr>
          <w:p w14:paraId="0BA9DC8D">
            <w:pPr>
              <w:widowControl/>
              <w:adjustRightInd w:val="0"/>
              <w:snapToGrid w:val="0"/>
              <w:jc w:val="center"/>
              <w:rPr>
                <w:rFonts w:eastAsia="方正书宋_GBK" w:cs="Times New Roman"/>
                <w:kern w:val="0"/>
                <w:sz w:val="21"/>
              </w:rPr>
            </w:pPr>
            <w:r>
              <w:rPr>
                <w:rFonts w:eastAsia="方正书宋_GBK" w:cs="Times New Roman"/>
                <w:kern w:val="0"/>
                <w:sz w:val="21"/>
              </w:rPr>
              <w:t>预期性</w:t>
            </w:r>
          </w:p>
        </w:tc>
        <w:tc>
          <w:tcPr>
            <w:tcW w:w="1335" w:type="dxa"/>
            <w:vAlign w:val="center"/>
          </w:tcPr>
          <w:p w14:paraId="4CD0D774">
            <w:pPr>
              <w:widowControl/>
              <w:adjustRightInd w:val="0"/>
              <w:snapToGrid w:val="0"/>
              <w:jc w:val="center"/>
              <w:rPr>
                <w:rFonts w:eastAsia="方正书宋_GBK" w:cs="Times New Roman"/>
                <w:kern w:val="0"/>
                <w:sz w:val="21"/>
              </w:rPr>
            </w:pPr>
            <w:r>
              <w:rPr>
                <w:rFonts w:eastAsia="方正书宋_GBK" w:cs="Times New Roman"/>
                <w:kern w:val="0"/>
                <w:sz w:val="21"/>
              </w:rPr>
              <w:t>—</w:t>
            </w:r>
          </w:p>
        </w:tc>
        <w:tc>
          <w:tcPr>
            <w:tcW w:w="2021" w:type="dxa"/>
            <w:vAlign w:val="center"/>
          </w:tcPr>
          <w:p w14:paraId="7E4E7F4D">
            <w:pPr>
              <w:widowControl/>
              <w:adjustRightInd w:val="0"/>
              <w:snapToGrid w:val="0"/>
              <w:jc w:val="center"/>
              <w:rPr>
                <w:rFonts w:eastAsia="方正书宋_GBK" w:cs="Times New Roman"/>
                <w:kern w:val="0"/>
                <w:sz w:val="21"/>
              </w:rPr>
            </w:pPr>
            <w:r>
              <w:rPr>
                <w:rFonts w:eastAsia="方正书宋_GBK" w:cs="Times New Roman"/>
                <w:kern w:val="0"/>
                <w:sz w:val="21"/>
              </w:rPr>
              <w:t>0</w:t>
            </w:r>
          </w:p>
        </w:tc>
        <w:tc>
          <w:tcPr>
            <w:tcW w:w="2196" w:type="dxa"/>
            <w:vAlign w:val="center"/>
          </w:tcPr>
          <w:p w14:paraId="6C9958D0">
            <w:pPr>
              <w:widowControl/>
              <w:adjustRightInd w:val="0"/>
              <w:snapToGrid w:val="0"/>
              <w:jc w:val="center"/>
              <w:rPr>
                <w:rFonts w:eastAsia="方正书宋_GBK" w:cs="Times New Roman"/>
                <w:kern w:val="0"/>
                <w:sz w:val="21"/>
              </w:rPr>
            </w:pPr>
            <w:r>
              <w:rPr>
                <w:rFonts w:eastAsia="方正书宋_GBK" w:cs="Times New Roman"/>
                <w:kern w:val="0"/>
                <w:sz w:val="21"/>
              </w:rPr>
              <w:t>0</w:t>
            </w:r>
          </w:p>
        </w:tc>
      </w:tr>
    </w:tbl>
    <w:p w14:paraId="19613BD0">
      <w:pPr>
        <w:pStyle w:val="14"/>
        <w:widowControl w:val="0"/>
        <w:adjustRightInd w:val="0"/>
        <w:snapToGrid w:val="0"/>
        <w:spacing w:before="0" w:beforeAutospacing="0" w:after="0" w:afterAutospacing="0" w:line="600" w:lineRule="atLeast"/>
        <w:jc w:val="both"/>
        <w:rPr>
          <w:rFonts w:ascii="Times New Roman" w:hAnsi="Times New Roman" w:cs="Times New Roman"/>
          <w:color w:val="0000FF"/>
          <w:kern w:val="2"/>
          <w:sz w:val="28"/>
          <w:szCs w:val="28"/>
        </w:rPr>
        <w:sectPr>
          <w:footerReference r:id="rId4" w:type="default"/>
          <w:pgSz w:w="11906" w:h="16838"/>
          <w:pgMar w:top="2098" w:right="1588" w:bottom="1701" w:left="1588" w:header="851" w:footer="992" w:gutter="0"/>
          <w:pgNumType w:start="1"/>
          <w:cols w:space="425" w:num="1"/>
          <w:docGrid w:type="linesAndChars" w:linePitch="383" w:charSpace="-4759"/>
        </w:sectPr>
      </w:pPr>
    </w:p>
    <w:p w14:paraId="1AF1FFBC">
      <w:pPr>
        <w:rPr>
          <w:rFonts w:eastAsia="方正黑体_GBK" w:cs="Times New Roman"/>
          <w:b/>
          <w:sz w:val="21"/>
          <w:szCs w:val="21"/>
        </w:rPr>
      </w:pPr>
      <w:r>
        <w:rPr>
          <w:rFonts w:eastAsia="方正黑体_GBK" w:cs="Times New Roman"/>
          <w:b/>
          <w:sz w:val="21"/>
          <w:szCs w:val="21"/>
        </w:rPr>
        <w:t>指标含义及说明：</w:t>
      </w:r>
    </w:p>
    <w:p w14:paraId="5ADB6C69">
      <w:pPr>
        <w:widowControl/>
        <w:adjustRightInd w:val="0"/>
        <w:snapToGrid w:val="0"/>
        <w:jc w:val="left"/>
        <w:rPr>
          <w:rFonts w:eastAsia="方正书宋_GBK" w:cs="Times New Roman"/>
          <w:kern w:val="0"/>
          <w:sz w:val="21"/>
        </w:rPr>
      </w:pPr>
      <w:r>
        <w:rPr>
          <w:rFonts w:eastAsia="方正书宋_GBK" w:cs="Times New Roman"/>
          <w:kern w:val="0"/>
          <w:sz w:val="21"/>
        </w:rPr>
        <w:t>1、江河堤防达标率：达到相应规划标准的堤防长度占总长度的比例，堤防为区域防洪河道。</w:t>
      </w:r>
    </w:p>
    <w:p w14:paraId="4F2DCE1C">
      <w:pPr>
        <w:widowControl/>
        <w:adjustRightInd w:val="0"/>
        <w:snapToGrid w:val="0"/>
        <w:jc w:val="left"/>
        <w:rPr>
          <w:rFonts w:eastAsia="方正书宋_GBK" w:cs="Times New Roman"/>
          <w:kern w:val="0"/>
          <w:sz w:val="21"/>
        </w:rPr>
      </w:pPr>
      <w:r>
        <w:rPr>
          <w:rFonts w:eastAsia="方正书宋_GBK" w:cs="Times New Roman"/>
          <w:kern w:val="0"/>
          <w:sz w:val="21"/>
        </w:rPr>
        <w:t>2、城市内涝防治能力：中心城区各排涝分区排涝河道、泵站及其他防涝调蓄等措施所达到的综合防涝能力。</w:t>
      </w:r>
    </w:p>
    <w:p w14:paraId="309D205A">
      <w:pPr>
        <w:widowControl/>
        <w:adjustRightInd w:val="0"/>
        <w:snapToGrid w:val="0"/>
        <w:jc w:val="left"/>
        <w:rPr>
          <w:rFonts w:eastAsia="方正书宋_GBK" w:cs="Times New Roman"/>
          <w:kern w:val="0"/>
          <w:sz w:val="21"/>
        </w:rPr>
      </w:pPr>
      <w:r>
        <w:rPr>
          <w:rFonts w:eastAsia="方正书宋_GBK" w:cs="Times New Roman"/>
          <w:kern w:val="0"/>
          <w:sz w:val="21"/>
        </w:rPr>
        <w:t>3、年用水总量：指各类用水户取水的包括输水损失在内的毛水量之和，按农业用水、工业用水、居民生活用水、城镇公共用水和生态环境用水五类用户统计（注：</w:t>
      </w:r>
      <w:r>
        <w:rPr>
          <w:rFonts w:hint="eastAsia" w:eastAsia="方正书宋_GBK" w:cs="Times New Roman"/>
          <w:kern w:val="0"/>
          <w:sz w:val="21"/>
        </w:rPr>
        <w:t>参照宁水资联办[</w:t>
      </w:r>
      <w:r>
        <w:rPr>
          <w:rFonts w:eastAsia="方正书宋_GBK" w:cs="Times New Roman"/>
          <w:kern w:val="0"/>
          <w:sz w:val="21"/>
        </w:rPr>
        <w:t>2021</w:t>
      </w:r>
      <w:r>
        <w:rPr>
          <w:rFonts w:hint="eastAsia" w:eastAsia="方正书宋_GBK" w:cs="Times New Roman"/>
          <w:kern w:val="0"/>
          <w:sz w:val="21"/>
        </w:rPr>
        <w:t>]</w:t>
      </w:r>
      <w:r>
        <w:rPr>
          <w:rFonts w:eastAsia="方正书宋_GBK" w:cs="Times New Roman"/>
          <w:kern w:val="0"/>
          <w:sz w:val="21"/>
        </w:rPr>
        <w:t>1</w:t>
      </w:r>
      <w:r>
        <w:rPr>
          <w:rFonts w:hint="eastAsia" w:eastAsia="方正书宋_GBK" w:cs="Times New Roman"/>
          <w:kern w:val="0"/>
          <w:sz w:val="21"/>
        </w:rPr>
        <w:t>号文件附件</w:t>
      </w:r>
      <w:r>
        <w:rPr>
          <w:rFonts w:eastAsia="方正书宋_GBK" w:cs="Times New Roman"/>
          <w:kern w:val="0"/>
          <w:sz w:val="21"/>
        </w:rPr>
        <w:t>-</w:t>
      </w:r>
      <w:r>
        <w:rPr>
          <w:rFonts w:hint="eastAsia" w:eastAsia="方正书宋_GBK" w:cs="Times New Roman"/>
          <w:kern w:val="0"/>
          <w:sz w:val="21"/>
        </w:rPr>
        <w:t>2021年南京市</w:t>
      </w:r>
      <w:r>
        <w:rPr>
          <w:rFonts w:eastAsia="方正书宋_GBK" w:cs="Times New Roman"/>
          <w:kern w:val="0"/>
          <w:sz w:val="21"/>
        </w:rPr>
        <w:t>水资源管理目标任务）。</w:t>
      </w:r>
    </w:p>
    <w:p w14:paraId="0D0DFCE1">
      <w:pPr>
        <w:widowControl/>
        <w:adjustRightInd w:val="0"/>
        <w:snapToGrid w:val="0"/>
        <w:jc w:val="left"/>
        <w:rPr>
          <w:rFonts w:eastAsia="方正书宋_GBK" w:cs="Times New Roman"/>
          <w:kern w:val="0"/>
          <w:sz w:val="21"/>
        </w:rPr>
      </w:pPr>
      <w:r>
        <w:rPr>
          <w:rFonts w:eastAsia="方正书宋_GBK" w:cs="Times New Roman"/>
          <w:kern w:val="0"/>
          <w:sz w:val="21"/>
        </w:rPr>
        <w:t>4、万元GDP用水量：指报告期内产生每万元国内生产总值所用的水量。计算方法：万元GDP用水量=报告期内用水量/报告期内生产总值（报告期一般为一年）。</w:t>
      </w:r>
    </w:p>
    <w:p w14:paraId="740CED3C">
      <w:pPr>
        <w:widowControl/>
        <w:adjustRightInd w:val="0"/>
        <w:snapToGrid w:val="0"/>
        <w:jc w:val="left"/>
        <w:rPr>
          <w:rFonts w:eastAsia="方正书宋_GBK" w:cs="Times New Roman"/>
          <w:kern w:val="0"/>
          <w:sz w:val="21"/>
        </w:rPr>
      </w:pPr>
      <w:r>
        <w:rPr>
          <w:rFonts w:eastAsia="方正书宋_GBK" w:cs="Times New Roman"/>
          <w:kern w:val="0"/>
          <w:sz w:val="21"/>
        </w:rPr>
        <w:t>5、城镇供水管网漏损率：城镇供水管网漏损量占供水总量的比值。</w:t>
      </w:r>
    </w:p>
    <w:p w14:paraId="5D282876">
      <w:pPr>
        <w:widowControl/>
        <w:adjustRightInd w:val="0"/>
        <w:snapToGrid w:val="0"/>
        <w:jc w:val="left"/>
        <w:rPr>
          <w:rFonts w:eastAsia="方正书宋_GBK" w:cs="Times New Roman"/>
          <w:kern w:val="0"/>
          <w:sz w:val="21"/>
        </w:rPr>
      </w:pPr>
      <w:r>
        <w:rPr>
          <w:rFonts w:eastAsia="方正书宋_GBK" w:cs="Times New Roman"/>
          <w:kern w:val="0"/>
          <w:sz w:val="21"/>
        </w:rPr>
        <w:t>6、城镇生活污水集中收集率：向污水处理厂排放的城镇人口占城镇总人口的比例。</w:t>
      </w:r>
    </w:p>
    <w:p w14:paraId="1470216A">
      <w:pPr>
        <w:widowControl/>
        <w:adjustRightInd w:val="0"/>
        <w:snapToGrid w:val="0"/>
        <w:jc w:val="left"/>
        <w:rPr>
          <w:rFonts w:eastAsia="方正书宋_GBK" w:cs="Times New Roman"/>
          <w:kern w:val="0"/>
          <w:sz w:val="21"/>
        </w:rPr>
      </w:pPr>
      <w:r>
        <w:rPr>
          <w:rFonts w:eastAsia="方正书宋_GBK" w:cs="Times New Roman"/>
          <w:kern w:val="0"/>
          <w:sz w:val="21"/>
        </w:rPr>
        <w:t>7、地表水市考以上断面达标率：地表水市考以上断面达到考核要求的比率。</w:t>
      </w:r>
    </w:p>
    <w:p w14:paraId="13769F0F">
      <w:pPr>
        <w:widowControl/>
        <w:adjustRightInd w:val="0"/>
        <w:snapToGrid w:val="0"/>
        <w:jc w:val="left"/>
        <w:rPr>
          <w:rFonts w:eastAsia="方正书宋_GBK" w:cs="Times New Roman"/>
          <w:kern w:val="0"/>
          <w:sz w:val="21"/>
        </w:rPr>
      </w:pPr>
      <w:r>
        <w:rPr>
          <w:rFonts w:eastAsia="方正书宋_GBK" w:cs="Times New Roman"/>
          <w:kern w:val="0"/>
          <w:sz w:val="21"/>
        </w:rPr>
        <w:t>8、城镇污水处理厂尾水再生利用率：区域内县级以上集中式污水处理厂尾水利用量占上述尾水总量的比值。</w:t>
      </w:r>
    </w:p>
    <w:p w14:paraId="54D527B4">
      <w:pPr>
        <w:widowControl/>
        <w:adjustRightInd w:val="0"/>
        <w:snapToGrid w:val="0"/>
        <w:jc w:val="left"/>
        <w:rPr>
          <w:rFonts w:eastAsia="方正书宋_GBK" w:cs="Times New Roman"/>
          <w:kern w:val="0"/>
          <w:sz w:val="21"/>
        </w:rPr>
      </w:pPr>
      <w:r>
        <w:rPr>
          <w:rFonts w:eastAsia="方正书宋_GBK" w:cs="Times New Roman"/>
          <w:kern w:val="0"/>
          <w:sz w:val="21"/>
        </w:rPr>
        <w:t>9、提质增效达标区创建率：完成城镇污水提质增效达标区创建的区域占全区面积的比率。</w:t>
      </w:r>
    </w:p>
    <w:p w14:paraId="6412318A">
      <w:pPr>
        <w:widowControl/>
        <w:adjustRightInd w:val="0"/>
        <w:snapToGrid w:val="0"/>
        <w:jc w:val="left"/>
        <w:rPr>
          <w:rFonts w:eastAsia="方正书宋_GBK" w:cs="Times New Roman"/>
          <w:kern w:val="0"/>
          <w:sz w:val="21"/>
        </w:rPr>
      </w:pPr>
      <w:r>
        <w:rPr>
          <w:rFonts w:eastAsia="方正书宋_GBK" w:cs="Times New Roman"/>
          <w:kern w:val="0"/>
          <w:sz w:val="21"/>
        </w:rPr>
        <w:t>10、河湖水域面积率：河湖水域面积占全区面积的比值，现状及规划数据来自已批复的秦淮区海绵城市专项规划，以水利基础设施空间布局规划后续核定数为准。</w:t>
      </w:r>
    </w:p>
    <w:p w14:paraId="71D7D887">
      <w:pPr>
        <w:widowControl/>
        <w:adjustRightInd w:val="0"/>
        <w:snapToGrid w:val="0"/>
        <w:jc w:val="left"/>
        <w:rPr>
          <w:rFonts w:eastAsia="方正书宋_GBK" w:cs="Times New Roman"/>
          <w:kern w:val="0"/>
          <w:sz w:val="21"/>
        </w:rPr>
      </w:pPr>
      <w:r>
        <w:rPr>
          <w:rFonts w:eastAsia="方正书宋_GBK" w:cs="Times New Roman"/>
          <w:kern w:val="0"/>
          <w:sz w:val="21"/>
        </w:rPr>
        <w:t>11、生态岸线比例：生态岸线占全部岸线总长度的比例。</w:t>
      </w:r>
    </w:p>
    <w:p w14:paraId="200DB121">
      <w:pPr>
        <w:widowControl/>
        <w:adjustRightInd w:val="0"/>
        <w:snapToGrid w:val="0"/>
        <w:jc w:val="left"/>
        <w:rPr>
          <w:rFonts w:eastAsia="方正书宋_GBK" w:cs="Times New Roman"/>
          <w:kern w:val="0"/>
          <w:sz w:val="21"/>
        </w:rPr>
      </w:pPr>
      <w:r>
        <w:rPr>
          <w:rFonts w:eastAsia="方正书宋_GBK" w:cs="Times New Roman"/>
          <w:kern w:val="0"/>
          <w:sz w:val="21"/>
        </w:rPr>
        <w:t>12、建成区海绵城市比率：城市建设区达到海绵城市建设要求的总面积占全区规划面积的比率。</w:t>
      </w:r>
    </w:p>
    <w:p w14:paraId="47C4A48A">
      <w:pPr>
        <w:widowControl/>
        <w:adjustRightInd w:val="0"/>
        <w:snapToGrid w:val="0"/>
        <w:jc w:val="left"/>
        <w:rPr>
          <w:rFonts w:eastAsia="方正书宋_GBK" w:cs="Times New Roman"/>
          <w:kern w:val="0"/>
          <w:sz w:val="21"/>
        </w:rPr>
      </w:pPr>
      <w:r>
        <w:rPr>
          <w:rFonts w:eastAsia="方正书宋_GBK" w:cs="Times New Roman"/>
          <w:kern w:val="0"/>
          <w:sz w:val="21"/>
        </w:rPr>
        <w:t>13、主要河湖生态优良率：区内主要河湖达到生态河湖评估要求的比率。（上会讨论）</w:t>
      </w:r>
    </w:p>
    <w:p w14:paraId="46FDB3B2">
      <w:pPr>
        <w:widowControl/>
        <w:adjustRightInd w:val="0"/>
        <w:snapToGrid w:val="0"/>
        <w:jc w:val="left"/>
        <w:rPr>
          <w:rFonts w:eastAsia="方正书宋_GBK" w:cs="Times New Roman"/>
          <w:kern w:val="0"/>
          <w:sz w:val="21"/>
        </w:rPr>
      </w:pPr>
      <w:r>
        <w:rPr>
          <w:rFonts w:eastAsia="方正书宋_GBK" w:cs="Times New Roman"/>
          <w:kern w:val="0"/>
          <w:sz w:val="21"/>
        </w:rPr>
        <w:t>14、重点河湖生态水位（流量）保障率：重点河湖生态水位（流量）得到保障的数量占总数的比值。</w:t>
      </w:r>
    </w:p>
    <w:p w14:paraId="7804A9E1">
      <w:pPr>
        <w:widowControl/>
        <w:adjustRightInd w:val="0"/>
        <w:snapToGrid w:val="0"/>
        <w:jc w:val="left"/>
        <w:rPr>
          <w:rFonts w:eastAsia="方正书宋_GBK" w:cs="Times New Roman"/>
          <w:kern w:val="0"/>
          <w:sz w:val="21"/>
        </w:rPr>
      </w:pPr>
      <w:r>
        <w:rPr>
          <w:rFonts w:eastAsia="方正书宋_GBK" w:cs="Times New Roman"/>
          <w:kern w:val="0"/>
          <w:sz w:val="21"/>
        </w:rPr>
        <w:t>15、水土保持率：未发生水土流失的面积占全市面积的比值，未发生水土流失面积指水土流失强度为轻度以下的面积。</w:t>
      </w:r>
    </w:p>
    <w:p w14:paraId="4C8E0C69">
      <w:pPr>
        <w:widowControl/>
        <w:adjustRightInd w:val="0"/>
        <w:snapToGrid w:val="0"/>
        <w:jc w:val="left"/>
        <w:rPr>
          <w:rFonts w:eastAsia="方正书宋_GBK" w:cs="Times New Roman"/>
          <w:kern w:val="0"/>
          <w:sz w:val="21"/>
        </w:rPr>
      </w:pPr>
      <w:r>
        <w:rPr>
          <w:rFonts w:eastAsia="方正书宋_GBK" w:cs="Times New Roman"/>
          <w:kern w:val="0"/>
          <w:sz w:val="21"/>
        </w:rPr>
        <w:t>16、水文化载体建设：构建秦淮区水文化体系中，能够提炼水文化核心价值，融入水务工程的重要节点建设个数。</w:t>
      </w:r>
    </w:p>
    <w:p w14:paraId="4BEB0808">
      <w:pPr>
        <w:widowControl/>
        <w:adjustRightInd w:val="0"/>
        <w:snapToGrid w:val="0"/>
        <w:jc w:val="left"/>
        <w:rPr>
          <w:rFonts w:eastAsia="方正书宋_GBK" w:cs="Times New Roman"/>
          <w:kern w:val="0"/>
          <w:sz w:val="21"/>
        </w:rPr>
      </w:pPr>
      <w:r>
        <w:rPr>
          <w:rFonts w:eastAsia="方正书宋_GBK" w:cs="Times New Roman"/>
          <w:kern w:val="0"/>
          <w:sz w:val="21"/>
        </w:rPr>
        <w:t>17、水利风景区创建：完成市级以上水利风景区创建个数。</w:t>
      </w:r>
    </w:p>
    <w:p w14:paraId="71F997E1">
      <w:pPr>
        <w:widowControl/>
        <w:adjustRightInd w:val="0"/>
        <w:snapToGrid w:val="0"/>
        <w:jc w:val="left"/>
        <w:rPr>
          <w:rFonts w:eastAsia="方正书宋_GBK" w:cs="Times New Roman"/>
          <w:kern w:val="0"/>
          <w:sz w:val="21"/>
        </w:rPr>
      </w:pPr>
      <w:r>
        <w:rPr>
          <w:rFonts w:eastAsia="方正书宋_GBK" w:cs="Times New Roman"/>
          <w:kern w:val="0"/>
          <w:sz w:val="21"/>
        </w:rPr>
        <w:t>18、河湖水域岸线有效监管率：对全区</w:t>
      </w:r>
      <w:r>
        <w:rPr>
          <w:rFonts w:hint="eastAsia" w:eastAsia="方正书宋_GBK" w:cs="Times New Roman"/>
          <w:kern w:val="0"/>
          <w:sz w:val="21"/>
        </w:rPr>
        <w:t>重点</w:t>
      </w:r>
      <w:r>
        <w:rPr>
          <w:rFonts w:eastAsia="方正书宋_GBK" w:cs="Times New Roman"/>
          <w:kern w:val="0"/>
          <w:sz w:val="21"/>
        </w:rPr>
        <w:t>河湖水域、岸线按法律法规要求进行有效监管的数量所占比值。</w:t>
      </w:r>
    </w:p>
    <w:p w14:paraId="05501E23">
      <w:pPr>
        <w:widowControl/>
        <w:adjustRightInd w:val="0"/>
        <w:snapToGrid w:val="0"/>
        <w:jc w:val="left"/>
        <w:rPr>
          <w:rFonts w:eastAsia="方正书宋_GBK" w:cs="Times New Roman"/>
          <w:kern w:val="0"/>
          <w:sz w:val="21"/>
        </w:rPr>
        <w:sectPr>
          <w:footerReference r:id="rId5" w:type="default"/>
          <w:pgSz w:w="11907" w:h="16839"/>
          <w:pgMar w:top="1440" w:right="1800" w:bottom="1440" w:left="1800" w:header="851" w:footer="992" w:gutter="0"/>
          <w:cols w:space="425" w:num="1"/>
          <w:docGrid w:type="lines" w:linePitch="381" w:charSpace="0"/>
        </w:sectPr>
      </w:pPr>
      <w:r>
        <w:rPr>
          <w:rFonts w:eastAsia="方正书宋_GBK" w:cs="Times New Roman"/>
          <w:kern w:val="0"/>
          <w:sz w:val="21"/>
        </w:rPr>
        <w:t>19、</w:t>
      </w:r>
      <w:bookmarkStart w:id="30" w:name="_Toc14942328"/>
      <w:bookmarkStart w:id="31" w:name="_Toc533703259"/>
      <w:r>
        <w:rPr>
          <w:rFonts w:hint="eastAsia" w:eastAsia="方正书宋_GBK" w:cs="Times New Roman"/>
          <w:kern w:val="0"/>
          <w:sz w:val="21"/>
        </w:rPr>
        <w:t>重特大安全生产事故数量</w:t>
      </w:r>
      <w:r>
        <w:rPr>
          <w:rFonts w:eastAsia="方正书宋_GBK" w:cs="Times New Roman"/>
          <w:kern w:val="0"/>
          <w:sz w:val="21"/>
        </w:rPr>
        <w:t>：工程建设及安全生产</w:t>
      </w:r>
      <w:r>
        <w:rPr>
          <w:rFonts w:hint="eastAsia" w:eastAsia="方正书宋_GBK" w:cs="Times New Roman"/>
          <w:kern w:val="0"/>
          <w:sz w:val="21"/>
        </w:rPr>
        <w:t>过程中重特大安全生产事故发生数量</w:t>
      </w:r>
      <w:r>
        <w:rPr>
          <w:rFonts w:eastAsia="方正书宋_GBK" w:cs="Times New Roman"/>
          <w:kern w:val="0"/>
          <w:sz w:val="21"/>
        </w:rPr>
        <w:t>。</w:t>
      </w:r>
    </w:p>
    <w:bookmarkEnd w:id="30"/>
    <w:bookmarkEnd w:id="31"/>
    <w:p w14:paraId="02FF8805">
      <w:pPr>
        <w:pStyle w:val="3"/>
        <w:spacing w:before="0" w:after="0" w:line="600" w:lineRule="exact"/>
        <w:rPr>
          <w:rFonts w:ascii="Times New Roman" w:hAnsi="Times New Roman" w:eastAsia="方正楷体_GBK" w:cs="Times New Roman"/>
        </w:rPr>
      </w:pPr>
      <w:bookmarkStart w:id="32" w:name="_Toc72399505"/>
      <w:bookmarkStart w:id="33" w:name="_Toc81566734"/>
      <w:r>
        <w:rPr>
          <w:rFonts w:ascii="Times New Roman" w:hAnsi="Times New Roman" w:eastAsia="方正楷体_GBK" w:cs="Times New Roman"/>
        </w:rPr>
        <w:t>（四）总体布局</w:t>
      </w:r>
      <w:bookmarkEnd w:id="32"/>
      <w:bookmarkEnd w:id="33"/>
    </w:p>
    <w:p w14:paraId="534A04F6">
      <w:pPr>
        <w:autoSpaceDE w:val="0"/>
        <w:autoSpaceDN w:val="0"/>
        <w:spacing w:line="600" w:lineRule="exact"/>
        <w:ind w:firstLine="640" w:firstLineChars="200"/>
        <w:jc w:val="left"/>
        <w:rPr>
          <w:rStyle w:val="44"/>
          <w:rFonts w:cs="Times New Roman"/>
          <w:szCs w:val="32"/>
        </w:rPr>
      </w:pPr>
      <w:r>
        <w:rPr>
          <w:rStyle w:val="44"/>
          <w:rFonts w:cs="Times New Roman"/>
          <w:szCs w:val="32"/>
        </w:rPr>
        <w:t>在尊重秦淮区现有自然景观格局和城市发展状况下，以“山、水、城、林”为要素，以重要河道为展现载体，串联自然、人文景观资源，构建“一河三带三片多点”的水空间布局。</w:t>
      </w:r>
    </w:p>
    <w:p w14:paraId="5650CB5A">
      <w:pPr>
        <w:autoSpaceDE w:val="0"/>
        <w:autoSpaceDN w:val="0"/>
        <w:spacing w:line="600" w:lineRule="exact"/>
        <w:ind w:firstLine="640" w:firstLineChars="200"/>
        <w:jc w:val="left"/>
        <w:rPr>
          <w:rStyle w:val="44"/>
          <w:rFonts w:cs="Times New Roman"/>
          <w:szCs w:val="32"/>
        </w:rPr>
      </w:pPr>
      <w:r>
        <w:rPr>
          <w:rStyle w:val="44"/>
          <w:rFonts w:cs="Times New Roman"/>
          <w:szCs w:val="32"/>
        </w:rPr>
        <w:t>一河：指外秦淮河，为全区水系骨干。针对堤防薄弱环节，实施外秦淮河及撇洪沟等支流堤防隐患消险整治工程，配合推进外秦淮河清淤工程实施，筑牢城市安全防线，确保江河安澜，同时打造以滨水空间互动为主要目标的都市休闲带，以生态保护修复为前提的沿河绿色廊道，以特色产业串联带动的外秦淮河生产、生活、生态复合空间水岸客厅。</w:t>
      </w:r>
    </w:p>
    <w:p w14:paraId="46446224">
      <w:pPr>
        <w:autoSpaceDE w:val="0"/>
        <w:autoSpaceDN w:val="0"/>
        <w:spacing w:line="600" w:lineRule="exact"/>
        <w:ind w:firstLine="640" w:firstLineChars="200"/>
        <w:jc w:val="left"/>
        <w:rPr>
          <w:rStyle w:val="44"/>
          <w:rFonts w:cs="Times New Roman"/>
          <w:szCs w:val="32"/>
        </w:rPr>
      </w:pPr>
      <w:r>
        <w:rPr>
          <w:rStyle w:val="44"/>
          <w:rFonts w:cs="Times New Roman"/>
          <w:szCs w:val="32"/>
        </w:rPr>
        <w:t>三带：为月牙湖-内秦淮河历史文脉带、运粮河生态廊道带、机场河-响水河活力水岸带。</w:t>
      </w:r>
    </w:p>
    <w:p w14:paraId="6A8F9D09">
      <w:pPr>
        <w:autoSpaceDE w:val="0"/>
        <w:autoSpaceDN w:val="0"/>
        <w:spacing w:line="600" w:lineRule="exact"/>
        <w:ind w:firstLine="640" w:firstLineChars="200"/>
        <w:jc w:val="left"/>
        <w:rPr>
          <w:rStyle w:val="44"/>
          <w:rFonts w:cs="Times New Roman"/>
          <w:szCs w:val="32"/>
        </w:rPr>
      </w:pPr>
      <w:r>
        <w:rPr>
          <w:rStyle w:val="44"/>
          <w:rFonts w:cs="Times New Roman"/>
          <w:szCs w:val="32"/>
        </w:rPr>
        <w:t>以月牙湖-东南护城河-内秦淮河一线水系为水文化展现舞台，深入挖掘河湖历史文脉，聚力提升水岸环境和文化底蕴，打造月牙湖国家级水利风景区及外秦淮河七里街、内秦淮河等一批美丽河湖示范样板；</w:t>
      </w:r>
    </w:p>
    <w:p w14:paraId="26930615">
      <w:pPr>
        <w:autoSpaceDE w:val="0"/>
        <w:autoSpaceDN w:val="0"/>
        <w:spacing w:line="600" w:lineRule="exact"/>
        <w:ind w:firstLine="640" w:firstLineChars="200"/>
        <w:jc w:val="left"/>
        <w:rPr>
          <w:rStyle w:val="44"/>
          <w:rFonts w:cs="Times New Roman"/>
          <w:szCs w:val="32"/>
        </w:rPr>
      </w:pPr>
      <w:r>
        <w:rPr>
          <w:rStyle w:val="44"/>
          <w:rFonts w:cs="Times New Roman"/>
          <w:szCs w:val="32"/>
        </w:rPr>
        <w:t>结合秦淮东河一期工程实施要求，配合推进运粮河整治改造，以运粮河为轴线，统筹运粮河及两侧支流（永丰河、安江河、友谊河、十字河等）滨河景观提升及七桥瓮湿地公园等沿线生态节点，打造秦淮区东部生态廊道带；</w:t>
      </w:r>
    </w:p>
    <w:p w14:paraId="19BB4BFC">
      <w:pPr>
        <w:autoSpaceDE w:val="0"/>
        <w:autoSpaceDN w:val="0"/>
        <w:spacing w:line="600" w:lineRule="exact"/>
        <w:ind w:firstLine="640" w:firstLineChars="200"/>
        <w:jc w:val="left"/>
        <w:rPr>
          <w:rStyle w:val="44"/>
          <w:rFonts w:cs="Times New Roman"/>
          <w:szCs w:val="32"/>
        </w:rPr>
      </w:pPr>
      <w:r>
        <w:rPr>
          <w:rStyle w:val="44"/>
          <w:rFonts w:cs="Times New Roman"/>
          <w:szCs w:val="32"/>
        </w:rPr>
        <w:t>聚焦南部新城智慧城市建设与滨水生态空间的互动互融，落实海绵城市建设指引，打造具有秦淮传统的水岸空间，构建面向未来的机场河-响水河活力水岸带。</w:t>
      </w:r>
    </w:p>
    <w:p w14:paraId="6BD6C6BE">
      <w:pPr>
        <w:autoSpaceDE w:val="0"/>
        <w:autoSpaceDN w:val="0"/>
        <w:spacing w:line="600" w:lineRule="exact"/>
        <w:ind w:firstLine="640" w:firstLineChars="200"/>
        <w:jc w:val="left"/>
        <w:rPr>
          <w:rStyle w:val="44"/>
          <w:rFonts w:eastAsia="仿宋" w:cs="Times New Roman"/>
          <w:szCs w:val="32"/>
        </w:rPr>
      </w:pPr>
      <w:r>
        <w:rPr>
          <w:rStyle w:val="44"/>
          <w:rFonts w:cs="Times New Roman"/>
          <w:szCs w:val="32"/>
        </w:rPr>
        <w:t>三片：老城片区、山前片区、南部片区，秦淮区独特的地理地貌形成了三个片区独特的水系格局划分。根据各分区特点，统筹安排全区主要行洪河道综合治理，结合城市更新计划</w:t>
      </w:r>
      <w:r>
        <w:rPr>
          <w:rFonts w:cs="Times New Roman"/>
          <w:szCs w:val="32"/>
        </w:rPr>
        <w:t>落实“海绵城市”改造建设，</w:t>
      </w:r>
      <w:r>
        <w:rPr>
          <w:rStyle w:val="44"/>
          <w:rFonts w:cs="Times New Roman"/>
          <w:szCs w:val="32"/>
        </w:rPr>
        <w:t>加强老城片区和山前片区易涝点整治，继续开展污水管网完善建设和雨污水管道清疏修缮工程，探索初期雨水污染治理，持续巩固“消黑消劣”整治成效、持续开展河湖水环境整治。</w:t>
      </w:r>
    </w:p>
    <w:p w14:paraId="057731E5">
      <w:pPr>
        <w:widowControl/>
        <w:jc w:val="left"/>
        <w:rPr>
          <w:rFonts w:eastAsia="宋体" w:cs="Times New Roman"/>
          <w:kern w:val="0"/>
          <w:sz w:val="24"/>
          <w:szCs w:val="24"/>
        </w:rPr>
      </w:pPr>
      <w:r>
        <w:rPr>
          <w:rFonts w:eastAsia="宋体" w:cs="Times New Roman"/>
          <w:kern w:val="0"/>
          <w:sz w:val="24"/>
          <w:szCs w:val="24"/>
        </w:rPr>
        <w:drawing>
          <wp:inline distT="0" distB="0" distL="0" distR="0">
            <wp:extent cx="5307330" cy="3359785"/>
            <wp:effectExtent l="0" t="0" r="7620" b="0"/>
            <wp:docPr id="2" name="图片 2" descr="C:\Users\DELL\AppData\Roaming\Tencent\Users\794007257\TIM\WinTemp\RichOle\5I`S`1Z$62M21I15%ZGQZ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DELL\AppData\Roaming\Tencent\Users\794007257\TIM\WinTemp\RichOle\5I`S`1Z$62M21I15%ZGQZ9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328252" cy="3372909"/>
                    </a:xfrm>
                    <a:prstGeom prst="rect">
                      <a:avLst/>
                    </a:prstGeom>
                    <a:noFill/>
                    <a:ln>
                      <a:noFill/>
                    </a:ln>
                  </pic:spPr>
                </pic:pic>
              </a:graphicData>
            </a:graphic>
          </wp:inline>
        </w:drawing>
      </w:r>
    </w:p>
    <w:p w14:paraId="6706FC70">
      <w:pPr>
        <w:jc w:val="center"/>
        <w:rPr>
          <w:rStyle w:val="44"/>
          <w:rFonts w:eastAsia="方正黑体_GBK" w:cs="Times New Roman"/>
          <w:b/>
          <w:szCs w:val="32"/>
        </w:rPr>
      </w:pPr>
      <w:r>
        <w:rPr>
          <w:rStyle w:val="44"/>
          <w:rFonts w:eastAsia="方正黑体_GBK" w:cs="Times New Roman"/>
          <w:b/>
          <w:szCs w:val="32"/>
        </w:rPr>
        <w:t>秦淮区“十四五”水务发展布局图</w:t>
      </w:r>
    </w:p>
    <w:p w14:paraId="330F41FB">
      <w:pPr>
        <w:pStyle w:val="3"/>
        <w:spacing w:before="0" w:after="0" w:line="600" w:lineRule="exact"/>
        <w:rPr>
          <w:rFonts w:ascii="Times New Roman" w:hAnsi="Times New Roman" w:eastAsia="方正楷体_GBK" w:cs="Times New Roman"/>
        </w:rPr>
      </w:pPr>
      <w:bookmarkStart w:id="34" w:name="_Toc81566735"/>
      <w:bookmarkStart w:id="35" w:name="_Toc72399506"/>
      <w:r>
        <w:rPr>
          <w:rFonts w:ascii="Times New Roman" w:hAnsi="Times New Roman" w:eastAsia="方正楷体_GBK" w:cs="Times New Roman"/>
        </w:rPr>
        <w:t>（五）2035年远景目标</w:t>
      </w:r>
      <w:bookmarkEnd w:id="34"/>
      <w:bookmarkEnd w:id="35"/>
    </w:p>
    <w:p w14:paraId="46034E1A">
      <w:pPr>
        <w:autoSpaceDE w:val="0"/>
        <w:autoSpaceDN w:val="0"/>
        <w:spacing w:line="600" w:lineRule="exact"/>
        <w:ind w:firstLine="640" w:firstLineChars="200"/>
        <w:jc w:val="left"/>
        <w:rPr>
          <w:rFonts w:cs="Times New Roman"/>
          <w:szCs w:val="32"/>
        </w:rPr>
      </w:pPr>
      <w:r>
        <w:rPr>
          <w:rFonts w:cs="Times New Roman"/>
          <w:szCs w:val="32"/>
        </w:rPr>
        <w:t>党的十九届五中全会确立了2035年基本实现社会主义现代化远景目标。根据《中华人民共和国国民经济和社会发展第十四个五年规划和2035年远景目标纲要》和《秦淮区国民经济和社会发展第十四个五年规划和二O三五年远景目标纲要》水务相关内容，结合秦淮区实际情况，提出2035年远景目标展望如下：</w:t>
      </w:r>
    </w:p>
    <w:p w14:paraId="13458143">
      <w:pPr>
        <w:autoSpaceDE w:val="0"/>
        <w:autoSpaceDN w:val="0"/>
        <w:spacing w:line="600" w:lineRule="exact"/>
        <w:ind w:firstLine="640" w:firstLineChars="200"/>
        <w:jc w:val="left"/>
        <w:rPr>
          <w:rFonts w:cs="Times New Roman"/>
          <w:szCs w:val="32"/>
        </w:rPr>
      </w:pPr>
      <w:r>
        <w:rPr>
          <w:rFonts w:cs="Times New Roman"/>
          <w:szCs w:val="32"/>
        </w:rPr>
        <w:t>第一，基本建成体系完整、功能先进、安全高效的水务基础设施网络体系，建成完善的水资源配置和供水保障体系、防洪保障体系，全面建成安全韧性城区；</w:t>
      </w:r>
    </w:p>
    <w:p w14:paraId="01FD9BF6">
      <w:pPr>
        <w:autoSpaceDE w:val="0"/>
        <w:autoSpaceDN w:val="0"/>
        <w:spacing w:line="600" w:lineRule="exact"/>
        <w:ind w:firstLine="640" w:firstLineChars="200"/>
        <w:jc w:val="left"/>
        <w:rPr>
          <w:rFonts w:cs="Times New Roman"/>
          <w:szCs w:val="32"/>
        </w:rPr>
      </w:pPr>
      <w:r>
        <w:rPr>
          <w:rFonts w:cs="Times New Roman"/>
          <w:szCs w:val="32"/>
        </w:rPr>
        <w:t>第二，历史文化优势更加彰显，影响力和美誉度显著增强；城市空间布局、产业布局、公共服务布局进一步优化，绿色生产生活方式蔚然成风，秦淮“水系流域花园”全面建设完成，初步展现“强富美高”新秦淮的现代化图景</w:t>
      </w:r>
      <w:r>
        <w:rPr>
          <w:rFonts w:hint="eastAsia" w:cs="Times New Roman"/>
          <w:szCs w:val="32"/>
        </w:rPr>
        <w:t>。</w:t>
      </w:r>
    </w:p>
    <w:p w14:paraId="6886CA3E">
      <w:pPr>
        <w:rPr>
          <w:rFonts w:eastAsia="方正黑体_GBK" w:cs="Times New Roman"/>
        </w:rPr>
      </w:pPr>
      <w:r>
        <w:rPr>
          <w:rFonts w:eastAsia="方正黑体_GBK" w:cs="Times New Roman"/>
        </w:rPr>
        <w:br w:type="page"/>
      </w:r>
    </w:p>
    <w:p w14:paraId="1580CAAD">
      <w:pPr>
        <w:pStyle w:val="2"/>
        <w:spacing w:before="156" w:beforeLines="50" w:after="156" w:afterLines="50" w:line="600" w:lineRule="atLeast"/>
        <w:jc w:val="center"/>
        <w:rPr>
          <w:rFonts w:eastAsia="方正黑体_GBK"/>
          <w:bCs w:val="0"/>
          <w:sz w:val="30"/>
          <w:szCs w:val="32"/>
        </w:rPr>
      </w:pPr>
      <w:bookmarkStart w:id="36" w:name="_Toc81566736"/>
      <w:r>
        <w:rPr>
          <w:rFonts w:eastAsia="方正黑体_GBK"/>
        </w:rPr>
        <w:t>三、</w:t>
      </w:r>
      <w:r>
        <w:rPr>
          <w:rFonts w:eastAsia="方正黑体_GBK"/>
          <w:bCs w:val="0"/>
          <w:sz w:val="30"/>
          <w:szCs w:val="32"/>
        </w:rPr>
        <w:t>“十四五”水务发展重点任务</w:t>
      </w:r>
      <w:bookmarkEnd w:id="36"/>
    </w:p>
    <w:p w14:paraId="4327C9DC">
      <w:pPr>
        <w:pStyle w:val="26"/>
        <w:spacing w:line="600" w:lineRule="atLeast"/>
        <w:rPr>
          <w:rFonts w:eastAsia="方正楷体_GBK" w:cs="Times New Roman"/>
          <w:sz w:val="32"/>
          <w:szCs w:val="32"/>
        </w:rPr>
      </w:pPr>
      <w:bookmarkStart w:id="37" w:name="_Toc81566737"/>
      <w:bookmarkStart w:id="38" w:name="_Toc447530037"/>
      <w:bookmarkStart w:id="39" w:name="_Toc1093"/>
      <w:bookmarkStart w:id="40" w:name="_Toc9199"/>
      <w:r>
        <w:rPr>
          <w:rFonts w:eastAsia="方正楷体_GBK" w:cs="Times New Roman"/>
          <w:sz w:val="32"/>
          <w:szCs w:val="32"/>
        </w:rPr>
        <w:t>（一）构筑高标准防洪除涝体系，建韧性城市</w:t>
      </w:r>
      <w:bookmarkEnd w:id="37"/>
    </w:p>
    <w:p w14:paraId="189ED5F3">
      <w:pPr>
        <w:spacing w:line="600" w:lineRule="atLeast"/>
        <w:ind w:firstLine="643" w:firstLineChars="200"/>
        <w:rPr>
          <w:rFonts w:cs="Times New Roman"/>
          <w:b/>
          <w:szCs w:val="32"/>
        </w:rPr>
      </w:pPr>
      <w:r>
        <w:rPr>
          <w:rFonts w:cs="Times New Roman"/>
          <w:b/>
          <w:szCs w:val="32"/>
        </w:rPr>
        <w:t>1、筑牢流域区域防洪屏障</w:t>
      </w:r>
    </w:p>
    <w:p w14:paraId="3547BEE0">
      <w:pPr>
        <w:spacing w:line="600" w:lineRule="atLeast"/>
        <w:ind w:firstLine="640" w:firstLineChars="200"/>
        <w:rPr>
          <w:rFonts w:cs="Times New Roman"/>
          <w:szCs w:val="32"/>
        </w:rPr>
      </w:pPr>
      <w:r>
        <w:rPr>
          <w:rFonts w:cs="Times New Roman"/>
          <w:szCs w:val="32"/>
        </w:rPr>
        <w:t>针对堤防薄弱环节，实施秦淮河堤防隐患消险整治工程，进一步保障堤防安全；结合秦淮东河一期工程实施要求，配合推进运粮河整治；实施撇洪沟堤防消险工程，对撇洪沟堤防进一步达标加固，进一步提升区域防洪安保能力；配合推进外秦淮河清淤工程实施。</w:t>
      </w:r>
    </w:p>
    <w:p w14:paraId="3F806354">
      <w:pPr>
        <w:spacing w:line="600" w:lineRule="atLeast"/>
        <w:ind w:firstLine="643" w:firstLineChars="200"/>
        <w:rPr>
          <w:rFonts w:cs="Times New Roman"/>
          <w:b/>
          <w:szCs w:val="32"/>
        </w:rPr>
      </w:pPr>
      <w:r>
        <w:rPr>
          <w:rFonts w:cs="Times New Roman"/>
          <w:b/>
          <w:szCs w:val="32"/>
        </w:rPr>
        <w:t>2、提高内涝防治能力</w:t>
      </w:r>
    </w:p>
    <w:p w14:paraId="1BB258B9">
      <w:pPr>
        <w:spacing w:line="600" w:lineRule="atLeast"/>
        <w:ind w:firstLine="640" w:firstLineChars="200"/>
        <w:rPr>
          <w:rFonts w:cs="Times New Roman"/>
          <w:szCs w:val="32"/>
        </w:rPr>
      </w:pPr>
      <w:r>
        <w:rPr>
          <w:rFonts w:cs="Times New Roman"/>
          <w:szCs w:val="32"/>
        </w:rPr>
        <w:t>统筹安排全区26条主要行洪河道综合治理；实施对百甸、青年河、梅家廊、龙苑等6座老旧排水泵站的改造出新，对全区排涝泵站进行安全鉴定、全面体检，进一步保障城区排涝安全；完善市政道路及小区排水管网系统，加快建成区雨水管网排查整改；按照排水管网清疏要求，每年完成对排水主干管道完成1</w:t>
      </w:r>
      <w:r>
        <w:rPr>
          <w:rFonts w:hint="eastAsia" w:cs="Times New Roman"/>
          <w:szCs w:val="32"/>
        </w:rPr>
        <w:t>至2</w:t>
      </w:r>
      <w:r>
        <w:rPr>
          <w:rFonts w:cs="Times New Roman"/>
          <w:szCs w:val="32"/>
        </w:rPr>
        <w:t>次绞拉，每年完成对雨水检查井、雨水收集井4次清</w:t>
      </w:r>
      <w:r>
        <w:rPr>
          <w:rFonts w:hint="eastAsia" w:cs="Times New Roman"/>
          <w:szCs w:val="32"/>
        </w:rPr>
        <w:t>捞；</w:t>
      </w:r>
      <w:r>
        <w:rPr>
          <w:rFonts w:cs="Times New Roman"/>
          <w:szCs w:val="32"/>
        </w:rPr>
        <w:t>持续改造城区积淹水片区，实施旭光西路、石杨路等一批积淹水改造工程，</w:t>
      </w:r>
      <w:r>
        <w:rPr>
          <w:rFonts w:hint="eastAsia" w:cs="Times New Roman"/>
          <w:szCs w:val="32"/>
        </w:rPr>
        <w:t>进一步解决区域内积淹水突出问题，逐步缓解城市内涝问题，提升城市韧性</w:t>
      </w:r>
      <w:r>
        <w:rPr>
          <w:rFonts w:cs="Times New Roman"/>
          <w:szCs w:val="32"/>
        </w:rPr>
        <w:t>；</w:t>
      </w:r>
      <w:r>
        <w:rPr>
          <w:rFonts w:hint="eastAsia" w:cs="Times New Roman"/>
          <w:szCs w:val="32"/>
        </w:rPr>
        <w:t>完善</w:t>
      </w:r>
      <w:r>
        <w:rPr>
          <w:rFonts w:cs="Times New Roman"/>
          <w:szCs w:val="32"/>
        </w:rPr>
        <w:t>排涝通道</w:t>
      </w:r>
      <w:r>
        <w:rPr>
          <w:rFonts w:hint="eastAsia" w:cs="Times New Roman"/>
          <w:szCs w:val="32"/>
        </w:rPr>
        <w:t>构建</w:t>
      </w:r>
      <w:r>
        <w:rPr>
          <w:rFonts w:cs="Times New Roman"/>
          <w:szCs w:val="32"/>
        </w:rPr>
        <w:t>，因地制宜利用次要道路、绿地、植草沟等构建雨洪行泄通道。实施雨水源头减排工程，积极推动城市建设和更新中落实“渗、滞、蓄、净、用、排”等措施，结合“海绵城市”建设，降低地表径流量及峰值，保证并恢复城市水面率。</w:t>
      </w:r>
    </w:p>
    <w:p w14:paraId="36D591A6">
      <w:pPr>
        <w:spacing w:line="600" w:lineRule="atLeast"/>
        <w:ind w:firstLine="643" w:firstLineChars="200"/>
        <w:rPr>
          <w:rFonts w:cs="Times New Roman"/>
          <w:b/>
          <w:szCs w:val="32"/>
        </w:rPr>
      </w:pPr>
      <w:r>
        <w:rPr>
          <w:rFonts w:cs="Times New Roman"/>
          <w:b/>
          <w:szCs w:val="32"/>
        </w:rPr>
        <w:t>3、科学编制防洪除涝规划方案</w:t>
      </w:r>
    </w:p>
    <w:p w14:paraId="2773F96A">
      <w:pPr>
        <w:spacing w:line="600" w:lineRule="atLeast"/>
        <w:ind w:firstLine="640" w:firstLineChars="200"/>
        <w:rPr>
          <w:rFonts w:cs="Times New Roman"/>
          <w:szCs w:val="32"/>
        </w:rPr>
      </w:pPr>
      <w:r>
        <w:rPr>
          <w:rFonts w:hint="eastAsia" w:cs="Times New Roman"/>
          <w:szCs w:val="32"/>
        </w:rPr>
        <w:t>制定</w:t>
      </w:r>
      <w:r>
        <w:rPr>
          <w:rFonts w:cs="Times New Roman"/>
          <w:szCs w:val="32"/>
        </w:rPr>
        <w:t>完善城市防洪相关河道洪水风险图</w:t>
      </w:r>
      <w:r>
        <w:rPr>
          <w:rFonts w:hint="eastAsia" w:cs="Times New Roman"/>
          <w:szCs w:val="32"/>
        </w:rPr>
        <w:t>、易积易涝点风险图</w:t>
      </w:r>
      <w:r>
        <w:rPr>
          <w:rFonts w:cs="Times New Roman"/>
          <w:szCs w:val="32"/>
        </w:rPr>
        <w:t>，制定</w:t>
      </w:r>
      <w:r>
        <w:rPr>
          <w:rFonts w:hint="eastAsia" w:cs="Times New Roman"/>
          <w:szCs w:val="32"/>
        </w:rPr>
        <w:t>针对</w:t>
      </w:r>
      <w:r>
        <w:rPr>
          <w:rFonts w:cs="Times New Roman"/>
          <w:szCs w:val="32"/>
        </w:rPr>
        <w:t>超标准</w:t>
      </w:r>
      <w:r>
        <w:rPr>
          <w:rFonts w:hint="eastAsia" w:cs="Times New Roman"/>
          <w:szCs w:val="32"/>
        </w:rPr>
        <w:t>降雨、</w:t>
      </w:r>
      <w:r>
        <w:rPr>
          <w:rFonts w:cs="Times New Roman"/>
          <w:szCs w:val="32"/>
        </w:rPr>
        <w:t>洪水</w:t>
      </w:r>
      <w:r>
        <w:rPr>
          <w:rFonts w:hint="eastAsia" w:cs="Times New Roman"/>
          <w:szCs w:val="32"/>
        </w:rPr>
        <w:t>的应对</w:t>
      </w:r>
      <w:r>
        <w:rPr>
          <w:rFonts w:cs="Times New Roman"/>
          <w:szCs w:val="32"/>
        </w:rPr>
        <w:t>预案，进一步加强管理的科学性与前瞻性；完善秦淮</w:t>
      </w:r>
      <w:r>
        <w:rPr>
          <w:rFonts w:hint="eastAsia" w:cs="Times New Roman"/>
          <w:szCs w:val="32"/>
        </w:rPr>
        <w:t>城区</w:t>
      </w:r>
      <w:r>
        <w:rPr>
          <w:rFonts w:cs="Times New Roman"/>
          <w:szCs w:val="32"/>
        </w:rPr>
        <w:t>排水防涝规划，结合本区排涝需求，编制《秦淮区内涝治理系统化实施方案》，适度提高排水管渠建设标准，结合区域工程项目组织实施。</w:t>
      </w:r>
    </w:p>
    <w:p w14:paraId="381E2CA3">
      <w:pPr>
        <w:pStyle w:val="26"/>
        <w:spacing w:line="600" w:lineRule="atLeast"/>
        <w:rPr>
          <w:rFonts w:eastAsia="方正楷体_GBK" w:cs="Times New Roman"/>
          <w:sz w:val="32"/>
          <w:szCs w:val="32"/>
        </w:rPr>
      </w:pPr>
      <w:bookmarkStart w:id="41" w:name="_Toc81566738"/>
      <w:r>
        <w:rPr>
          <w:rFonts w:eastAsia="方正楷体_GBK" w:cs="Times New Roman"/>
          <w:sz w:val="32"/>
          <w:szCs w:val="32"/>
        </w:rPr>
        <w:t>（二）建设高效能</w:t>
      </w:r>
      <w:r>
        <w:rPr>
          <w:rFonts w:hint="eastAsia" w:eastAsia="方正楷体_GBK" w:cs="Times New Roman"/>
          <w:sz w:val="32"/>
          <w:szCs w:val="32"/>
        </w:rPr>
        <w:t>管网</w:t>
      </w:r>
      <w:r>
        <w:rPr>
          <w:rFonts w:eastAsia="方正楷体_GBK" w:cs="Times New Roman"/>
          <w:sz w:val="32"/>
          <w:szCs w:val="32"/>
        </w:rPr>
        <w:t>设施系统，</w:t>
      </w:r>
      <w:r>
        <w:rPr>
          <w:rFonts w:hint="eastAsia" w:eastAsia="方正楷体_GBK" w:cs="Times New Roman"/>
          <w:sz w:val="32"/>
          <w:szCs w:val="32"/>
        </w:rPr>
        <w:t>促全面提升</w:t>
      </w:r>
      <w:bookmarkEnd w:id="41"/>
    </w:p>
    <w:p w14:paraId="5FA11B12">
      <w:pPr>
        <w:spacing w:line="600" w:lineRule="atLeast"/>
        <w:ind w:firstLine="640" w:firstLineChars="200"/>
        <w:rPr>
          <w:rFonts w:cs="Times New Roman"/>
          <w:szCs w:val="32"/>
        </w:rPr>
      </w:pPr>
      <w:r>
        <w:rPr>
          <w:rFonts w:cs="Times New Roman"/>
          <w:szCs w:val="32"/>
        </w:rPr>
        <w:t>继续推进推进控源截污体系建设、推进</w:t>
      </w:r>
      <w:r>
        <w:rPr>
          <w:rFonts w:hint="eastAsia" w:cs="Times New Roman"/>
          <w:szCs w:val="32"/>
        </w:rPr>
        <w:t>城镇污水处理提质增效精准攻坚“333”行动方案</w:t>
      </w:r>
      <w:r>
        <w:rPr>
          <w:rFonts w:cs="Times New Roman"/>
          <w:szCs w:val="32"/>
        </w:rPr>
        <w:t>、以系统性思维积极探索实践 “厂网河”一体化综合治理模式，实现全域污水全覆盖、全收集、全处理，</w:t>
      </w:r>
      <w:r>
        <w:rPr>
          <w:rFonts w:hint="eastAsia" w:cs="Times New Roman"/>
          <w:szCs w:val="32"/>
        </w:rPr>
        <w:t>积极推进雨水管网清疏修缮工程和城市暗涵整治工程</w:t>
      </w:r>
      <w:r>
        <w:rPr>
          <w:rFonts w:cs="Times New Roman"/>
          <w:szCs w:val="32"/>
        </w:rPr>
        <w:t>，筑牢河湖生态屏障。</w:t>
      </w:r>
    </w:p>
    <w:p w14:paraId="0F134135">
      <w:pPr>
        <w:numPr>
          <w:ilvl w:val="0"/>
          <w:numId w:val="1"/>
        </w:numPr>
        <w:spacing w:line="600" w:lineRule="atLeast"/>
        <w:ind w:firstLine="643" w:firstLineChars="200"/>
        <w:rPr>
          <w:rFonts w:cs="Times New Roman"/>
          <w:b/>
          <w:bCs/>
          <w:szCs w:val="32"/>
        </w:rPr>
      </w:pPr>
      <w:r>
        <w:rPr>
          <w:rFonts w:cs="Times New Roman"/>
          <w:b/>
          <w:bCs/>
          <w:szCs w:val="32"/>
        </w:rPr>
        <w:t>积极开展污水管网系统完善建设</w:t>
      </w:r>
    </w:p>
    <w:p w14:paraId="17C2D5B6">
      <w:pPr>
        <w:spacing w:line="600" w:lineRule="atLeast"/>
        <w:ind w:firstLine="640" w:firstLineChars="200"/>
        <w:rPr>
          <w:rFonts w:cs="Times New Roman"/>
          <w:szCs w:val="32"/>
        </w:rPr>
      </w:pPr>
      <w:r>
        <w:rPr>
          <w:rFonts w:cs="Times New Roman"/>
          <w:szCs w:val="32"/>
        </w:rPr>
        <w:t>配合完善和推进污水厂网提质增效工程，完善城市污水收集体系，提升污水收集及处理率，推进饮虹园路、育仁南路等12公里街巷污水管建设；持续推进片区雨污分流清疏修缮，完成汇景家园、汇景和园、银龙五期、内秦淮河流域第五、六、七批、清水塘流域片区雨污水管网清疏修缮；开展沿内秦淮河截流沟改造工程，解决影响内秦淮河水系的最大污染源，实现污水管网的提质增效；推进污泥处置和促进再生水的利用，促进现有污水处理设施高效运行，在稳定发挥分散式净水站作用同时，做好分散式净水站远期功能切换与再利用，削减河道雨季污染负荷及增加河道生态补水。</w:t>
      </w:r>
    </w:p>
    <w:p w14:paraId="5836A0A0">
      <w:pPr>
        <w:numPr>
          <w:ilvl w:val="0"/>
          <w:numId w:val="1"/>
        </w:numPr>
        <w:spacing w:line="600" w:lineRule="atLeast"/>
        <w:ind w:firstLine="643" w:firstLineChars="200"/>
        <w:rPr>
          <w:rFonts w:cs="Times New Roman"/>
          <w:b/>
          <w:bCs/>
          <w:szCs w:val="32"/>
        </w:rPr>
      </w:pPr>
      <w:r>
        <w:rPr>
          <w:rFonts w:cs="Times New Roman"/>
          <w:b/>
          <w:bCs/>
          <w:szCs w:val="32"/>
        </w:rPr>
        <w:t>全面排查清疏雨水主管网</w:t>
      </w:r>
    </w:p>
    <w:p w14:paraId="4515D241">
      <w:pPr>
        <w:spacing w:line="600" w:lineRule="atLeast"/>
        <w:ind w:firstLine="640" w:firstLineChars="200"/>
        <w:rPr>
          <w:rFonts w:cs="Times New Roman"/>
          <w:szCs w:val="32"/>
        </w:rPr>
      </w:pPr>
      <w:r>
        <w:rPr>
          <w:rFonts w:hint="eastAsia" w:cs="Times New Roman"/>
          <w:szCs w:val="32"/>
        </w:rPr>
        <w:t>结合城市暗涵整治及雨水管网清疏专项工作方案要求，对雨水管道进行全面清疏、检测修复、汇交测绘、错接混接纠偏等，形成要素完整、数据精准、数字化集成的排查成果台账，并按河道流域</w:t>
      </w:r>
      <w:r>
        <w:rPr>
          <w:rFonts w:cs="Times New Roman"/>
          <w:szCs w:val="32"/>
        </w:rPr>
        <w:t>追根溯源，</w:t>
      </w:r>
      <w:r>
        <w:rPr>
          <w:rFonts w:hint="eastAsia" w:cs="Times New Roman"/>
          <w:szCs w:val="32"/>
        </w:rPr>
        <w:t>从沿河排口溯源，逐段排查，并</w:t>
      </w:r>
      <w:r>
        <w:rPr>
          <w:rFonts w:cs="Times New Roman"/>
          <w:szCs w:val="32"/>
        </w:rPr>
        <w:t>科学合理处理雨水、污水关系，“一点一策”采取工程措施，逐一解决雨污分流完成后雨水管仍有污水排入的问题；2022年底前完成秦淮河中段流域、汉中路、瑞金路等共491.3公里雨水管网排查检测清疏。</w:t>
      </w:r>
    </w:p>
    <w:p w14:paraId="69B328A1">
      <w:pPr>
        <w:numPr>
          <w:ilvl w:val="0"/>
          <w:numId w:val="1"/>
        </w:numPr>
        <w:spacing w:line="600" w:lineRule="atLeast"/>
        <w:ind w:firstLine="643" w:firstLineChars="200"/>
        <w:rPr>
          <w:rFonts w:cs="Times New Roman"/>
          <w:b/>
          <w:bCs/>
          <w:szCs w:val="32"/>
        </w:rPr>
      </w:pPr>
      <w:r>
        <w:rPr>
          <w:rFonts w:cs="Times New Roman"/>
          <w:b/>
          <w:bCs/>
          <w:szCs w:val="32"/>
        </w:rPr>
        <w:t>积极探索初期雨水污染治理</w:t>
      </w:r>
    </w:p>
    <w:p w14:paraId="3789DD77">
      <w:pPr>
        <w:spacing w:line="600" w:lineRule="atLeast"/>
        <w:ind w:firstLine="640" w:firstLineChars="200"/>
        <w:rPr>
          <w:rFonts w:cs="Times New Roman"/>
          <w:szCs w:val="32"/>
        </w:rPr>
      </w:pPr>
      <w:r>
        <w:rPr>
          <w:rFonts w:cs="Times New Roman"/>
          <w:szCs w:val="32"/>
        </w:rPr>
        <w:t>试点建设应天东街1号雨水调蓄池等设施，对部分暂不具备改造条件的合流制截流系统，采取源头雨水减排、溢流口和截流井改造，建设调蓄设施及分散式污水处理设施等措施，结合日常管养和科学调度，有效管控溢流污染，从源头做好汛期、汛后河道水质保障工作。</w:t>
      </w:r>
    </w:p>
    <w:p w14:paraId="6659FA12">
      <w:pPr>
        <w:numPr>
          <w:ilvl w:val="0"/>
          <w:numId w:val="1"/>
        </w:numPr>
        <w:spacing w:line="600" w:lineRule="atLeast"/>
        <w:ind w:firstLine="643" w:firstLineChars="200"/>
        <w:rPr>
          <w:rFonts w:cs="Times New Roman"/>
          <w:b/>
          <w:bCs/>
          <w:szCs w:val="32"/>
        </w:rPr>
      </w:pPr>
      <w:r>
        <w:rPr>
          <w:rFonts w:cs="Times New Roman"/>
          <w:b/>
          <w:bCs/>
          <w:szCs w:val="32"/>
        </w:rPr>
        <w:t>提升雨污水管网管护水平</w:t>
      </w:r>
    </w:p>
    <w:p w14:paraId="234417D9">
      <w:pPr>
        <w:spacing w:line="600" w:lineRule="atLeast"/>
        <w:ind w:firstLine="640" w:firstLineChars="200"/>
        <w:rPr>
          <w:rFonts w:cs="Times New Roman"/>
          <w:szCs w:val="32"/>
        </w:rPr>
      </w:pPr>
      <w:r>
        <w:rPr>
          <w:rFonts w:cs="Times New Roman"/>
          <w:szCs w:val="32"/>
        </w:rPr>
        <w:t>进一步对地下雨污水管线确权，无主设施明确管养单位和管养职责</w:t>
      </w:r>
      <w:r>
        <w:rPr>
          <w:rFonts w:hint="eastAsia" w:cs="Times New Roman"/>
          <w:szCs w:val="32"/>
        </w:rPr>
        <w:t>，</w:t>
      </w:r>
      <w:r>
        <w:rPr>
          <w:rFonts w:cs="Times New Roman"/>
          <w:szCs w:val="32"/>
        </w:rPr>
        <w:t>形成数据完整、要素齐全、权属明晰的数字档案，每段市政雨水管网设立专用编号；参照全市水务设施管养标准，明确管网养护标准，</w:t>
      </w:r>
      <w:r>
        <w:rPr>
          <w:rFonts w:hint="eastAsia" w:cs="Times New Roman"/>
          <w:szCs w:val="32"/>
        </w:rPr>
        <w:t>切实提高管养经费的使用效率；进一步完善考核评价体系，结合专业评价和社会评价，结果和过程兼顾，切实健全养护责任压力传导体系，做到奖优罚劣</w:t>
      </w:r>
      <w:r>
        <w:rPr>
          <w:rFonts w:cs="Times New Roman"/>
          <w:szCs w:val="32"/>
        </w:rPr>
        <w:t>。</w:t>
      </w:r>
    </w:p>
    <w:p w14:paraId="64296520">
      <w:pPr>
        <w:spacing w:line="600" w:lineRule="atLeast"/>
        <w:ind w:firstLine="643" w:firstLineChars="200"/>
        <w:rPr>
          <w:rFonts w:cs="Times New Roman"/>
          <w:b/>
          <w:bCs/>
          <w:szCs w:val="32"/>
        </w:rPr>
      </w:pPr>
      <w:r>
        <w:rPr>
          <w:rFonts w:cs="Times New Roman"/>
          <w:b/>
          <w:bCs/>
          <w:szCs w:val="32"/>
        </w:rPr>
        <w:t>5、推进现有</w:t>
      </w:r>
      <w:r>
        <w:rPr>
          <w:rFonts w:hint="eastAsia" w:cs="Times New Roman"/>
          <w:b/>
          <w:bCs/>
          <w:szCs w:val="32"/>
        </w:rPr>
        <w:t>排水</w:t>
      </w:r>
      <w:r>
        <w:rPr>
          <w:rFonts w:cs="Times New Roman"/>
          <w:b/>
          <w:bCs/>
          <w:szCs w:val="32"/>
        </w:rPr>
        <w:t>设施提档升级</w:t>
      </w:r>
    </w:p>
    <w:p w14:paraId="615A3AB9">
      <w:pPr>
        <w:spacing w:line="600" w:lineRule="atLeast"/>
        <w:ind w:firstLine="640" w:firstLineChars="200"/>
        <w:rPr>
          <w:rFonts w:cs="Times New Roman"/>
          <w:szCs w:val="32"/>
        </w:rPr>
      </w:pPr>
      <w:r>
        <w:rPr>
          <w:rFonts w:cs="Times New Roman"/>
          <w:szCs w:val="32"/>
        </w:rPr>
        <w:t>结合周边城市风貌设计，城市安全需求，推进水质净化站、泵站、水闸、污泥无害化处理等现有设施安全提标及景观化提升，实现水务设施与城市景观的融合；完成红旗泵站、白甸泵站等13个泵站、水闸改造修缮；管网新建及改造项目中积极落实海绵城市理念，推动老城区排水管网设计标准提升及管材优化改造。</w:t>
      </w:r>
    </w:p>
    <w:p w14:paraId="7D3E1DAE">
      <w:pPr>
        <w:spacing w:line="600" w:lineRule="atLeast"/>
        <w:ind w:firstLine="643" w:firstLineChars="200"/>
        <w:rPr>
          <w:rFonts w:cs="Times New Roman"/>
          <w:b/>
          <w:bCs/>
          <w:szCs w:val="32"/>
        </w:rPr>
      </w:pPr>
      <w:r>
        <w:rPr>
          <w:rFonts w:hint="eastAsia" w:cs="Times New Roman"/>
          <w:b/>
          <w:bCs/>
          <w:szCs w:val="32"/>
        </w:rPr>
        <w:t>6、逐步做好新增设施移交工作</w:t>
      </w:r>
    </w:p>
    <w:p w14:paraId="7A42409F">
      <w:pPr>
        <w:spacing w:line="600" w:lineRule="atLeast"/>
        <w:ind w:firstLine="640" w:firstLineChars="200"/>
        <w:rPr>
          <w:rFonts w:cs="Times New Roman"/>
          <w:szCs w:val="32"/>
        </w:rPr>
      </w:pPr>
      <w:r>
        <w:rPr>
          <w:rFonts w:hint="eastAsia" w:cs="Times New Roman"/>
          <w:szCs w:val="32"/>
        </w:rPr>
        <w:t>根据新形势下水务管理的要求和需要，做好新建截流设施、片区雨污水设施、未纳入管养管网和泵站水闸的验收移交工作，打通移交渠道，明确移交主体、移交程序、养护整改、经费保障等，做好新移交接收的高新园区及南部新城区域的排水管网管养工作；同时明确相关标准，严格把关，决不带隐患和缺陷移交，坚持移交一处、纳入管养一处，管养一处、群众满意一处的工作原则。</w:t>
      </w:r>
    </w:p>
    <w:p w14:paraId="70A5085F">
      <w:pPr>
        <w:pStyle w:val="26"/>
        <w:spacing w:line="600" w:lineRule="atLeast"/>
        <w:rPr>
          <w:rFonts w:eastAsia="方正楷体_GBK" w:cs="Times New Roman"/>
          <w:sz w:val="32"/>
          <w:szCs w:val="32"/>
        </w:rPr>
      </w:pPr>
      <w:bookmarkStart w:id="42" w:name="_Toc23587"/>
      <w:bookmarkStart w:id="43" w:name="_Toc447530042"/>
      <w:bookmarkStart w:id="44" w:name="_Toc452064053"/>
      <w:bookmarkStart w:id="45" w:name="_Toc19263"/>
      <w:bookmarkStart w:id="46" w:name="_Toc3346"/>
      <w:bookmarkStart w:id="47" w:name="_Toc81566739"/>
      <w:r>
        <w:rPr>
          <w:rFonts w:eastAsia="方正楷体_GBK" w:cs="Times New Roman"/>
          <w:sz w:val="32"/>
          <w:szCs w:val="32"/>
        </w:rPr>
        <w:t>（三）</w:t>
      </w:r>
      <w:bookmarkEnd w:id="42"/>
      <w:bookmarkEnd w:id="43"/>
      <w:bookmarkEnd w:id="44"/>
      <w:bookmarkEnd w:id="45"/>
      <w:bookmarkEnd w:id="46"/>
      <w:r>
        <w:rPr>
          <w:rFonts w:eastAsia="方正楷体_GBK" w:cs="Times New Roman"/>
          <w:sz w:val="32"/>
          <w:szCs w:val="32"/>
        </w:rPr>
        <w:t>构建高要求水资源管理体系，保优质高效</w:t>
      </w:r>
      <w:bookmarkEnd w:id="47"/>
    </w:p>
    <w:p w14:paraId="2404625D">
      <w:pPr>
        <w:spacing w:line="600" w:lineRule="atLeast"/>
        <w:ind w:firstLine="643" w:firstLineChars="200"/>
        <w:rPr>
          <w:rFonts w:cs="Times New Roman"/>
          <w:b/>
          <w:szCs w:val="32"/>
        </w:rPr>
      </w:pPr>
      <w:r>
        <w:rPr>
          <w:rFonts w:cs="Times New Roman"/>
          <w:b/>
          <w:szCs w:val="32"/>
        </w:rPr>
        <w:t>1、加强水资源配置管理</w:t>
      </w:r>
    </w:p>
    <w:p w14:paraId="174715EA">
      <w:pPr>
        <w:spacing w:line="600" w:lineRule="atLeast"/>
        <w:ind w:firstLine="640" w:firstLineChars="200"/>
        <w:rPr>
          <w:rFonts w:cs="Times New Roman"/>
          <w:szCs w:val="32"/>
        </w:rPr>
      </w:pPr>
      <w:r>
        <w:rPr>
          <w:rFonts w:cs="Times New Roman"/>
          <w:szCs w:val="32"/>
        </w:rPr>
        <w:t>严格用水总量控制，强化“三条红线”约束，强化用水总量和强度双控，推进精确配水、精细用水、精简排水。在市级下达的用水总量控制目标的基础上，制定区取水总量控制指标，依法对本行政区域内的年度用水实行总量管理。至2025年，全区用水总量≤1.00(亿m</w:t>
      </w:r>
      <w:r>
        <w:rPr>
          <w:rFonts w:cs="Times New Roman"/>
          <w:szCs w:val="32"/>
          <w:vertAlign w:val="superscript"/>
        </w:rPr>
        <w:t>3</w:t>
      </w:r>
      <w:r>
        <w:rPr>
          <w:rFonts w:cs="Times New Roman"/>
          <w:szCs w:val="32"/>
        </w:rPr>
        <w:t>)。进一步完善最严格水资源管理制度监督考核体系，促进水资源节约保护和可持续利用。</w:t>
      </w:r>
    </w:p>
    <w:p w14:paraId="1ACFC276">
      <w:pPr>
        <w:spacing w:line="600" w:lineRule="atLeast"/>
        <w:ind w:firstLine="640" w:firstLineChars="200"/>
        <w:rPr>
          <w:rFonts w:cs="Times New Roman"/>
          <w:szCs w:val="32"/>
        </w:rPr>
      </w:pPr>
      <w:r>
        <w:rPr>
          <w:rFonts w:cs="Times New Roman"/>
          <w:szCs w:val="32"/>
        </w:rPr>
        <w:t>加强非常规水资源利用。继续推进雨水回用系统</w:t>
      </w:r>
      <w:r>
        <w:rPr>
          <w:rFonts w:hint="eastAsia" w:cs="Times New Roman"/>
          <w:szCs w:val="32"/>
        </w:rPr>
        <w:t>建设</w:t>
      </w:r>
      <w:r>
        <w:rPr>
          <w:rFonts w:cs="Times New Roman"/>
          <w:szCs w:val="32"/>
        </w:rPr>
        <w:t>，引导雨水积蓄用于生态补水恢复河道水体流量，及小区内绿化浇撒。</w:t>
      </w:r>
    </w:p>
    <w:p w14:paraId="32B0EEED">
      <w:pPr>
        <w:spacing w:line="600" w:lineRule="atLeast"/>
        <w:ind w:firstLine="640" w:firstLineChars="200"/>
        <w:rPr>
          <w:rFonts w:cs="Times New Roman"/>
          <w:szCs w:val="32"/>
        </w:rPr>
      </w:pPr>
      <w:r>
        <w:rPr>
          <w:rFonts w:cs="Times New Roman"/>
          <w:szCs w:val="32"/>
        </w:rPr>
        <w:t>继续推进污水处理厂尾水再生利用工程。结合城乡污水处理系统建设，配合市级推进污水处理厂尾水再生利用系统建设，实现污水处理厂尾水深度处理后回用，重点用于城市绿地浇洒、河道生态补水、道路冲洗以及一部分工业用水，提高污水处理厂尾水再生利用率，至2025年，城镇污水处理厂尾水再生水利用率≥</w:t>
      </w:r>
      <w:r>
        <w:rPr>
          <w:rFonts w:hint="eastAsia" w:cs="Times New Roman"/>
          <w:szCs w:val="32"/>
        </w:rPr>
        <w:t>25</w:t>
      </w:r>
      <w:r>
        <w:rPr>
          <w:rFonts w:cs="Times New Roman"/>
          <w:szCs w:val="32"/>
        </w:rPr>
        <w:t>%。</w:t>
      </w:r>
    </w:p>
    <w:p w14:paraId="57D93DB1">
      <w:pPr>
        <w:spacing w:line="600" w:lineRule="atLeast"/>
        <w:ind w:firstLine="640" w:firstLineChars="200"/>
        <w:rPr>
          <w:rFonts w:cs="Times New Roman"/>
          <w:szCs w:val="32"/>
        </w:rPr>
      </w:pPr>
      <w:r>
        <w:rPr>
          <w:rFonts w:cs="Times New Roman"/>
          <w:szCs w:val="32"/>
        </w:rPr>
        <w:t>加强水资源论证工作。把水资源管理红线指标作为水资源论证的前置条件。严格用水水平、节水工艺、废污水排放等方面的分析论证，明确取用水准入标准，强化报告书预审、审查工作。对不符合国家产业政策和水资源管理要求的建设项目，其水资源论证报告书一律不得批准；对未依法完成水资源论证工作的建设项目，政府投资主管部门不予批准，建设单位不得擅自开工建设和投产使用，对违反规定的，一律责令停止。</w:t>
      </w:r>
    </w:p>
    <w:p w14:paraId="65EF7B88">
      <w:pPr>
        <w:spacing w:line="600" w:lineRule="atLeast"/>
        <w:ind w:firstLine="643" w:firstLineChars="200"/>
        <w:rPr>
          <w:rFonts w:cs="Times New Roman"/>
          <w:b/>
          <w:szCs w:val="32"/>
        </w:rPr>
      </w:pPr>
      <w:r>
        <w:rPr>
          <w:rFonts w:cs="Times New Roman"/>
          <w:b/>
          <w:szCs w:val="32"/>
        </w:rPr>
        <w:t>2、推进节水型社会建设</w:t>
      </w:r>
    </w:p>
    <w:p w14:paraId="37995B05">
      <w:pPr>
        <w:spacing w:line="600" w:lineRule="atLeast"/>
        <w:ind w:firstLine="640" w:firstLineChars="200"/>
        <w:rPr>
          <w:rFonts w:cs="Times New Roman"/>
          <w:szCs w:val="32"/>
        </w:rPr>
      </w:pPr>
      <w:r>
        <w:rPr>
          <w:rFonts w:cs="Times New Roman"/>
          <w:szCs w:val="32"/>
        </w:rPr>
        <w:t>落实“节水即治污”理念，严格用水效率控制红线管理。完善行政区域用水效率考核体系和区域及重点工业行业、服务业用水效率控制标准和考核办法，严格用水定额管理，继续加强节水考核。严格执行节水“三同时”制度，落实建设项目节水设施“三同时”实施细则，对于新、改、扩建项目需要取用水的，要求制定节水方案，进行节水评估，配套建设节水设施。至2025年，万元GDP用水量较2020年下降20%。</w:t>
      </w:r>
    </w:p>
    <w:p w14:paraId="07EF6166">
      <w:pPr>
        <w:spacing w:line="600" w:lineRule="atLeast"/>
        <w:ind w:firstLine="640" w:firstLineChars="200"/>
        <w:rPr>
          <w:rFonts w:cs="Times New Roman"/>
          <w:szCs w:val="32"/>
        </w:rPr>
      </w:pPr>
      <w:r>
        <w:rPr>
          <w:rFonts w:cs="Times New Roman"/>
          <w:szCs w:val="32"/>
        </w:rPr>
        <w:t>进一步推进全区用水效率提升。鼓励工业企业、公共用水机构、高耗水服务业企业进行节水技术改造。因地制宜配套建设雨水集蓄利用设施，提高雨水资源利用水平。</w:t>
      </w:r>
    </w:p>
    <w:p w14:paraId="1EE94F96">
      <w:pPr>
        <w:spacing w:line="600" w:lineRule="atLeast"/>
        <w:ind w:firstLine="640" w:firstLineChars="200"/>
        <w:rPr>
          <w:rFonts w:cs="Times New Roman"/>
          <w:szCs w:val="32"/>
        </w:rPr>
      </w:pPr>
      <w:r>
        <w:rPr>
          <w:rFonts w:cs="Times New Roman"/>
          <w:szCs w:val="32"/>
        </w:rPr>
        <w:t>建立健全有利于节约用水的体制机制，开展对水权制度的研究，培育和发展水市场；开展对节水机制的研究，建立一套有效的节水法律法规、行政管理、经济技术政策和宣传教育体系；开展节水优先为基础的水资源刚性约束机制研究，形成政府和市场共同调控的节水机制；至2025年秦淮区创建国家级县域节水型社会达标，助力市级2021年通过国家节水型城市复查考核。</w:t>
      </w:r>
    </w:p>
    <w:p w14:paraId="2F154959">
      <w:pPr>
        <w:pStyle w:val="26"/>
        <w:spacing w:line="600" w:lineRule="atLeast"/>
        <w:rPr>
          <w:rFonts w:eastAsia="方正楷体_GBK" w:cs="Times New Roman"/>
          <w:sz w:val="32"/>
          <w:szCs w:val="32"/>
        </w:rPr>
      </w:pPr>
      <w:bookmarkStart w:id="48" w:name="_Toc81566740"/>
      <w:r>
        <w:rPr>
          <w:rFonts w:eastAsia="方正楷体_GBK" w:cs="Times New Roman"/>
          <w:sz w:val="32"/>
          <w:szCs w:val="32"/>
        </w:rPr>
        <w:t>（四）打造高质量水环境生态集成，</w:t>
      </w:r>
      <w:r>
        <w:rPr>
          <w:rFonts w:hint="eastAsia" w:eastAsia="方正楷体_GBK" w:cs="Times New Roman"/>
          <w:sz w:val="32"/>
          <w:szCs w:val="32"/>
        </w:rPr>
        <w:t>守长制久清</w:t>
      </w:r>
      <w:bookmarkEnd w:id="48"/>
    </w:p>
    <w:p w14:paraId="19A005DB">
      <w:pPr>
        <w:spacing w:line="600" w:lineRule="atLeast"/>
        <w:ind w:firstLine="643" w:firstLineChars="200"/>
        <w:rPr>
          <w:rFonts w:cs="Times New Roman"/>
          <w:b/>
          <w:szCs w:val="32"/>
        </w:rPr>
      </w:pPr>
      <w:r>
        <w:rPr>
          <w:rFonts w:cs="Times New Roman"/>
          <w:b/>
          <w:szCs w:val="32"/>
        </w:rPr>
        <w:t>1、持续巩固“消黑消劣”整治成效</w:t>
      </w:r>
    </w:p>
    <w:p w14:paraId="57F19975">
      <w:pPr>
        <w:spacing w:line="600" w:lineRule="atLeast"/>
        <w:ind w:firstLine="640" w:firstLineChars="200"/>
        <w:rPr>
          <w:rFonts w:cs="Times New Roman"/>
          <w:szCs w:val="32"/>
        </w:rPr>
      </w:pPr>
      <w:r>
        <w:rPr>
          <w:rFonts w:cs="Times New Roman"/>
          <w:szCs w:val="32"/>
        </w:rPr>
        <w:t>突出河湖水体水质保持和巩固提升导向，进一步完善河道水环境长效管理工作机制，积极推动市场化、专业化运维管理，落实管护资金，明确管护责任，细化管护目标，强化日常维护监管；严格管控入河污染源，确保无污水直排，并积极削减面源污染。同时，利用无人机等先进手段进行高效巡查，加大河道日常养护监督考核覆盖范围与通报力度，督促长效管理落实，持续改善河湖水环境质量。</w:t>
      </w:r>
    </w:p>
    <w:p w14:paraId="2B9C85CA">
      <w:pPr>
        <w:spacing w:line="600" w:lineRule="atLeast"/>
        <w:ind w:firstLine="643" w:firstLineChars="200"/>
        <w:rPr>
          <w:rFonts w:cs="Times New Roman"/>
          <w:b/>
          <w:szCs w:val="32"/>
        </w:rPr>
      </w:pPr>
      <w:r>
        <w:rPr>
          <w:rFonts w:cs="Times New Roman"/>
          <w:b/>
          <w:szCs w:val="32"/>
        </w:rPr>
        <w:t>2、持续开展河湖水环境整治</w:t>
      </w:r>
    </w:p>
    <w:p w14:paraId="2C6B85BB">
      <w:pPr>
        <w:spacing w:line="600" w:lineRule="atLeast"/>
        <w:ind w:firstLine="640" w:firstLineChars="200"/>
        <w:rPr>
          <w:rFonts w:cs="Times New Roman"/>
          <w:szCs w:val="32"/>
        </w:rPr>
      </w:pPr>
      <w:r>
        <w:rPr>
          <w:rFonts w:cs="Times New Roman"/>
          <w:szCs w:val="32"/>
        </w:rPr>
        <w:t>抓紧实施一批重难点河道整治，配合推进外秦淮河清淤河道整治工程，统筹推进、加快完成青年河北段等河道水环境提升工程，持续修复水生态、打造景观、改善水环境，构建“水质向好、良性循环”的水生态体系；系统开展城市暗涵整治，实施东玉带河、金水河、卫桥沟、明御河暗涵段、白下路圣明桥暗涵整治工程，实现涵内整洁、污水纳管、清水出涵；积极配合推进明外郭-秦淮新河百里风光带（秦淮段）环境综合整治二期工程、南部新城河头地区、蒋家街郑家营整体地块水系调整改造。</w:t>
      </w:r>
    </w:p>
    <w:p w14:paraId="6507FA23">
      <w:pPr>
        <w:spacing w:line="600" w:lineRule="atLeast"/>
        <w:ind w:firstLine="643" w:firstLineChars="200"/>
        <w:rPr>
          <w:rFonts w:cs="Times New Roman"/>
          <w:b/>
          <w:szCs w:val="32"/>
        </w:rPr>
      </w:pPr>
      <w:r>
        <w:rPr>
          <w:rFonts w:cs="Times New Roman"/>
          <w:b/>
          <w:szCs w:val="32"/>
        </w:rPr>
        <w:t>3、打造美丽</w:t>
      </w:r>
      <w:r>
        <w:rPr>
          <w:rFonts w:hint="eastAsia" w:cs="Times New Roman"/>
          <w:b/>
          <w:szCs w:val="32"/>
        </w:rPr>
        <w:t>幸福</w:t>
      </w:r>
      <w:r>
        <w:rPr>
          <w:rFonts w:cs="Times New Roman"/>
          <w:b/>
          <w:szCs w:val="32"/>
        </w:rPr>
        <w:t>河湖秦淮样板</w:t>
      </w:r>
    </w:p>
    <w:p w14:paraId="5D538896">
      <w:pPr>
        <w:spacing w:line="600" w:lineRule="atLeast"/>
        <w:ind w:firstLine="640" w:firstLineChars="200"/>
        <w:rPr>
          <w:rFonts w:cs="Times New Roman"/>
          <w:szCs w:val="32"/>
        </w:rPr>
      </w:pPr>
      <w:r>
        <w:rPr>
          <w:rFonts w:cs="Times New Roman"/>
          <w:color w:val="000000" w:themeColor="text1"/>
          <w:szCs w:val="32"/>
          <w14:textFill>
            <w14:solidFill>
              <w14:schemeClr w14:val="tx1"/>
            </w14:solidFill>
          </w14:textFill>
        </w:rPr>
        <w:t>依据</w:t>
      </w:r>
      <w:r>
        <w:rPr>
          <w:rFonts w:hint="eastAsia" w:cs="Times New Roman"/>
          <w:color w:val="000000" w:themeColor="text1"/>
          <w:szCs w:val="32"/>
          <w14:textFill>
            <w14:solidFill>
              <w14:schemeClr w14:val="tx1"/>
            </w14:solidFill>
          </w14:textFill>
        </w:rPr>
        <w:t>《南京市</w:t>
      </w:r>
      <w:r>
        <w:rPr>
          <w:rFonts w:cs="Times New Roman"/>
          <w:color w:val="000000" w:themeColor="text1"/>
          <w:szCs w:val="32"/>
          <w14:textFill>
            <w14:solidFill>
              <w14:schemeClr w14:val="tx1"/>
            </w14:solidFill>
          </w14:textFill>
        </w:rPr>
        <w:t>美丽河湖建设行动计划</w:t>
      </w:r>
      <w:r>
        <w:rPr>
          <w:rFonts w:hint="eastAsia" w:cs="Times New Roman"/>
          <w:color w:val="000000" w:themeColor="text1"/>
          <w:szCs w:val="32"/>
          <w14:textFill>
            <w14:solidFill>
              <w14:schemeClr w14:val="tx1"/>
            </w14:solidFill>
          </w14:textFill>
        </w:rPr>
        <w:t>（2021-2023）》</w:t>
      </w:r>
      <w:r>
        <w:rPr>
          <w:rFonts w:cs="Times New Roman"/>
          <w:color w:val="000000" w:themeColor="text1"/>
          <w:szCs w:val="32"/>
          <w14:textFill>
            <w14:solidFill>
              <w14:schemeClr w14:val="tx1"/>
            </w14:solidFill>
          </w14:textFill>
        </w:rPr>
        <w:t>，统筹防洪治理、水环境整治提升、水生态修复、河湖岸线整治、水系连通等项目资源，根据秦淮区河道自然资源禀赋和人文景观特色，突出安全、生态、美丽要求，因地制宜、分类施策，推进防洪治理、岸线改造和蓝线内景观提档升级，构建“岸绿景美、亲水宜居”的水环境体系，贯通外秦淮河、运粮河、月牙湖-东南护城河三条生态廊道；因地制宜推进环河湖景观通道贯通，推进河道岸坡立体增绿、增亮、增彩工程，建成多层次、大绿量、高标准的沿河步道，亲水步道，建设人水和谐的健康平台，重点打造月牙湖、外秦淮河七里街等一批美丽</w:t>
      </w:r>
      <w:r>
        <w:rPr>
          <w:rFonts w:hint="eastAsia" w:cs="Times New Roman"/>
          <w:color w:val="000000" w:themeColor="text1"/>
          <w:szCs w:val="32"/>
          <w14:textFill>
            <w14:solidFill>
              <w14:schemeClr w14:val="tx1"/>
            </w14:solidFill>
          </w14:textFill>
        </w:rPr>
        <w:t>幸福</w:t>
      </w:r>
      <w:r>
        <w:rPr>
          <w:rFonts w:cs="Times New Roman"/>
          <w:color w:val="000000" w:themeColor="text1"/>
          <w:szCs w:val="32"/>
          <w14:textFill>
            <w14:solidFill>
              <w14:schemeClr w14:val="tx1"/>
            </w14:solidFill>
          </w14:textFill>
        </w:rPr>
        <w:t>河湖样板和示范工程。</w:t>
      </w:r>
    </w:p>
    <w:p w14:paraId="7C073B7F">
      <w:pPr>
        <w:spacing w:line="600" w:lineRule="atLeast"/>
        <w:ind w:firstLine="643" w:firstLineChars="200"/>
        <w:rPr>
          <w:rFonts w:cs="Times New Roman"/>
          <w:b/>
          <w:szCs w:val="32"/>
        </w:rPr>
      </w:pPr>
      <w:r>
        <w:rPr>
          <w:rFonts w:cs="Times New Roman"/>
          <w:b/>
          <w:szCs w:val="32"/>
        </w:rPr>
        <w:t>4、着力强化水生态治理修复工程</w:t>
      </w:r>
    </w:p>
    <w:p w14:paraId="522FD489">
      <w:pPr>
        <w:spacing w:line="600" w:lineRule="atLeast"/>
        <w:ind w:firstLine="640" w:firstLineChars="200"/>
        <w:rPr>
          <w:rFonts w:cs="Times New Roman"/>
          <w:szCs w:val="32"/>
        </w:rPr>
      </w:pPr>
      <w:r>
        <w:rPr>
          <w:rFonts w:cs="Times New Roman"/>
          <w:szCs w:val="32"/>
        </w:rPr>
        <w:t>统筹实施秦淮河、月牙湖等重点河湖生态修复治理，结合海绵城市建设，开展以水源涵养、岸边带保护、河道生态清淤、河湖湿地为主要内容的河道水生态修复工程，推动河湖水质、水体感官质量进一步提升，打造有鱼有草、人水和谐的河湖生态环境。</w:t>
      </w:r>
    </w:p>
    <w:p w14:paraId="481762DC">
      <w:pPr>
        <w:spacing w:line="600" w:lineRule="atLeast"/>
        <w:ind w:firstLine="643" w:firstLineChars="200"/>
        <w:rPr>
          <w:rFonts w:cs="Times New Roman"/>
          <w:b/>
          <w:szCs w:val="32"/>
        </w:rPr>
      </w:pPr>
      <w:r>
        <w:rPr>
          <w:rFonts w:cs="Times New Roman"/>
          <w:b/>
          <w:szCs w:val="32"/>
        </w:rPr>
        <w:t>5、实施活水保质、畅流连通工程</w:t>
      </w:r>
    </w:p>
    <w:p w14:paraId="48921C07">
      <w:pPr>
        <w:spacing w:line="600" w:lineRule="atLeast"/>
        <w:ind w:firstLine="640" w:firstLineChars="200"/>
        <w:rPr>
          <w:rFonts w:cs="Times New Roman"/>
          <w:szCs w:val="32"/>
        </w:rPr>
      </w:pPr>
      <w:r>
        <w:rPr>
          <w:rFonts w:cs="Times New Roman"/>
          <w:szCs w:val="32"/>
        </w:rPr>
        <w:t>结合城市总体规划、国土空间规划、水务基础设施空间布局规划，优化完善河网水系布局，推动域空间修补增，实施畅流连通工程。进一步围绕清水塘、月牙湖、外秦淮河湿地为中心，协调好引调水、生态蓄水与防汛排涝的关系，合理控制河湖生态水位，保障河湖生态流量，科学有效调度分配优质水源，与紫东片区同步谋划、协同推进全区水系连通激活，恢复小微水体功能；</w:t>
      </w:r>
    </w:p>
    <w:p w14:paraId="5E99DFDF">
      <w:pPr>
        <w:spacing w:line="600" w:lineRule="atLeast"/>
        <w:ind w:firstLine="640" w:firstLineChars="200"/>
        <w:rPr>
          <w:rFonts w:cs="Times New Roman"/>
          <w:szCs w:val="32"/>
        </w:rPr>
      </w:pPr>
      <w:r>
        <w:rPr>
          <w:rFonts w:cs="Times New Roman"/>
          <w:szCs w:val="32"/>
        </w:rPr>
        <w:t>精准调度全域引补水体系，在巩固三湖六河现有水质水生态环境基础上，精准实施内秦淮河南段中段的引补水，推进南部新城水系大循环引补水，通过响水河泵站、翁家营泵站联调联试，形成“引得进、排得出、流得动”的水系内循环，根据生态流量要求，保障区域河道换水周期及引水规模，强化汛中、汛后调度管控，确保各断面水质达标。</w:t>
      </w:r>
    </w:p>
    <w:p w14:paraId="4620A439">
      <w:pPr>
        <w:spacing w:line="600" w:lineRule="atLeast"/>
        <w:ind w:firstLine="643" w:firstLineChars="200"/>
        <w:rPr>
          <w:rFonts w:cs="Times New Roman"/>
          <w:b/>
          <w:szCs w:val="28"/>
        </w:rPr>
      </w:pPr>
      <w:r>
        <w:rPr>
          <w:rFonts w:cs="Times New Roman"/>
          <w:b/>
          <w:szCs w:val="28"/>
        </w:rPr>
        <w:t>6、全面完成秦淮区生态河湖评估工作</w:t>
      </w:r>
    </w:p>
    <w:p w14:paraId="1743273B">
      <w:pPr>
        <w:spacing w:line="600" w:lineRule="atLeast"/>
        <w:ind w:firstLine="640" w:firstLineChars="200"/>
        <w:rPr>
          <w:rFonts w:cs="Times New Roman"/>
          <w:szCs w:val="28"/>
        </w:rPr>
      </w:pPr>
      <w:r>
        <w:rPr>
          <w:rFonts w:cs="Times New Roman"/>
          <w:szCs w:val="28"/>
        </w:rPr>
        <w:t>落实《江苏省生态河湖状况评价规范》、《南京市生态河湖行动计划》要求，系统梳理全区河道健康评估指标，构建健康评估体系，2022年以前完成白鹭洲公园、友谊河</w:t>
      </w:r>
      <w:r>
        <w:rPr>
          <w:rFonts w:hint="eastAsia" w:cs="Times New Roman"/>
          <w:szCs w:val="28"/>
        </w:rPr>
        <w:t>、十字河、青年河</w:t>
      </w:r>
      <w:r>
        <w:rPr>
          <w:rFonts w:cs="Times New Roman"/>
          <w:szCs w:val="28"/>
        </w:rPr>
        <w:t>等12条河湖健康评估，2025年以前全面完成主要河湖的评估工作。</w:t>
      </w:r>
    </w:p>
    <w:p w14:paraId="08ED26F5">
      <w:pPr>
        <w:pStyle w:val="26"/>
        <w:spacing w:line="600" w:lineRule="atLeast"/>
        <w:rPr>
          <w:rFonts w:eastAsia="方正楷体_GBK" w:cs="Times New Roman"/>
          <w:sz w:val="32"/>
          <w:szCs w:val="32"/>
        </w:rPr>
      </w:pPr>
      <w:bookmarkStart w:id="49" w:name="_Toc81566741"/>
      <w:r>
        <w:rPr>
          <w:rFonts w:eastAsia="方正楷体_GBK" w:cs="Times New Roman"/>
          <w:sz w:val="32"/>
          <w:szCs w:val="32"/>
        </w:rPr>
        <w:t>（五）塑造高品质文旅融合水名片，颂风雅秦淮</w:t>
      </w:r>
      <w:bookmarkEnd w:id="49"/>
    </w:p>
    <w:p w14:paraId="34F76785">
      <w:pPr>
        <w:spacing w:line="600" w:lineRule="atLeast"/>
        <w:ind w:firstLine="643" w:firstLineChars="200"/>
        <w:rPr>
          <w:rFonts w:cs="Times New Roman"/>
          <w:b/>
          <w:szCs w:val="32"/>
        </w:rPr>
      </w:pPr>
      <w:r>
        <w:rPr>
          <w:rFonts w:cs="Times New Roman"/>
          <w:b/>
          <w:szCs w:val="32"/>
        </w:rPr>
        <w:t>1、聚力提升水岸环境和文化底蕴，打造品质河湖</w:t>
      </w:r>
    </w:p>
    <w:p w14:paraId="1D5202FE">
      <w:pPr>
        <w:spacing w:line="600" w:lineRule="atLeast"/>
        <w:ind w:firstLine="640" w:firstLineChars="200"/>
        <w:rPr>
          <w:rFonts w:cs="Times New Roman"/>
          <w:szCs w:val="32"/>
        </w:rPr>
      </w:pPr>
      <w:r>
        <w:rPr>
          <w:rFonts w:cs="Times New Roman"/>
          <w:szCs w:val="32"/>
        </w:rPr>
        <w:t>以内秦淮河流域为水文化展现舞台，围绕秦淮区内现状重点节点，梳理既有及提升需求、进一步挖掘展示沿岸线文化内涵；畅通水系脉络，实施内秦淮河水环境提升治理，实施东、西五华里沿河景观亮化工程，开通西五华里水上游览线，实现内外秦淮河景观带贯通，形成具有鲜明特色的生态水廊、水岸互动场景丰富的“十里秦淮”IP，着力打造高质量、高品位的内秦淮河城市水名片，彰显美丽古都风采，展现魅力名城特色名片；</w:t>
      </w:r>
    </w:p>
    <w:p w14:paraId="4D1A9EF1">
      <w:pPr>
        <w:spacing w:line="600" w:lineRule="atLeast"/>
        <w:ind w:firstLine="640" w:firstLineChars="200"/>
        <w:rPr>
          <w:rFonts w:cs="Times New Roman"/>
          <w:szCs w:val="32"/>
        </w:rPr>
      </w:pPr>
      <w:r>
        <w:rPr>
          <w:rFonts w:cs="Times New Roman"/>
          <w:szCs w:val="32"/>
        </w:rPr>
        <w:t>聚焦外秦淮河、运粮河、月牙湖-东南护城河三条主要水系，依据国土空间规划和水利基础设施空间布局规划，全面梳理沿河土地资源，搭建“水岸大数据平台”，结合沿河游园绿道、节点景观的打造，形成沿水岸产业公园群，加强水系交融互动，推动外秦淮河科创融合水岸经济示范带形成和“三生”复合空间水岸客厅打造。</w:t>
      </w:r>
    </w:p>
    <w:p w14:paraId="7B5B5C99">
      <w:pPr>
        <w:spacing w:line="600" w:lineRule="atLeast"/>
        <w:ind w:firstLine="643" w:firstLineChars="200"/>
        <w:rPr>
          <w:rFonts w:cs="Times New Roman"/>
          <w:b/>
          <w:szCs w:val="32"/>
        </w:rPr>
      </w:pPr>
      <w:r>
        <w:rPr>
          <w:rFonts w:cs="Times New Roman"/>
          <w:b/>
          <w:szCs w:val="32"/>
        </w:rPr>
        <w:t>2、保障</w:t>
      </w:r>
      <w:r>
        <w:rPr>
          <w:rFonts w:hint="eastAsia" w:cs="Times New Roman"/>
          <w:b/>
          <w:szCs w:val="32"/>
        </w:rPr>
        <w:t>重点</w:t>
      </w:r>
      <w:r>
        <w:rPr>
          <w:rFonts w:cs="Times New Roman"/>
          <w:b/>
          <w:szCs w:val="32"/>
        </w:rPr>
        <w:t>小微水体及新增水体蓝绿空间</w:t>
      </w:r>
    </w:p>
    <w:p w14:paraId="68F88B0C">
      <w:pPr>
        <w:spacing w:line="600" w:lineRule="atLeast"/>
        <w:ind w:firstLine="640" w:firstLineChars="200"/>
        <w:rPr>
          <w:rFonts w:cs="Times New Roman"/>
          <w:szCs w:val="32"/>
        </w:rPr>
      </w:pPr>
      <w:r>
        <w:rPr>
          <w:rFonts w:cs="Times New Roman"/>
          <w:szCs w:val="32"/>
        </w:rPr>
        <w:t>开展城东片区、</w:t>
      </w:r>
      <w:r>
        <w:rPr>
          <w:rFonts w:hint="eastAsia" w:cs="Times New Roman"/>
          <w:szCs w:val="32"/>
          <w:lang w:eastAsia="zh-CN"/>
        </w:rPr>
        <w:t>城乡接合部</w:t>
      </w:r>
      <w:bookmarkStart w:id="72" w:name="_GoBack"/>
      <w:bookmarkEnd w:id="72"/>
      <w:r>
        <w:rPr>
          <w:rFonts w:cs="Times New Roman"/>
          <w:szCs w:val="32"/>
        </w:rPr>
        <w:t>等</w:t>
      </w:r>
      <w:r>
        <w:rPr>
          <w:rFonts w:hint="eastAsia" w:cs="Times New Roman"/>
          <w:szCs w:val="32"/>
        </w:rPr>
        <w:t>重点</w:t>
      </w:r>
      <w:r>
        <w:rPr>
          <w:rFonts w:cs="Times New Roman"/>
          <w:szCs w:val="32"/>
        </w:rPr>
        <w:t>小微水体、南部新城新增水体功能恢复及保障提升，以“微”见著，</w:t>
      </w:r>
      <w:r>
        <w:rPr>
          <w:rFonts w:hint="eastAsia" w:cs="Times New Roman"/>
          <w:szCs w:val="32"/>
        </w:rPr>
        <w:t>编制《</w:t>
      </w:r>
      <w:r>
        <w:rPr>
          <w:rFonts w:cs="Times New Roman"/>
          <w:szCs w:val="32"/>
          <w:lang w:val="ru-RU"/>
        </w:rPr>
        <w:t>小微水体治理管护工作指南</w:t>
      </w:r>
      <w:r>
        <w:rPr>
          <w:rFonts w:hint="eastAsia" w:cs="Times New Roman"/>
          <w:szCs w:val="32"/>
        </w:rPr>
        <w:t>》，明确管理规程和养护标准，</w:t>
      </w:r>
      <w:r>
        <w:rPr>
          <w:rFonts w:cs="Times New Roman"/>
          <w:szCs w:val="32"/>
        </w:rPr>
        <w:t>通过小微水体提标改造</w:t>
      </w:r>
      <w:r>
        <w:rPr>
          <w:rFonts w:hint="eastAsia" w:cs="Times New Roman"/>
          <w:szCs w:val="32"/>
        </w:rPr>
        <w:t>工程性措施</w:t>
      </w:r>
      <w:r>
        <w:rPr>
          <w:rFonts w:cs="Times New Roman"/>
          <w:szCs w:val="32"/>
        </w:rPr>
        <w:t>打造小微水体管理样本，推开银龙潭小微水体治理模式，创新“小水精治”；保障老城、新城“蓝绿”空间面积，为老城更新、新城建设过程中水文化打造持续提供基础。</w:t>
      </w:r>
    </w:p>
    <w:p w14:paraId="43D15518">
      <w:pPr>
        <w:spacing w:line="600" w:lineRule="atLeast"/>
        <w:ind w:firstLine="643" w:firstLineChars="200"/>
        <w:rPr>
          <w:rFonts w:cs="Times New Roman"/>
          <w:b/>
          <w:szCs w:val="32"/>
        </w:rPr>
      </w:pPr>
      <w:r>
        <w:rPr>
          <w:rFonts w:cs="Times New Roman"/>
          <w:b/>
          <w:szCs w:val="32"/>
        </w:rPr>
        <w:t>3、深入挖掘和延续河湖历史文脉</w:t>
      </w:r>
    </w:p>
    <w:p w14:paraId="6EF6AA0D">
      <w:pPr>
        <w:spacing w:line="600" w:lineRule="atLeast"/>
        <w:ind w:firstLine="640" w:firstLineChars="200"/>
        <w:rPr>
          <w:rFonts w:cs="Times New Roman"/>
          <w:szCs w:val="32"/>
        </w:rPr>
      </w:pPr>
      <w:r>
        <w:rPr>
          <w:rFonts w:cs="Times New Roman"/>
          <w:szCs w:val="32"/>
        </w:rPr>
        <w:t>深入挖掘外秦淮河、内秦淮河、玉带河、明御河等河道沿线的文化元素，开展秦淮区水文化专题研究，提炼历史文化内涵，梳理收集古桥梁、古井、古闸、遗址、公园的历史典故，推动编撰《秦淮水话》等书集，追溯河道由来的前世今生，讲好秦淮河故事，分阶段完成《秦淮区水文化遗产保护方案》、《秦淮区水文化遗产保护名录》、《秦淮区水文化遗产保护利用规划》编制，做好水文化遗产挖掘保护，传承千年水文脉，提升美丽河湖内涵与品质；</w:t>
      </w:r>
    </w:p>
    <w:p w14:paraId="26BFE771">
      <w:pPr>
        <w:spacing w:line="600" w:lineRule="atLeast"/>
        <w:ind w:firstLine="640" w:firstLineChars="200"/>
        <w:rPr>
          <w:rFonts w:cs="Times New Roman"/>
          <w:szCs w:val="32"/>
        </w:rPr>
      </w:pPr>
      <w:r>
        <w:rPr>
          <w:rFonts w:cs="Times New Roman"/>
          <w:szCs w:val="32"/>
        </w:rPr>
        <w:t>串联全区水文化脉络，选</w:t>
      </w:r>
      <w:r>
        <w:rPr>
          <w:rFonts w:hint="eastAsia" w:cs="Times New Roman"/>
          <w:szCs w:val="32"/>
        </w:rPr>
        <w:t>址</w:t>
      </w:r>
      <w:r>
        <w:rPr>
          <w:rFonts w:cs="Times New Roman"/>
          <w:szCs w:val="32"/>
        </w:rPr>
        <w:t>适宜载体筹划建设水文化展示中心，培育具有流域特色的水文化基地，丰富群众对水生态文明的体验，增强群众获得感、幸福感。</w:t>
      </w:r>
    </w:p>
    <w:p w14:paraId="069B75F3">
      <w:pPr>
        <w:spacing w:line="600" w:lineRule="atLeast"/>
        <w:ind w:firstLine="643" w:firstLineChars="200"/>
        <w:rPr>
          <w:rFonts w:cs="Times New Roman"/>
          <w:b/>
          <w:szCs w:val="32"/>
        </w:rPr>
      </w:pPr>
      <w:r>
        <w:rPr>
          <w:rFonts w:cs="Times New Roman"/>
          <w:b/>
          <w:szCs w:val="32"/>
        </w:rPr>
        <w:t>4、全方位丰富水文化内涵，强化公众参与</w:t>
      </w:r>
    </w:p>
    <w:p w14:paraId="5167EF9A">
      <w:pPr>
        <w:spacing w:line="600" w:lineRule="atLeast"/>
        <w:ind w:firstLine="640" w:firstLineChars="200"/>
        <w:rPr>
          <w:rFonts w:cs="Times New Roman"/>
          <w:szCs w:val="32"/>
        </w:rPr>
      </w:pPr>
      <w:r>
        <w:rPr>
          <w:rFonts w:cs="Times New Roman"/>
          <w:szCs w:val="32"/>
        </w:rPr>
        <w:t>多渠道、多形式开展宣传，举行以水为主题的宣传活动，策划以“水韵秦淮”为主题的摄影、书画、诗歌等比赛或展览，结合秦淮灯会拓展水文化展示范围，鼓励举办月牙湖龙舟赛等水上群众文体活动，推广月牙湖街道水文化展示馆成功做法，多点开花，连点成片，让秦淮水文化走进千家万户、家喻户晓。</w:t>
      </w:r>
    </w:p>
    <w:p w14:paraId="63DC1AE6">
      <w:pPr>
        <w:spacing w:line="600" w:lineRule="atLeast"/>
        <w:ind w:firstLine="643" w:firstLineChars="200"/>
        <w:rPr>
          <w:rFonts w:cs="Times New Roman"/>
          <w:b/>
          <w:szCs w:val="32"/>
        </w:rPr>
      </w:pPr>
      <w:r>
        <w:rPr>
          <w:rFonts w:cs="Times New Roman"/>
          <w:b/>
          <w:szCs w:val="32"/>
        </w:rPr>
        <w:t>5、构建“人水和谐、文旅融合”的发展体系</w:t>
      </w:r>
    </w:p>
    <w:p w14:paraId="1D94ACA0">
      <w:pPr>
        <w:spacing w:line="600" w:lineRule="atLeast"/>
        <w:ind w:firstLine="640" w:firstLineChars="200"/>
        <w:rPr>
          <w:rFonts w:cs="Times New Roman"/>
          <w:szCs w:val="32"/>
        </w:rPr>
      </w:pPr>
      <w:r>
        <w:rPr>
          <w:rFonts w:cs="Times New Roman"/>
          <w:szCs w:val="32"/>
        </w:rPr>
        <w:t>持续建设多样化的水文化展示载体，积极提升打造沿河湿地公园和景观，探索水利旅游等文化旅游产品，</w:t>
      </w:r>
      <w:r>
        <w:rPr>
          <w:rFonts w:hint="eastAsia" w:cs="Times New Roman"/>
          <w:szCs w:val="32"/>
        </w:rPr>
        <w:t>积极推进“六朝水韵”旅游观光路线，从夫子庙秦淮风光带的东水关到长江路文旅集聚区的汉府桥，沿内秦淮河东段黄金水路，将长江路文旅集聚区与夫子庙秦淮区风光带两大片区有效串联，推进文旅融合，</w:t>
      </w:r>
      <w:r>
        <w:rPr>
          <w:rFonts w:cs="Times New Roman"/>
          <w:szCs w:val="32"/>
        </w:rPr>
        <w:t>力争全域实现“水清、岸绿、景美、河畅”愿景，全面彰显秦淮水系流域花园的品牌魅力。</w:t>
      </w:r>
    </w:p>
    <w:p w14:paraId="711A440E">
      <w:pPr>
        <w:pStyle w:val="26"/>
        <w:spacing w:line="600" w:lineRule="atLeast"/>
        <w:rPr>
          <w:rFonts w:eastAsia="方正楷体_GBK" w:cs="Times New Roman"/>
          <w:sz w:val="32"/>
          <w:szCs w:val="32"/>
        </w:rPr>
      </w:pPr>
      <w:bookmarkStart w:id="50" w:name="_Toc81566742"/>
      <w:r>
        <w:rPr>
          <w:rFonts w:eastAsia="方正楷体_GBK" w:cs="Times New Roman"/>
          <w:sz w:val="32"/>
          <w:szCs w:val="32"/>
        </w:rPr>
        <w:t>（六）推进高水平水监管能力建设，树服务标杆</w:t>
      </w:r>
      <w:bookmarkEnd w:id="50"/>
    </w:p>
    <w:p w14:paraId="0F046ACD">
      <w:pPr>
        <w:spacing w:line="600" w:lineRule="atLeast"/>
        <w:ind w:firstLine="643" w:firstLineChars="200"/>
        <w:rPr>
          <w:rFonts w:cs="Times New Roman"/>
          <w:b/>
          <w:szCs w:val="32"/>
        </w:rPr>
      </w:pPr>
      <w:r>
        <w:rPr>
          <w:rFonts w:cs="Times New Roman"/>
          <w:b/>
          <w:szCs w:val="32"/>
        </w:rPr>
        <w:t>1、深入推进河湖长制工作，持续加强河湖管理</w:t>
      </w:r>
    </w:p>
    <w:p w14:paraId="7BD36629">
      <w:pPr>
        <w:spacing w:line="600" w:lineRule="atLeast"/>
        <w:ind w:firstLine="640" w:firstLineChars="200"/>
        <w:rPr>
          <w:rFonts w:cs="Times New Roman"/>
          <w:szCs w:val="32"/>
        </w:rPr>
      </w:pPr>
      <w:r>
        <w:rPr>
          <w:rFonts w:hint="eastAsia" w:cs="Times New Roman"/>
          <w:szCs w:val="32"/>
        </w:rPr>
        <w:t>在深化“六长一员”河长制基础上，创新实施秦淮区河长制“1+N”综合治管模式，推动河长制工作从有名到有实、有效的转变。进一步优化运行机制，提升管理效能，充分发挥河湖长制统领作用；编制完善各河道“1+N”汇水区域图，打造便于“追根溯源”的治、管网络体系；制定全区《河长巡河水质管护流程图》、《河道建设、管养单位明细表》、《河道综合管护图》，通过对标找差、系统培训，不断提高各级河湖长履职、统筹协调、日常监管职能；完善工作制度和协调机制，建立跨区域河道上下游联管、共商、共治平台。持续巩固提升全流域水环境质量，全力实现让群众满意的幸福河湖全覆盖；十四五期间，将打造三至五座河长制主题公园。</w:t>
      </w:r>
    </w:p>
    <w:p w14:paraId="62E2C253">
      <w:pPr>
        <w:spacing w:line="600" w:lineRule="atLeast"/>
        <w:ind w:firstLine="640" w:firstLineChars="200"/>
        <w:rPr>
          <w:rFonts w:cs="Times New Roman"/>
          <w:szCs w:val="32"/>
        </w:rPr>
      </w:pPr>
      <w:r>
        <w:rPr>
          <w:rFonts w:cs="Times New Roman"/>
          <w:szCs w:val="32"/>
        </w:rPr>
        <w:t>切实加强河湖管理保护，结合市、区</w:t>
      </w:r>
      <w:r>
        <w:rPr>
          <w:rFonts w:hint="eastAsia" w:cs="Times New Roman"/>
          <w:szCs w:val="32"/>
        </w:rPr>
        <w:t>两</w:t>
      </w:r>
      <w:r>
        <w:rPr>
          <w:rFonts w:cs="Times New Roman"/>
          <w:szCs w:val="32"/>
        </w:rPr>
        <w:t>级水</w:t>
      </w:r>
      <w:r>
        <w:rPr>
          <w:rFonts w:hint="eastAsia" w:cs="Times New Roman"/>
          <w:szCs w:val="32"/>
        </w:rPr>
        <w:t>利</w:t>
      </w:r>
      <w:r>
        <w:rPr>
          <w:rFonts w:cs="Times New Roman"/>
          <w:szCs w:val="32"/>
        </w:rPr>
        <w:t>基础设施空间布局规划成果，划定河湖与水利工程管理（保护）范围线，进一步完善水利基础设施规划布局，加强与相关部门协调衔接，保障重点水利工程建设用地。严格水域管理保护，依法划定重要水域并向社会公布，</w:t>
      </w:r>
      <w:r>
        <w:rPr>
          <w:rFonts w:hint="eastAsia" w:cs="Times New Roman"/>
          <w:szCs w:val="32"/>
        </w:rPr>
        <w:t>依据《江苏省建设项目占用水域管理办法》相关规定，严格管理等效替代水域工程等建设内容；贯彻落实《江苏省河道管理条例》，规范行政处罚程序；</w:t>
      </w:r>
      <w:r>
        <w:rPr>
          <w:rFonts w:cs="Times New Roman"/>
          <w:szCs w:val="32"/>
        </w:rPr>
        <w:t>按照分级分类涉水空间约束和管控要求，提升河湖水生态系统的完整性和系统性，保障水利基础设施工程安全可靠、功能正常发挥；</w:t>
      </w:r>
    </w:p>
    <w:p w14:paraId="3816F2DD">
      <w:pPr>
        <w:spacing w:line="600" w:lineRule="atLeast"/>
        <w:ind w:firstLine="640" w:firstLineChars="200"/>
        <w:rPr>
          <w:rFonts w:cs="Times New Roman"/>
          <w:szCs w:val="32"/>
        </w:rPr>
      </w:pPr>
      <w:r>
        <w:rPr>
          <w:rFonts w:cs="Times New Roman"/>
          <w:szCs w:val="32"/>
        </w:rPr>
        <w:t>建设“河长制主题公园”，</w:t>
      </w:r>
      <w:r>
        <w:rPr>
          <w:rFonts w:hint="eastAsia" w:cs="Times New Roman"/>
          <w:szCs w:val="32"/>
        </w:rPr>
        <w:t>增设“河长制”宣传栏，围绕“河长制”工作成果与目标，打造至少5个“河长制”主题公园，</w:t>
      </w:r>
      <w:r>
        <w:rPr>
          <w:rFonts w:cs="Times New Roman"/>
          <w:szCs w:val="32"/>
        </w:rPr>
        <w:t>充分展示“河长制”工作目标、举措和成果</w:t>
      </w:r>
      <w:r>
        <w:rPr>
          <w:rFonts w:hint="eastAsia" w:cs="Times New Roman"/>
          <w:szCs w:val="32"/>
        </w:rPr>
        <w:t>，</w:t>
      </w:r>
      <w:r>
        <w:rPr>
          <w:rFonts w:cs="Times New Roman"/>
          <w:szCs w:val="32"/>
        </w:rPr>
        <w:t>科普水资源与水利知识。</w:t>
      </w:r>
    </w:p>
    <w:p w14:paraId="6DDC8D93">
      <w:pPr>
        <w:spacing w:line="600" w:lineRule="atLeast"/>
        <w:ind w:firstLine="643" w:firstLineChars="200"/>
        <w:rPr>
          <w:rFonts w:cs="Times New Roman"/>
          <w:b/>
          <w:szCs w:val="32"/>
        </w:rPr>
      </w:pPr>
      <w:r>
        <w:rPr>
          <w:rFonts w:cs="Times New Roman"/>
          <w:b/>
          <w:szCs w:val="32"/>
        </w:rPr>
        <w:t>2、加强供排水管理</w:t>
      </w:r>
    </w:p>
    <w:p w14:paraId="48137D0B">
      <w:pPr>
        <w:spacing w:line="600" w:lineRule="atLeast"/>
        <w:ind w:firstLine="640" w:firstLineChars="200"/>
        <w:rPr>
          <w:rFonts w:cs="Times New Roman"/>
          <w:szCs w:val="32"/>
        </w:rPr>
      </w:pPr>
      <w:r>
        <w:rPr>
          <w:rFonts w:cs="Times New Roman"/>
          <w:szCs w:val="32"/>
        </w:rPr>
        <w:t>切实加强供水管理、切实加强排水排污及污水处理管理。完善排水许可管理机制，强化排水监管</w:t>
      </w:r>
      <w:r>
        <w:rPr>
          <w:rFonts w:hint="eastAsia" w:cs="Times New Roman"/>
          <w:szCs w:val="32"/>
        </w:rPr>
        <w:t>，依据《南京市排水条例》组织编制排水专项规划、规范新建、改建、扩建排水设施建设流程；</w:t>
      </w:r>
      <w:r>
        <w:rPr>
          <w:rFonts w:cs="Times New Roman"/>
          <w:szCs w:val="32"/>
        </w:rPr>
        <w:t>加强城镇生活污水接入服务和管理，规范工业企业排水管理，</w:t>
      </w:r>
      <w:r>
        <w:rPr>
          <w:rFonts w:hint="eastAsia" w:cs="Times New Roman"/>
          <w:szCs w:val="32"/>
        </w:rPr>
        <w:t>严格工地</w:t>
      </w:r>
      <w:r>
        <w:rPr>
          <w:rFonts w:cs="Times New Roman"/>
          <w:szCs w:val="32"/>
        </w:rPr>
        <w:t>临时排水管理</w:t>
      </w:r>
      <w:r>
        <w:rPr>
          <w:rFonts w:hint="eastAsia" w:cs="Times New Roman"/>
          <w:szCs w:val="32"/>
        </w:rPr>
        <w:t>、明确工地临时排水及基坑水预处理标准，指导、监督建设主体落实工地预处理措施，</w:t>
      </w:r>
      <w:r>
        <w:rPr>
          <w:rFonts w:ascii="Arial" w:hAnsi="Arial" w:cs="Arial"/>
          <w:color w:val="111111"/>
          <w:shd w:val="clear" w:color="auto" w:fill="FFFFFF"/>
        </w:rPr>
        <w:t>实现从“问题水”转化为“清洁水”</w:t>
      </w:r>
      <w:r>
        <w:rPr>
          <w:rFonts w:cs="Times New Roman"/>
          <w:szCs w:val="32"/>
        </w:rPr>
        <w:t>；进一步探索建管新模式，调动社会各方共同参与，推动“排水管理进小区”，充分发挥</w:t>
      </w:r>
      <w:r>
        <w:rPr>
          <w:rFonts w:hint="eastAsia" w:cs="Times New Roman"/>
          <w:szCs w:val="32"/>
        </w:rPr>
        <w:t>属地管理的优势和物业管理的主体责任</w:t>
      </w:r>
      <w:r>
        <w:rPr>
          <w:rFonts w:cs="Times New Roman"/>
          <w:szCs w:val="32"/>
        </w:rPr>
        <w:t>，</w:t>
      </w:r>
      <w:r>
        <w:rPr>
          <w:rFonts w:hint="eastAsia" w:cs="Times New Roman"/>
          <w:szCs w:val="32"/>
        </w:rPr>
        <w:t>政府</w:t>
      </w:r>
      <w:r>
        <w:rPr>
          <w:rFonts w:cs="Times New Roman"/>
          <w:szCs w:val="32"/>
        </w:rPr>
        <w:t>监管全覆盖，推进物业管理与城市排水的有序衔接，打通排水管网管养的“最后100米” ，提高排水系统维护管理效能；逐步建立污水管网定期排查修复机制。</w:t>
      </w:r>
    </w:p>
    <w:p w14:paraId="438491F2">
      <w:pPr>
        <w:spacing w:line="600" w:lineRule="atLeast"/>
        <w:ind w:firstLine="643" w:firstLineChars="200"/>
        <w:rPr>
          <w:rFonts w:cs="Times New Roman"/>
          <w:b/>
          <w:szCs w:val="32"/>
        </w:rPr>
      </w:pPr>
      <w:r>
        <w:rPr>
          <w:rFonts w:cs="Times New Roman"/>
          <w:b/>
          <w:szCs w:val="32"/>
        </w:rPr>
        <w:t>3、严格执行纳污总量控制</w:t>
      </w:r>
    </w:p>
    <w:p w14:paraId="2C220C5B">
      <w:pPr>
        <w:spacing w:line="600" w:lineRule="atLeast"/>
        <w:ind w:firstLine="640" w:firstLineChars="200"/>
        <w:rPr>
          <w:rFonts w:cs="Times New Roman"/>
          <w:szCs w:val="32"/>
        </w:rPr>
      </w:pPr>
      <w:r>
        <w:rPr>
          <w:rFonts w:cs="Times New Roman"/>
          <w:szCs w:val="32"/>
        </w:rPr>
        <w:t>划定河湖纳污总量控制红线、完成全区水功能区调整、加强河道水质的监测监控，严格排水许可批后管理，突出建设工地、餐饮密集区等督查整治，进一步强化面源、点源、内源综合治理、强化排污口</w:t>
      </w:r>
      <w:r>
        <w:rPr>
          <w:rFonts w:hint="eastAsia" w:cs="Times New Roman"/>
          <w:szCs w:val="32"/>
        </w:rPr>
        <w:t>监督</w:t>
      </w:r>
      <w:r>
        <w:rPr>
          <w:rFonts w:cs="Times New Roman"/>
          <w:szCs w:val="32"/>
        </w:rPr>
        <w:t>管理。</w:t>
      </w:r>
    </w:p>
    <w:p w14:paraId="594CAA19">
      <w:pPr>
        <w:spacing w:line="600" w:lineRule="atLeast"/>
        <w:ind w:firstLine="643" w:firstLineChars="200"/>
        <w:rPr>
          <w:rFonts w:cs="Times New Roman"/>
          <w:b/>
          <w:szCs w:val="32"/>
        </w:rPr>
      </w:pPr>
      <w:r>
        <w:rPr>
          <w:rFonts w:cs="Times New Roman"/>
          <w:b/>
          <w:szCs w:val="32"/>
        </w:rPr>
        <w:t>4、加快智慧水务建设</w:t>
      </w:r>
    </w:p>
    <w:p w14:paraId="15B94F44">
      <w:pPr>
        <w:spacing w:line="600" w:lineRule="atLeast"/>
        <w:ind w:firstLine="640" w:firstLineChars="200"/>
        <w:rPr>
          <w:rFonts w:cs="Times New Roman"/>
          <w:szCs w:val="32"/>
        </w:rPr>
      </w:pPr>
      <w:r>
        <w:rPr>
          <w:rFonts w:cs="Times New Roman"/>
          <w:szCs w:val="32"/>
        </w:rPr>
        <w:t>统筹实施智慧水务建设，协同推进市区两级智慧水务平台一体化建设，持续深化水务业务与智慧化融合，提升数据驱动能力和模型决策能力，完善应用体系。全面规划、分步实施，打造秦淮区智慧水务综合调度平台，支撑秦淮区水务管理向精细化、协同化、科学化与智能化发展，建立集水安全、水资源、水环境、水生态、城乡供排水为一体的水务“一张图、一平台”，通过天、地、空一体实时在线监测、视频监控、卫星遥感等方式，全面掌握重点河段、闸站、厂网节点、重点排水户等日常运行状况和实时运行数据，提升河道管理、排水管网的管理信息化、管养水平，提升与相关职能部门协作水平、信息共享能力，提升水系的精细化调度能力，保障秦淮区河道水质稳定、排水系统的安全优质运行；</w:t>
      </w:r>
    </w:p>
    <w:p w14:paraId="211898F7">
      <w:pPr>
        <w:spacing w:line="600" w:lineRule="atLeast"/>
        <w:ind w:firstLine="640" w:firstLineChars="200"/>
        <w:rPr>
          <w:rFonts w:cs="Times New Roman"/>
          <w:szCs w:val="32"/>
        </w:rPr>
      </w:pPr>
      <w:r>
        <w:rPr>
          <w:rFonts w:cs="Times New Roman"/>
          <w:szCs w:val="32"/>
        </w:rPr>
        <w:t>按照“需求牵引、应用至上、数字赋能、提升能力”要求，以数字化、网络化、智能化为主线，初步探索构建数字化管理体系，开展智慧化模拟，支撑精准化决策，加快构建具有预报、预警、预演、预案功能的智慧水务体系。</w:t>
      </w:r>
    </w:p>
    <w:p w14:paraId="1E5361E5">
      <w:pPr>
        <w:spacing w:line="600" w:lineRule="atLeast"/>
        <w:ind w:firstLine="640" w:firstLineChars="200"/>
        <w:rPr>
          <w:rFonts w:cs="Times New Roman"/>
          <w:szCs w:val="32"/>
        </w:rPr>
      </w:pPr>
      <w:r>
        <w:rPr>
          <w:rFonts w:cs="Times New Roman"/>
          <w:szCs w:val="32"/>
        </w:rPr>
        <w:t>优化完善升级现有办公应用系统，进一步提升安全防护硬件水平，完善网络安全管理体系，建立由制度、规范、流程和规程构成的网络安全管理制度标准体系。</w:t>
      </w:r>
    </w:p>
    <w:p w14:paraId="0E2FE889">
      <w:pPr>
        <w:spacing w:line="600" w:lineRule="atLeast"/>
        <w:ind w:firstLine="643" w:firstLineChars="200"/>
        <w:rPr>
          <w:rFonts w:cs="Times New Roman"/>
          <w:b/>
          <w:szCs w:val="32"/>
        </w:rPr>
      </w:pPr>
      <w:r>
        <w:rPr>
          <w:rFonts w:cs="Times New Roman"/>
          <w:b/>
          <w:szCs w:val="32"/>
        </w:rPr>
        <w:t>5、加强水务工程建设</w:t>
      </w:r>
      <w:r>
        <w:rPr>
          <w:rFonts w:hint="eastAsia" w:cs="Times New Roman"/>
          <w:b/>
          <w:szCs w:val="32"/>
        </w:rPr>
        <w:t>、</w:t>
      </w:r>
      <w:r>
        <w:rPr>
          <w:rFonts w:cs="Times New Roman"/>
          <w:b/>
          <w:szCs w:val="32"/>
        </w:rPr>
        <w:t>信用管理</w:t>
      </w:r>
    </w:p>
    <w:p w14:paraId="27A727BA">
      <w:pPr>
        <w:spacing w:line="600" w:lineRule="atLeast"/>
        <w:ind w:firstLine="640" w:firstLineChars="200"/>
        <w:rPr>
          <w:rFonts w:cs="Times New Roman"/>
          <w:szCs w:val="32"/>
        </w:rPr>
      </w:pPr>
      <w:r>
        <w:rPr>
          <w:rFonts w:cs="Times New Roman"/>
          <w:szCs w:val="32"/>
        </w:rPr>
        <w:t>严格工程建设管理。督促严格执行水利工程基本建设程序，落实工程质量终身责任制；加强工程过程和验收管理，强化阶段性验收技术把关；加强工程建设监督管理和稽察检查，规范监管工作流程、服务要点和检查记录格式，有计划、系统性开展全市重点水务工程建设监管服务，确保工程质量安全；</w:t>
      </w:r>
    </w:p>
    <w:p w14:paraId="5D304F54">
      <w:pPr>
        <w:spacing w:line="600" w:lineRule="atLeast"/>
        <w:ind w:firstLine="640" w:firstLineChars="200"/>
        <w:rPr>
          <w:rFonts w:cs="Times New Roman"/>
          <w:szCs w:val="32"/>
        </w:rPr>
      </w:pPr>
      <w:r>
        <w:rPr>
          <w:rFonts w:cs="Times New Roman"/>
          <w:szCs w:val="32"/>
        </w:rPr>
        <w:t>创新建设管理模式。规范组建项目法人，推行专业化建设管理。优化监理资源配置，进一步探索监理、建设单位相互制衡机制；继续推进智慧工地建设并实施差别化管理，推进水务工程标准化工地建设；进一步推动“监管分离”，水行政主管部门工作重心转向行政监督和服务；</w:t>
      </w:r>
    </w:p>
    <w:p w14:paraId="36F6D710">
      <w:pPr>
        <w:spacing w:line="600" w:lineRule="atLeast"/>
        <w:ind w:firstLine="640" w:firstLineChars="200"/>
        <w:rPr>
          <w:rFonts w:cs="Times New Roman"/>
          <w:szCs w:val="32"/>
        </w:rPr>
      </w:pPr>
      <w:r>
        <w:rPr>
          <w:rFonts w:cs="Times New Roman"/>
          <w:szCs w:val="32"/>
        </w:rPr>
        <w:t>强化工程质量管理。健全水务工程建设质量管理机制，丰富质量监管措施和手段，加强水务工程质量监督。积极开展质量提升活动，严格设计变更管理，规范质量行为，提升工程质效，按照质量强市要求，引导水务建设工程申报国家和省市优质工程奖；</w:t>
      </w:r>
    </w:p>
    <w:p w14:paraId="7377CE3A">
      <w:pPr>
        <w:spacing w:line="600" w:lineRule="atLeast"/>
        <w:ind w:firstLine="640" w:firstLineChars="200"/>
        <w:rPr>
          <w:rFonts w:cs="Times New Roman"/>
          <w:szCs w:val="32"/>
        </w:rPr>
      </w:pPr>
      <w:r>
        <w:rPr>
          <w:rFonts w:cs="Times New Roman"/>
          <w:szCs w:val="32"/>
        </w:rPr>
        <w:t>突出建设项目安全管理。严格落实安全生产责任和制度，做好水务工程安全风险评估，严格安全风险管控，做好隐患排查，加强安全监督检查，督促隐患闭环整改，强化安全检查结果在履约考核</w:t>
      </w:r>
      <w:r>
        <w:rPr>
          <w:rFonts w:hint="eastAsia" w:cs="Times New Roman"/>
          <w:szCs w:val="32"/>
        </w:rPr>
        <w:t>，</w:t>
      </w:r>
      <w:r>
        <w:rPr>
          <w:rFonts w:cs="Times New Roman"/>
          <w:szCs w:val="32"/>
        </w:rPr>
        <w:t>安全生产标准化、文明工地与优质工程等评选中的权重；</w:t>
      </w:r>
      <w:r>
        <w:rPr>
          <w:rFonts w:hint="eastAsia" w:cs="Times New Roman"/>
          <w:szCs w:val="32"/>
        </w:rPr>
        <w:t>指导、鼓励各单位积极申报水利安全生产标准化达标创建。</w:t>
      </w:r>
    </w:p>
    <w:p w14:paraId="47B43CB6">
      <w:pPr>
        <w:spacing w:line="600" w:lineRule="atLeast"/>
        <w:ind w:firstLine="640" w:firstLineChars="200"/>
        <w:rPr>
          <w:rFonts w:cs="Times New Roman"/>
          <w:szCs w:val="32"/>
        </w:rPr>
      </w:pPr>
      <w:r>
        <w:rPr>
          <w:rFonts w:cs="Times New Roman"/>
          <w:szCs w:val="32"/>
        </w:rPr>
        <w:t>加强建设信用管理。加快水务建设领域诚信体系建设，做好中标单位季度履约考核和年度信用评定，并将评定结果应用到招投标等工作中。加强市场主体征信监管，健全信用信息共享、跨部门联合守信激励和失信惩戒工作机制，及时推送水务建设领域信用管理“红黑名单”。</w:t>
      </w:r>
      <w:bookmarkEnd w:id="38"/>
      <w:bookmarkEnd w:id="39"/>
      <w:bookmarkEnd w:id="40"/>
      <w:bookmarkStart w:id="51" w:name="_Toc35897022"/>
    </w:p>
    <w:p w14:paraId="1C771920">
      <w:pPr>
        <w:pStyle w:val="2"/>
        <w:spacing w:before="156" w:beforeLines="50" w:after="156" w:afterLines="50" w:line="600" w:lineRule="atLeast"/>
        <w:jc w:val="center"/>
        <w:rPr>
          <w:rFonts w:eastAsia="方正黑体_GBK"/>
          <w:bCs w:val="0"/>
          <w:szCs w:val="32"/>
        </w:rPr>
      </w:pPr>
      <w:bookmarkStart w:id="52" w:name="_Toc72495418"/>
      <w:bookmarkStart w:id="53" w:name="_Toc81566743"/>
      <w:r>
        <w:rPr>
          <w:rFonts w:eastAsia="方正黑体_GBK"/>
          <w:bCs w:val="0"/>
          <w:szCs w:val="32"/>
        </w:rPr>
        <w:t>四、保障措施</w:t>
      </w:r>
      <w:bookmarkEnd w:id="52"/>
      <w:bookmarkEnd w:id="53"/>
    </w:p>
    <w:p w14:paraId="61A33DB4">
      <w:pPr>
        <w:pStyle w:val="26"/>
        <w:spacing w:line="600" w:lineRule="atLeast"/>
        <w:rPr>
          <w:rFonts w:eastAsia="方正楷体_GBK" w:cs="Times New Roman"/>
          <w:sz w:val="32"/>
          <w:szCs w:val="32"/>
        </w:rPr>
      </w:pPr>
      <w:bookmarkStart w:id="54" w:name="_Toc72495419"/>
      <w:bookmarkStart w:id="55" w:name="_Toc81566744"/>
      <w:r>
        <w:rPr>
          <w:rFonts w:eastAsia="方正楷体_GBK" w:cs="Times New Roman"/>
          <w:sz w:val="32"/>
          <w:szCs w:val="32"/>
        </w:rPr>
        <w:t>（一）加强组织保障</w:t>
      </w:r>
      <w:bookmarkEnd w:id="54"/>
      <w:bookmarkEnd w:id="55"/>
    </w:p>
    <w:p w14:paraId="5D06C337">
      <w:pPr>
        <w:spacing w:line="600" w:lineRule="atLeast"/>
        <w:ind w:firstLine="640" w:firstLineChars="200"/>
        <w:rPr>
          <w:rFonts w:cs="Times New Roman"/>
          <w:szCs w:val="32"/>
        </w:rPr>
      </w:pPr>
      <w:r>
        <w:rPr>
          <w:rFonts w:cs="Times New Roman"/>
          <w:szCs w:val="32"/>
        </w:rPr>
        <w:t>完善</w:t>
      </w:r>
      <w:r>
        <w:rPr>
          <w:rFonts w:hint="eastAsia" w:cs="Times New Roman"/>
          <w:szCs w:val="32"/>
        </w:rPr>
        <w:t>政府统筹计划调度、水务部门行业治理、建设平台组织实施、相关部门协调配合的</w:t>
      </w:r>
      <w:r>
        <w:rPr>
          <w:rFonts w:cs="Times New Roman"/>
          <w:szCs w:val="32"/>
        </w:rPr>
        <w:t>工作机制，增强工作融合、计划融合、投资融合，形成工作合力，有效推进落实。切实提高各级党委和政府对水务工作重要性的认识，完善区级水务执法监管、工程质量监督机构，加强基层水务队伍建设，在水务前期规划、建设实施、监管和执法等方面提升质效</w:t>
      </w:r>
      <w:r>
        <w:rPr>
          <w:rFonts w:hint="eastAsia" w:cs="Times New Roman"/>
          <w:szCs w:val="32"/>
        </w:rPr>
        <w:t>；</w:t>
      </w:r>
      <w:r>
        <w:rPr>
          <w:rFonts w:cs="Times New Roman"/>
          <w:szCs w:val="32"/>
        </w:rPr>
        <w:t>明确规划任务推进计划和职责分工，加强督查督促，做好年度、中期和期末总结评估，调整优化规划实施安排。</w:t>
      </w:r>
    </w:p>
    <w:p w14:paraId="0F326427">
      <w:pPr>
        <w:pStyle w:val="26"/>
        <w:spacing w:line="600" w:lineRule="atLeast"/>
        <w:rPr>
          <w:rFonts w:eastAsia="方正楷体_GBK" w:cs="Times New Roman"/>
          <w:sz w:val="32"/>
          <w:szCs w:val="32"/>
        </w:rPr>
      </w:pPr>
      <w:bookmarkStart w:id="56" w:name="_Toc81566745"/>
      <w:bookmarkStart w:id="57" w:name="_Toc72495420"/>
      <w:r>
        <w:rPr>
          <w:rFonts w:eastAsia="方正楷体_GBK" w:cs="Times New Roman"/>
          <w:sz w:val="32"/>
          <w:szCs w:val="32"/>
        </w:rPr>
        <w:t>（二）严格依法治水</w:t>
      </w:r>
      <w:bookmarkEnd w:id="56"/>
      <w:bookmarkEnd w:id="57"/>
    </w:p>
    <w:p w14:paraId="48E37F6B">
      <w:pPr>
        <w:spacing w:line="600" w:lineRule="atLeast"/>
        <w:ind w:firstLine="640" w:firstLineChars="200"/>
        <w:rPr>
          <w:rFonts w:cs="Times New Roman"/>
          <w:szCs w:val="32"/>
        </w:rPr>
      </w:pPr>
      <w:r>
        <w:rPr>
          <w:rFonts w:cs="Times New Roman"/>
          <w:szCs w:val="32"/>
        </w:rPr>
        <w:t>配合市级部门做好涉水地方性法规、规章和规范性文件的梳理、修订调整等工作，完善治水管水政策措施和水法规制度体系；持续深化“放管服”改革，不断优化水务营商环境，严格落实行政权力清单和责任清单制度，完善重大行政决策程序规定</w:t>
      </w:r>
      <w:r>
        <w:rPr>
          <w:rFonts w:hint="eastAsia" w:cs="Times New Roman"/>
          <w:szCs w:val="32"/>
        </w:rPr>
        <w:t>；</w:t>
      </w:r>
      <w:r>
        <w:rPr>
          <w:rFonts w:cs="Times New Roman"/>
          <w:szCs w:val="32"/>
        </w:rPr>
        <w:t>推进完善多部门配合下的水政执法机制，健全执法队伍管理制度，推进水务执法制度化、规范化、专业化、标准化建设。强化覆盖我区水务执法队伍建设，健全行政执法与刑事司法衔接机制</w:t>
      </w:r>
      <w:r>
        <w:rPr>
          <w:rFonts w:hint="eastAsia" w:cs="Times New Roman"/>
          <w:szCs w:val="32"/>
        </w:rPr>
        <w:t>；</w:t>
      </w:r>
      <w:r>
        <w:rPr>
          <w:rFonts w:cs="Times New Roman"/>
          <w:szCs w:val="32"/>
        </w:rPr>
        <w:t>全面提升执法效能，充分运用信息化高效执法手段，严格查处各类违法行为，维护良好水事秩序</w:t>
      </w:r>
      <w:r>
        <w:rPr>
          <w:rFonts w:hint="eastAsia" w:cs="Times New Roman"/>
          <w:szCs w:val="32"/>
        </w:rPr>
        <w:t>；</w:t>
      </w:r>
      <w:r>
        <w:rPr>
          <w:rFonts w:cs="Times New Roman"/>
          <w:szCs w:val="32"/>
        </w:rPr>
        <w:t>适应多规合一要求，强化水务专项规划与国民经济与社会发展、城乡建设、土地利用、环境保护等规划的协调衔接，加快修订完善涉水专项规划，完善水务规划体系，强化水务规划的指导管理和约束。</w:t>
      </w:r>
    </w:p>
    <w:p w14:paraId="40062814">
      <w:pPr>
        <w:pStyle w:val="26"/>
        <w:spacing w:line="600" w:lineRule="atLeast"/>
        <w:rPr>
          <w:rFonts w:eastAsia="方正楷体_GBK" w:cs="Times New Roman"/>
          <w:sz w:val="32"/>
          <w:szCs w:val="32"/>
        </w:rPr>
      </w:pPr>
      <w:bookmarkStart w:id="58" w:name="_Toc72495421"/>
      <w:bookmarkStart w:id="59" w:name="_Toc81566746"/>
      <w:r>
        <w:rPr>
          <w:rFonts w:eastAsia="方正楷体_GBK" w:cs="Times New Roman"/>
          <w:sz w:val="32"/>
          <w:szCs w:val="32"/>
        </w:rPr>
        <w:t>（三）强化资金保障</w:t>
      </w:r>
      <w:bookmarkEnd w:id="58"/>
      <w:bookmarkEnd w:id="59"/>
    </w:p>
    <w:p w14:paraId="779B31E6">
      <w:pPr>
        <w:spacing w:line="600" w:lineRule="atLeast"/>
        <w:ind w:firstLine="640" w:firstLineChars="200"/>
        <w:rPr>
          <w:rFonts w:cs="Times New Roman"/>
          <w:szCs w:val="32"/>
        </w:rPr>
      </w:pPr>
      <w:r>
        <w:rPr>
          <w:rFonts w:cs="Times New Roman"/>
          <w:szCs w:val="32"/>
        </w:rPr>
        <w:t>坚持政府和市场两手发力，以政府投资为主，鼓励社会资金投入水务治理领域，完善政策激励和措施。积极争取上级资金支持，形成本级投入、上级支持和社会投入相结合的稳定水务治理资金投入机制</w:t>
      </w:r>
      <w:r>
        <w:rPr>
          <w:rFonts w:hint="eastAsia" w:cs="Times New Roman"/>
          <w:szCs w:val="32"/>
        </w:rPr>
        <w:t>，</w:t>
      </w:r>
      <w:r>
        <w:rPr>
          <w:rFonts w:cs="Times New Roman"/>
          <w:szCs w:val="32"/>
        </w:rPr>
        <w:t>充分利用生态环境等专项资金补助，积极尝试拓宽资金渠道，充分发挥投融资平台的作用，研究制定社会资本投资水务的配套政策，探索公益性项目资金筹措与偿债机制、公共产品与服务价格补偿机制</w:t>
      </w:r>
      <w:r>
        <w:rPr>
          <w:rFonts w:hint="eastAsia" w:cs="Times New Roman"/>
          <w:szCs w:val="32"/>
        </w:rPr>
        <w:t>；</w:t>
      </w:r>
      <w:r>
        <w:rPr>
          <w:rFonts w:cs="Times New Roman"/>
          <w:szCs w:val="32"/>
        </w:rPr>
        <w:t>积极挑选具有明显经济效益的水利工程项目申报地方政府专项债券，探索发行水资源、水生态等领域专项债券，继续探索PPP融资方式，形成多元化投融资机制。</w:t>
      </w:r>
    </w:p>
    <w:p w14:paraId="501BDA55">
      <w:pPr>
        <w:pStyle w:val="26"/>
        <w:spacing w:line="600" w:lineRule="atLeast"/>
        <w:rPr>
          <w:rFonts w:eastAsia="方正楷体_GBK" w:cs="Times New Roman"/>
          <w:sz w:val="32"/>
          <w:szCs w:val="32"/>
        </w:rPr>
      </w:pPr>
      <w:bookmarkStart w:id="60" w:name="_Toc72495422"/>
      <w:bookmarkStart w:id="61" w:name="_Toc81566747"/>
      <w:r>
        <w:rPr>
          <w:rFonts w:eastAsia="方正楷体_GBK" w:cs="Times New Roman"/>
          <w:sz w:val="32"/>
          <w:szCs w:val="32"/>
        </w:rPr>
        <w:t>（四）突出改革创新</w:t>
      </w:r>
      <w:bookmarkEnd w:id="60"/>
      <w:bookmarkEnd w:id="61"/>
    </w:p>
    <w:p w14:paraId="2DDAFB2D">
      <w:pPr>
        <w:spacing w:line="600" w:lineRule="atLeast"/>
        <w:ind w:firstLine="640" w:firstLineChars="200"/>
        <w:rPr>
          <w:rFonts w:cs="Times New Roman"/>
          <w:szCs w:val="32"/>
        </w:rPr>
      </w:pPr>
      <w:r>
        <w:rPr>
          <w:rFonts w:cs="Times New Roman"/>
          <w:szCs w:val="32"/>
        </w:rPr>
        <w:t>建立水务创新发展激励机制，激发人才创新活力，强化科技创新与实践工作融合，破解制约水务发展瓶颈问题，为水务高质量发展注入强大动力</w:t>
      </w:r>
      <w:r>
        <w:rPr>
          <w:rFonts w:hint="eastAsia" w:cs="Times New Roman"/>
          <w:szCs w:val="32"/>
        </w:rPr>
        <w:t>；</w:t>
      </w:r>
      <w:r>
        <w:rPr>
          <w:rFonts w:cs="Times New Roman"/>
          <w:szCs w:val="32"/>
        </w:rPr>
        <w:t>探索制定节约用水奖补办法，推行合同节水管理，培育现代节水服务产业</w:t>
      </w:r>
      <w:r>
        <w:rPr>
          <w:rFonts w:hint="eastAsia" w:cs="Times New Roman"/>
          <w:szCs w:val="32"/>
        </w:rPr>
        <w:t>；</w:t>
      </w:r>
      <w:r>
        <w:rPr>
          <w:rFonts w:cs="Times New Roman"/>
          <w:szCs w:val="32"/>
        </w:rPr>
        <w:t>逐步探索区级水务质量和安全监督新模式</w:t>
      </w:r>
      <w:r>
        <w:rPr>
          <w:rFonts w:hint="eastAsia" w:cs="Times New Roman"/>
          <w:szCs w:val="32"/>
        </w:rPr>
        <w:t>，</w:t>
      </w:r>
      <w:r>
        <w:rPr>
          <w:rFonts w:cs="Times New Roman"/>
          <w:szCs w:val="32"/>
        </w:rPr>
        <w:t>深化水务改革创新，依托河湖长制平台推进水务一体化深入发展，强化水务重点领域和关键环节改革创新，推动水资源税、水权交易、工程运行管护等改革创新，以改革促发展，加快构建与经济社会现代化进程相适应的水务治理监管体系。</w:t>
      </w:r>
    </w:p>
    <w:p w14:paraId="351D0F9C">
      <w:pPr>
        <w:pStyle w:val="26"/>
        <w:spacing w:line="600" w:lineRule="atLeast"/>
        <w:rPr>
          <w:rFonts w:eastAsia="方正楷体_GBK" w:cs="Times New Roman"/>
          <w:sz w:val="32"/>
          <w:szCs w:val="32"/>
        </w:rPr>
      </w:pPr>
      <w:bookmarkStart w:id="62" w:name="_Toc72495423"/>
      <w:bookmarkStart w:id="63" w:name="_Toc81566748"/>
      <w:r>
        <w:rPr>
          <w:rFonts w:eastAsia="方正楷体_GBK" w:cs="Times New Roman"/>
          <w:sz w:val="32"/>
          <w:szCs w:val="32"/>
        </w:rPr>
        <w:t>（五）加强人才科技支撑</w:t>
      </w:r>
      <w:bookmarkEnd w:id="62"/>
      <w:bookmarkEnd w:id="63"/>
    </w:p>
    <w:p w14:paraId="3BFC4628">
      <w:pPr>
        <w:spacing w:line="600" w:lineRule="atLeast"/>
        <w:ind w:firstLine="640" w:firstLineChars="200"/>
        <w:rPr>
          <w:rFonts w:cs="Times New Roman"/>
          <w:szCs w:val="32"/>
        </w:rPr>
      </w:pPr>
      <w:r>
        <w:rPr>
          <w:rFonts w:cs="Times New Roman"/>
          <w:szCs w:val="32"/>
        </w:rPr>
        <w:t>贯彻新时代党的组织路线，持续加强水务高素质专业化人才队伍建设。健全以德为先、任人唯贤、人事相宜的选拔任用体系，源头培养、跟踪培养、全程培养的素质培养体系，日常考核、分类考核、近距离考核的知事识人体系，管思想、管工作、管作风、管纪律的从严管理体系和崇尚实干、带动担当、加油鼓劲的正向激励体系，培养忠诚干净担当的水务高素质干部</w:t>
      </w:r>
      <w:r>
        <w:rPr>
          <w:rFonts w:hint="eastAsia" w:cs="Times New Roman"/>
          <w:szCs w:val="32"/>
        </w:rPr>
        <w:t>；</w:t>
      </w:r>
      <w:r>
        <w:rPr>
          <w:rFonts w:cs="Times New Roman"/>
          <w:szCs w:val="32"/>
        </w:rPr>
        <w:t>聚焦水务现代化发展战略，汇集爱水奉献创新的强大动能</w:t>
      </w:r>
      <w:r>
        <w:rPr>
          <w:rFonts w:hint="eastAsia" w:cs="Times New Roman"/>
          <w:szCs w:val="32"/>
        </w:rPr>
        <w:t>，</w:t>
      </w:r>
      <w:r>
        <w:rPr>
          <w:rFonts w:cs="Times New Roman"/>
          <w:szCs w:val="32"/>
        </w:rPr>
        <w:t>深化用好“三项机制”，实施精准考核评价、强化结果运用</w:t>
      </w:r>
      <w:r>
        <w:rPr>
          <w:rFonts w:hint="eastAsia" w:cs="Times New Roman"/>
          <w:szCs w:val="32"/>
        </w:rPr>
        <w:t>；</w:t>
      </w:r>
      <w:r>
        <w:rPr>
          <w:rFonts w:cs="Times New Roman"/>
          <w:szCs w:val="32"/>
        </w:rPr>
        <w:t>不断加大专业人才培养和引进力度，</w:t>
      </w:r>
      <w:r>
        <w:rPr>
          <w:rFonts w:hint="eastAsia" w:cs="Times New Roman"/>
          <w:szCs w:val="32"/>
        </w:rPr>
        <w:t>计划培养2-3名水利工程中级以上工程师，健全行业培训、内部教育制度，</w:t>
      </w:r>
      <w:r>
        <w:rPr>
          <w:rFonts w:cs="Times New Roman"/>
          <w:szCs w:val="32"/>
        </w:rPr>
        <w:t>加强干部队伍交流锻炼和工作培训，提高依法行政、组织协调、应急处理、业务知识等方面的能力。</w:t>
      </w:r>
    </w:p>
    <w:p w14:paraId="5D0FE095">
      <w:pPr>
        <w:spacing w:line="600" w:lineRule="atLeast"/>
        <w:ind w:firstLine="640" w:firstLineChars="200"/>
        <w:rPr>
          <w:rFonts w:cs="Times New Roman"/>
          <w:szCs w:val="32"/>
        </w:rPr>
      </w:pPr>
      <w:r>
        <w:rPr>
          <w:rFonts w:cs="Times New Roman"/>
          <w:szCs w:val="32"/>
        </w:rPr>
        <w:t>不断深化水行政综合执法体制改革，统筹开展业务管理系统总体设计，理顺内部运行机制，提升工作效能</w:t>
      </w:r>
      <w:r>
        <w:rPr>
          <w:rFonts w:hint="eastAsia" w:cs="Times New Roman"/>
          <w:szCs w:val="32"/>
        </w:rPr>
        <w:t>；根据事权下放要求，积极探索区级水利质监体系建设，逐步承接区级水利项目质量监督工作，根据工作需要，适时联合市区执法部门组织专项行动，有重点地整治不规范排水行为；</w:t>
      </w:r>
      <w:r>
        <w:rPr>
          <w:rFonts w:cs="Times New Roman"/>
          <w:szCs w:val="32"/>
        </w:rPr>
        <w:t>完善与各科研单位、专业院校的协作机制，多渠道、多层次加大科技投入，整合科技项目资源开展水务规划建设、水资源水环境、水务设施管理调度、水旱灾害防御等重点领域的技术研究，逐步扩大“产学研”适用范围，积极推广新材料新技术在规划、建设、管理领域的应用。</w:t>
      </w:r>
    </w:p>
    <w:p w14:paraId="78524E23">
      <w:pPr>
        <w:pStyle w:val="26"/>
        <w:spacing w:line="600" w:lineRule="atLeast"/>
        <w:rPr>
          <w:rFonts w:eastAsia="方正楷体_GBK" w:cs="Times New Roman"/>
          <w:sz w:val="32"/>
          <w:szCs w:val="32"/>
        </w:rPr>
      </w:pPr>
      <w:bookmarkStart w:id="64" w:name="_Toc81566749"/>
      <w:bookmarkStart w:id="65" w:name="_Toc72495424"/>
      <w:r>
        <w:rPr>
          <w:rFonts w:eastAsia="方正楷体_GBK" w:cs="Times New Roman"/>
          <w:sz w:val="32"/>
          <w:szCs w:val="32"/>
        </w:rPr>
        <w:t>（六）强化社会参与</w:t>
      </w:r>
      <w:bookmarkEnd w:id="64"/>
      <w:bookmarkEnd w:id="65"/>
    </w:p>
    <w:p w14:paraId="7E8D1312">
      <w:pPr>
        <w:spacing w:line="600" w:lineRule="atLeast"/>
        <w:ind w:firstLine="640" w:firstLineChars="200"/>
        <w:rPr>
          <w:rFonts w:cs="Times New Roman"/>
          <w:szCs w:val="32"/>
        </w:rPr>
        <w:sectPr>
          <w:pgSz w:w="11907" w:h="16839"/>
          <w:pgMar w:top="1440" w:right="1800" w:bottom="1440" w:left="1800" w:header="851" w:footer="992" w:gutter="0"/>
          <w:cols w:space="425" w:num="1"/>
          <w:docGrid w:type="lines" w:linePitch="312" w:charSpace="0"/>
        </w:sectPr>
      </w:pPr>
      <w:r>
        <w:rPr>
          <w:rFonts w:cs="Times New Roman"/>
          <w:szCs w:val="32"/>
        </w:rPr>
        <w:t>按照共建、共管、共享的原则，凝聚社会各方资源参与水务建设发展，形成发展合力</w:t>
      </w:r>
      <w:r>
        <w:rPr>
          <w:rFonts w:hint="eastAsia" w:cs="Times New Roman"/>
          <w:szCs w:val="32"/>
        </w:rPr>
        <w:t>，</w:t>
      </w:r>
      <w:r>
        <w:rPr>
          <w:rFonts w:cs="Times New Roman"/>
          <w:szCs w:val="32"/>
        </w:rPr>
        <w:t>加强主流媒体宣传，依托“世界水日”、“中国水周”、“城市节水宣传周”等活动，促进公众参与，增强群众爱水、惜水和水资源保护意识</w:t>
      </w:r>
      <w:r>
        <w:rPr>
          <w:rFonts w:hint="eastAsia" w:cs="Times New Roman"/>
          <w:szCs w:val="32"/>
        </w:rPr>
        <w:t>；</w:t>
      </w:r>
      <w:r>
        <w:rPr>
          <w:rFonts w:cs="Times New Roman"/>
          <w:szCs w:val="32"/>
        </w:rPr>
        <w:t>以水利风景区</w:t>
      </w:r>
      <w:r>
        <w:rPr>
          <w:rFonts w:hint="eastAsia" w:cs="Times New Roman"/>
          <w:szCs w:val="32"/>
        </w:rPr>
        <w:t>、幸福</w:t>
      </w:r>
      <w:r>
        <w:rPr>
          <w:rFonts w:cs="Times New Roman"/>
          <w:szCs w:val="32"/>
        </w:rPr>
        <w:t>河湖样板为载体，建设一批融展示性和体验性于一体的水文化场馆、基地、示范区，增强水文化内涵，提高水文化影响力</w:t>
      </w:r>
      <w:r>
        <w:rPr>
          <w:rFonts w:hint="eastAsia" w:cs="Times New Roman"/>
          <w:szCs w:val="32"/>
        </w:rPr>
        <w:t>；</w:t>
      </w:r>
      <w:r>
        <w:rPr>
          <w:rFonts w:cs="Times New Roman"/>
          <w:szCs w:val="32"/>
        </w:rPr>
        <w:t>引导企业、部队、学校和公众，关心和参与水务建设，</w:t>
      </w:r>
      <w:r>
        <w:rPr>
          <w:rFonts w:hint="eastAsia" w:cs="Times New Roman"/>
          <w:szCs w:val="32"/>
        </w:rPr>
        <w:t>提高公众对水环境治理的参与度，</w:t>
      </w:r>
      <w:r>
        <w:rPr>
          <w:rFonts w:cs="Times New Roman"/>
          <w:szCs w:val="32"/>
        </w:rPr>
        <w:t>营造共同推动水务事业发展的良好氛围。</w:t>
      </w:r>
      <w:bookmarkEnd w:id="51"/>
    </w:p>
    <w:p w14:paraId="51C3D7C7">
      <w:pPr>
        <w:pStyle w:val="2"/>
        <w:spacing w:before="156" w:beforeLines="50" w:after="156" w:afterLines="50" w:line="600" w:lineRule="atLeast"/>
        <w:jc w:val="left"/>
        <w:rPr>
          <w:rFonts w:eastAsia="黑体"/>
          <w:b w:val="0"/>
        </w:rPr>
      </w:pPr>
      <w:bookmarkStart w:id="66" w:name="_Toc74991965"/>
      <w:bookmarkStart w:id="67" w:name="_Toc81566750"/>
      <w:r>
        <w:rPr>
          <w:rFonts w:eastAsia="黑体"/>
          <w:b w:val="0"/>
        </w:rPr>
        <w:t>附件：</w:t>
      </w:r>
      <w:bookmarkEnd w:id="66"/>
      <w:bookmarkEnd w:id="67"/>
    </w:p>
    <w:p w14:paraId="259C069D">
      <w:pPr>
        <w:keepNext/>
        <w:keepLines/>
        <w:spacing w:before="120" w:after="120" w:line="600" w:lineRule="atLeast"/>
        <w:outlineLvl w:val="1"/>
        <w:rPr>
          <w:rFonts w:eastAsia="方正黑体_GBK" w:cs="Times New Roman"/>
          <w:bCs/>
          <w:sz w:val="30"/>
          <w:szCs w:val="32"/>
        </w:rPr>
      </w:pPr>
      <w:bookmarkStart w:id="68" w:name="_Toc81566751"/>
      <w:bookmarkStart w:id="69" w:name="_Toc74991966"/>
      <w:r>
        <w:rPr>
          <w:rFonts w:eastAsia="方正黑体_GBK" w:cs="Times New Roman"/>
          <w:bCs/>
          <w:sz w:val="30"/>
          <w:szCs w:val="32"/>
        </w:rPr>
        <w:t>附表1 秦淮区“十三五”期间水务重点项目实施情况汇总表</w:t>
      </w:r>
      <w:bookmarkEnd w:id="68"/>
      <w:bookmarkEnd w:id="69"/>
    </w:p>
    <w:tbl>
      <w:tblPr>
        <w:tblStyle w:val="16"/>
        <w:tblW w:w="13604"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693"/>
        <w:gridCol w:w="10041"/>
      </w:tblGrid>
      <w:tr w14:paraId="0F276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0" w:type="dxa"/>
            <w:vMerge w:val="restart"/>
            <w:shd w:val="clear" w:color="auto" w:fill="auto"/>
            <w:vAlign w:val="center"/>
          </w:tcPr>
          <w:p w14:paraId="4C22D272">
            <w:pPr>
              <w:widowControl/>
              <w:adjustRightInd w:val="0"/>
              <w:snapToGrid w:val="0"/>
              <w:spacing w:line="600" w:lineRule="atLeast"/>
              <w:jc w:val="center"/>
              <w:rPr>
                <w:rFonts w:eastAsia="宋体" w:cs="Times New Roman"/>
                <w:b/>
                <w:bCs/>
                <w:color w:val="000000"/>
                <w:kern w:val="0"/>
                <w:sz w:val="21"/>
                <w:szCs w:val="21"/>
              </w:rPr>
            </w:pPr>
            <w:r>
              <w:rPr>
                <w:rFonts w:eastAsia="宋体" w:cs="Times New Roman"/>
                <w:b/>
                <w:bCs/>
                <w:color w:val="000000"/>
                <w:kern w:val="0"/>
                <w:sz w:val="21"/>
                <w:szCs w:val="21"/>
              </w:rPr>
              <w:t>序号</w:t>
            </w:r>
          </w:p>
        </w:tc>
        <w:tc>
          <w:tcPr>
            <w:tcW w:w="2693" w:type="dxa"/>
            <w:vMerge w:val="restart"/>
            <w:shd w:val="clear" w:color="auto" w:fill="auto"/>
            <w:vAlign w:val="center"/>
          </w:tcPr>
          <w:p w14:paraId="76749FF2">
            <w:pPr>
              <w:widowControl/>
              <w:adjustRightInd w:val="0"/>
              <w:snapToGrid w:val="0"/>
              <w:spacing w:line="600" w:lineRule="atLeast"/>
              <w:jc w:val="center"/>
              <w:rPr>
                <w:rFonts w:eastAsia="宋体" w:cs="Times New Roman"/>
                <w:b/>
                <w:bCs/>
                <w:color w:val="000000"/>
                <w:kern w:val="0"/>
                <w:sz w:val="21"/>
                <w:szCs w:val="21"/>
              </w:rPr>
            </w:pPr>
            <w:r>
              <w:rPr>
                <w:rFonts w:eastAsia="宋体" w:cs="Times New Roman"/>
                <w:b/>
                <w:bCs/>
                <w:color w:val="000000"/>
                <w:kern w:val="0"/>
                <w:sz w:val="21"/>
                <w:szCs w:val="21"/>
              </w:rPr>
              <w:t>项目名称</w:t>
            </w:r>
          </w:p>
        </w:tc>
        <w:tc>
          <w:tcPr>
            <w:tcW w:w="10041" w:type="dxa"/>
            <w:vMerge w:val="restart"/>
            <w:shd w:val="clear" w:color="auto" w:fill="auto"/>
            <w:vAlign w:val="center"/>
          </w:tcPr>
          <w:p w14:paraId="4C02B40A">
            <w:pPr>
              <w:widowControl/>
              <w:adjustRightInd w:val="0"/>
              <w:snapToGrid w:val="0"/>
              <w:spacing w:line="600" w:lineRule="atLeast"/>
              <w:jc w:val="center"/>
              <w:rPr>
                <w:rFonts w:eastAsia="宋体" w:cs="Times New Roman"/>
                <w:b/>
                <w:bCs/>
                <w:color w:val="000000"/>
                <w:kern w:val="0"/>
                <w:sz w:val="21"/>
                <w:szCs w:val="21"/>
              </w:rPr>
            </w:pPr>
            <w:r>
              <w:rPr>
                <w:rFonts w:eastAsia="宋体" w:cs="Times New Roman"/>
                <w:b/>
                <w:bCs/>
                <w:color w:val="000000"/>
                <w:kern w:val="0"/>
                <w:sz w:val="21"/>
                <w:szCs w:val="21"/>
              </w:rPr>
              <w:t>主要工程实施情况</w:t>
            </w:r>
          </w:p>
        </w:tc>
      </w:tr>
      <w:tr w14:paraId="6C1A7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0" w:type="dxa"/>
            <w:vMerge w:val="continue"/>
            <w:vAlign w:val="center"/>
          </w:tcPr>
          <w:p w14:paraId="612FA6B9">
            <w:pPr>
              <w:widowControl/>
              <w:adjustRightInd w:val="0"/>
              <w:snapToGrid w:val="0"/>
              <w:spacing w:line="600" w:lineRule="atLeast"/>
              <w:jc w:val="left"/>
              <w:rPr>
                <w:rFonts w:eastAsia="宋体" w:cs="Times New Roman"/>
                <w:b/>
                <w:bCs/>
                <w:color w:val="000000"/>
                <w:kern w:val="0"/>
                <w:sz w:val="21"/>
                <w:szCs w:val="21"/>
              </w:rPr>
            </w:pPr>
          </w:p>
        </w:tc>
        <w:tc>
          <w:tcPr>
            <w:tcW w:w="2693" w:type="dxa"/>
            <w:vMerge w:val="continue"/>
            <w:vAlign w:val="center"/>
          </w:tcPr>
          <w:p w14:paraId="52159D38">
            <w:pPr>
              <w:widowControl/>
              <w:adjustRightInd w:val="0"/>
              <w:snapToGrid w:val="0"/>
              <w:spacing w:line="600" w:lineRule="atLeast"/>
              <w:jc w:val="center"/>
              <w:rPr>
                <w:rFonts w:eastAsia="宋体" w:cs="Times New Roman"/>
                <w:b/>
                <w:bCs/>
                <w:color w:val="000000"/>
                <w:kern w:val="0"/>
                <w:sz w:val="21"/>
                <w:szCs w:val="21"/>
              </w:rPr>
            </w:pPr>
          </w:p>
        </w:tc>
        <w:tc>
          <w:tcPr>
            <w:tcW w:w="10041" w:type="dxa"/>
            <w:vMerge w:val="continue"/>
            <w:vAlign w:val="center"/>
          </w:tcPr>
          <w:p w14:paraId="05D2C889">
            <w:pPr>
              <w:widowControl/>
              <w:adjustRightInd w:val="0"/>
              <w:snapToGrid w:val="0"/>
              <w:spacing w:line="600" w:lineRule="atLeast"/>
              <w:jc w:val="left"/>
              <w:rPr>
                <w:rFonts w:eastAsia="宋体" w:cs="Times New Roman"/>
                <w:b/>
                <w:bCs/>
                <w:color w:val="000000"/>
                <w:kern w:val="0"/>
                <w:sz w:val="21"/>
                <w:szCs w:val="21"/>
              </w:rPr>
            </w:pPr>
          </w:p>
        </w:tc>
      </w:tr>
      <w:tr w14:paraId="10F2D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0" w:type="dxa"/>
            <w:vMerge w:val="continue"/>
            <w:vAlign w:val="center"/>
          </w:tcPr>
          <w:p w14:paraId="34F1A074">
            <w:pPr>
              <w:widowControl/>
              <w:adjustRightInd w:val="0"/>
              <w:snapToGrid w:val="0"/>
              <w:spacing w:line="600" w:lineRule="atLeast"/>
              <w:jc w:val="left"/>
              <w:rPr>
                <w:rFonts w:eastAsia="宋体" w:cs="Times New Roman"/>
                <w:b/>
                <w:bCs/>
                <w:color w:val="000000"/>
                <w:kern w:val="0"/>
                <w:sz w:val="21"/>
                <w:szCs w:val="21"/>
              </w:rPr>
            </w:pPr>
          </w:p>
        </w:tc>
        <w:tc>
          <w:tcPr>
            <w:tcW w:w="2693" w:type="dxa"/>
            <w:vMerge w:val="continue"/>
            <w:vAlign w:val="center"/>
          </w:tcPr>
          <w:p w14:paraId="4853D6FA">
            <w:pPr>
              <w:widowControl/>
              <w:adjustRightInd w:val="0"/>
              <w:snapToGrid w:val="0"/>
              <w:spacing w:line="600" w:lineRule="atLeast"/>
              <w:jc w:val="center"/>
              <w:rPr>
                <w:rFonts w:eastAsia="宋体" w:cs="Times New Roman"/>
                <w:b/>
                <w:bCs/>
                <w:color w:val="000000"/>
                <w:kern w:val="0"/>
                <w:sz w:val="21"/>
                <w:szCs w:val="21"/>
              </w:rPr>
            </w:pPr>
          </w:p>
        </w:tc>
        <w:tc>
          <w:tcPr>
            <w:tcW w:w="10041" w:type="dxa"/>
            <w:vMerge w:val="continue"/>
            <w:vAlign w:val="center"/>
          </w:tcPr>
          <w:p w14:paraId="65A42FD4">
            <w:pPr>
              <w:widowControl/>
              <w:adjustRightInd w:val="0"/>
              <w:snapToGrid w:val="0"/>
              <w:spacing w:line="600" w:lineRule="atLeast"/>
              <w:jc w:val="left"/>
              <w:rPr>
                <w:rFonts w:eastAsia="宋体" w:cs="Times New Roman"/>
                <w:b/>
                <w:bCs/>
                <w:color w:val="000000"/>
                <w:kern w:val="0"/>
                <w:sz w:val="21"/>
                <w:szCs w:val="21"/>
              </w:rPr>
            </w:pPr>
          </w:p>
        </w:tc>
      </w:tr>
      <w:tr w14:paraId="08BD1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870" w:type="dxa"/>
            <w:shd w:val="clear" w:color="auto" w:fill="auto"/>
            <w:vAlign w:val="center"/>
          </w:tcPr>
          <w:p w14:paraId="60804322">
            <w:pPr>
              <w:widowControl/>
              <w:adjustRightInd w:val="0"/>
              <w:snapToGrid w:val="0"/>
              <w:spacing w:line="600" w:lineRule="atLeast"/>
              <w:jc w:val="center"/>
              <w:rPr>
                <w:rFonts w:eastAsia="宋体" w:cs="Times New Roman"/>
                <w:b/>
                <w:bCs/>
                <w:color w:val="000000"/>
                <w:kern w:val="0"/>
                <w:sz w:val="21"/>
                <w:szCs w:val="21"/>
              </w:rPr>
            </w:pPr>
            <w:r>
              <w:rPr>
                <w:rFonts w:eastAsia="宋体" w:cs="Times New Roman"/>
                <w:b/>
                <w:bCs/>
                <w:color w:val="000000"/>
                <w:kern w:val="0"/>
                <w:sz w:val="21"/>
                <w:szCs w:val="21"/>
              </w:rPr>
              <w:t>一</w:t>
            </w:r>
          </w:p>
        </w:tc>
        <w:tc>
          <w:tcPr>
            <w:tcW w:w="2693" w:type="dxa"/>
            <w:shd w:val="clear" w:color="auto" w:fill="auto"/>
            <w:vAlign w:val="center"/>
          </w:tcPr>
          <w:p w14:paraId="176FA4CD">
            <w:pPr>
              <w:widowControl/>
              <w:adjustRightInd w:val="0"/>
              <w:snapToGrid w:val="0"/>
              <w:spacing w:line="600" w:lineRule="atLeast"/>
              <w:jc w:val="center"/>
              <w:rPr>
                <w:rFonts w:eastAsia="宋体" w:cs="Times New Roman"/>
                <w:b/>
                <w:bCs/>
                <w:color w:val="000000"/>
                <w:kern w:val="0"/>
                <w:sz w:val="21"/>
                <w:szCs w:val="21"/>
              </w:rPr>
            </w:pPr>
            <w:r>
              <w:rPr>
                <w:rFonts w:eastAsia="宋体" w:cs="Times New Roman"/>
                <w:b/>
                <w:bCs/>
                <w:color w:val="000000"/>
                <w:kern w:val="0"/>
                <w:sz w:val="21"/>
                <w:szCs w:val="21"/>
              </w:rPr>
              <w:t>防洪排涝工程</w:t>
            </w:r>
          </w:p>
        </w:tc>
        <w:tc>
          <w:tcPr>
            <w:tcW w:w="10041" w:type="dxa"/>
            <w:shd w:val="clear" w:color="auto" w:fill="auto"/>
            <w:vAlign w:val="center"/>
          </w:tcPr>
          <w:p w14:paraId="38876614">
            <w:pPr>
              <w:widowControl/>
              <w:adjustRightInd w:val="0"/>
              <w:snapToGrid w:val="0"/>
              <w:spacing w:line="600" w:lineRule="atLeast"/>
              <w:jc w:val="left"/>
              <w:rPr>
                <w:rFonts w:eastAsia="宋体" w:cs="Times New Roman"/>
                <w:color w:val="000000"/>
                <w:kern w:val="0"/>
                <w:sz w:val="21"/>
                <w:szCs w:val="21"/>
              </w:rPr>
            </w:pPr>
            <w:r>
              <w:rPr>
                <w:rFonts w:eastAsia="宋体" w:cs="Times New Roman"/>
                <w:color w:val="000000"/>
                <w:kern w:val="0"/>
                <w:sz w:val="21"/>
                <w:szCs w:val="21"/>
              </w:rPr>
              <w:t>　</w:t>
            </w:r>
          </w:p>
        </w:tc>
      </w:tr>
      <w:tr w14:paraId="2369F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70" w:type="dxa"/>
            <w:shd w:val="clear" w:color="auto" w:fill="auto"/>
            <w:vAlign w:val="center"/>
          </w:tcPr>
          <w:p w14:paraId="61A0D7DA">
            <w:pPr>
              <w:widowControl/>
              <w:adjustRightInd w:val="0"/>
              <w:snapToGrid w:val="0"/>
              <w:spacing w:line="600" w:lineRule="atLeast"/>
              <w:jc w:val="center"/>
              <w:rPr>
                <w:rFonts w:eastAsia="宋体" w:cs="Times New Roman"/>
                <w:b/>
                <w:bCs/>
                <w:color w:val="000000"/>
                <w:kern w:val="0"/>
                <w:sz w:val="21"/>
                <w:szCs w:val="21"/>
              </w:rPr>
            </w:pPr>
            <w:r>
              <w:rPr>
                <w:rFonts w:eastAsia="宋体" w:cs="Times New Roman"/>
                <w:b/>
                <w:bCs/>
                <w:color w:val="000000"/>
                <w:kern w:val="0"/>
                <w:sz w:val="21"/>
                <w:szCs w:val="21"/>
              </w:rPr>
              <w:t>（一）</w:t>
            </w:r>
          </w:p>
        </w:tc>
        <w:tc>
          <w:tcPr>
            <w:tcW w:w="2693" w:type="dxa"/>
            <w:shd w:val="clear" w:color="auto" w:fill="auto"/>
            <w:vAlign w:val="center"/>
          </w:tcPr>
          <w:p w14:paraId="1DF1DEBD">
            <w:pPr>
              <w:widowControl/>
              <w:adjustRightInd w:val="0"/>
              <w:snapToGrid w:val="0"/>
              <w:spacing w:line="600" w:lineRule="atLeast"/>
              <w:jc w:val="center"/>
              <w:rPr>
                <w:rFonts w:eastAsia="宋体" w:cs="Times New Roman"/>
                <w:b/>
                <w:bCs/>
                <w:color w:val="000000"/>
                <w:kern w:val="0"/>
                <w:sz w:val="21"/>
                <w:szCs w:val="21"/>
              </w:rPr>
            </w:pPr>
            <w:r>
              <w:rPr>
                <w:rFonts w:eastAsia="宋体" w:cs="Times New Roman"/>
                <w:b/>
                <w:bCs/>
                <w:color w:val="000000"/>
                <w:kern w:val="0"/>
                <w:sz w:val="21"/>
                <w:szCs w:val="21"/>
              </w:rPr>
              <w:t>流域区域治理工程</w:t>
            </w:r>
          </w:p>
        </w:tc>
        <w:tc>
          <w:tcPr>
            <w:tcW w:w="10041" w:type="dxa"/>
            <w:shd w:val="clear" w:color="auto" w:fill="auto"/>
            <w:vAlign w:val="center"/>
          </w:tcPr>
          <w:p w14:paraId="64DCC300">
            <w:pPr>
              <w:widowControl/>
              <w:adjustRightInd w:val="0"/>
              <w:snapToGrid w:val="0"/>
              <w:spacing w:line="600" w:lineRule="atLeast"/>
              <w:jc w:val="left"/>
              <w:rPr>
                <w:rFonts w:eastAsia="宋体" w:cs="Times New Roman"/>
                <w:color w:val="000000"/>
                <w:kern w:val="0"/>
                <w:sz w:val="21"/>
                <w:szCs w:val="21"/>
              </w:rPr>
            </w:pPr>
            <w:r>
              <w:rPr>
                <w:rFonts w:eastAsia="宋体" w:cs="Times New Roman"/>
                <w:color w:val="000000"/>
                <w:kern w:val="0"/>
                <w:sz w:val="21"/>
                <w:szCs w:val="21"/>
              </w:rPr>
              <w:t>　完成秦淮河上坊门桥至中和桥段综合整治工程，实施秦淮河中和桥至汉中门桥段清淤工程，总计实施堤防加固改造11.7km，河道清淤拓浚14.3km。完成秦淮河广洋段、肖家盘段、七桥瓮湿地公园段、象房南村段堤防消险4处；完成运粮河银龙桥至友谊路桥段堤防消险1处；完成友谊河四方新村段堤防消险和撇洪沟堤防消险。</w:t>
            </w:r>
          </w:p>
        </w:tc>
      </w:tr>
      <w:tr w14:paraId="290EE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870" w:type="dxa"/>
            <w:shd w:val="clear" w:color="auto" w:fill="auto"/>
            <w:vAlign w:val="center"/>
          </w:tcPr>
          <w:p w14:paraId="1931D128">
            <w:pPr>
              <w:widowControl/>
              <w:adjustRightInd w:val="0"/>
              <w:snapToGrid w:val="0"/>
              <w:spacing w:line="600" w:lineRule="atLeast"/>
              <w:jc w:val="center"/>
              <w:rPr>
                <w:rFonts w:eastAsia="宋体" w:cs="Times New Roman"/>
                <w:color w:val="000000"/>
                <w:kern w:val="0"/>
                <w:sz w:val="21"/>
                <w:szCs w:val="21"/>
              </w:rPr>
            </w:pPr>
          </w:p>
        </w:tc>
        <w:tc>
          <w:tcPr>
            <w:tcW w:w="2693" w:type="dxa"/>
            <w:shd w:val="clear" w:color="auto" w:fill="auto"/>
            <w:vAlign w:val="center"/>
          </w:tcPr>
          <w:p w14:paraId="44245B5D">
            <w:pPr>
              <w:widowControl/>
              <w:adjustRightInd w:val="0"/>
              <w:snapToGrid w:val="0"/>
              <w:spacing w:line="600" w:lineRule="atLeast"/>
              <w:jc w:val="center"/>
              <w:rPr>
                <w:rFonts w:eastAsia="宋体" w:cs="Times New Roman"/>
                <w:color w:val="000000"/>
                <w:kern w:val="0"/>
                <w:sz w:val="21"/>
                <w:szCs w:val="21"/>
              </w:rPr>
            </w:pPr>
          </w:p>
        </w:tc>
        <w:tc>
          <w:tcPr>
            <w:tcW w:w="10041" w:type="dxa"/>
            <w:shd w:val="clear" w:color="auto" w:fill="auto"/>
            <w:vAlign w:val="center"/>
          </w:tcPr>
          <w:p w14:paraId="496DBE43">
            <w:pPr>
              <w:widowControl/>
              <w:adjustRightInd w:val="0"/>
              <w:snapToGrid w:val="0"/>
              <w:spacing w:line="600" w:lineRule="atLeast"/>
              <w:jc w:val="left"/>
              <w:rPr>
                <w:rFonts w:eastAsia="宋体" w:cs="Times New Roman"/>
                <w:color w:val="000000"/>
                <w:kern w:val="0"/>
                <w:sz w:val="21"/>
                <w:szCs w:val="21"/>
              </w:rPr>
            </w:pPr>
          </w:p>
        </w:tc>
      </w:tr>
      <w:tr w14:paraId="09F01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870" w:type="dxa"/>
            <w:shd w:val="clear" w:color="auto" w:fill="auto"/>
            <w:vAlign w:val="center"/>
          </w:tcPr>
          <w:p w14:paraId="414D5401">
            <w:pPr>
              <w:widowControl/>
              <w:adjustRightInd w:val="0"/>
              <w:snapToGrid w:val="0"/>
              <w:spacing w:line="600" w:lineRule="atLeast"/>
              <w:jc w:val="center"/>
              <w:rPr>
                <w:rFonts w:eastAsia="宋体" w:cs="Times New Roman"/>
                <w:b/>
                <w:bCs/>
                <w:color w:val="000000"/>
                <w:kern w:val="0"/>
                <w:sz w:val="21"/>
                <w:szCs w:val="21"/>
              </w:rPr>
            </w:pPr>
            <w:r>
              <w:rPr>
                <w:rFonts w:eastAsia="宋体" w:cs="Times New Roman"/>
                <w:b/>
                <w:bCs/>
                <w:color w:val="000000"/>
                <w:kern w:val="0"/>
                <w:sz w:val="21"/>
                <w:szCs w:val="21"/>
              </w:rPr>
              <w:t>（二）</w:t>
            </w:r>
          </w:p>
        </w:tc>
        <w:tc>
          <w:tcPr>
            <w:tcW w:w="2693" w:type="dxa"/>
            <w:shd w:val="clear" w:color="auto" w:fill="auto"/>
            <w:vAlign w:val="center"/>
          </w:tcPr>
          <w:p w14:paraId="0726DEDA">
            <w:pPr>
              <w:widowControl/>
              <w:adjustRightInd w:val="0"/>
              <w:snapToGrid w:val="0"/>
              <w:spacing w:line="600" w:lineRule="atLeast"/>
              <w:jc w:val="center"/>
              <w:rPr>
                <w:rFonts w:eastAsia="宋体" w:cs="Times New Roman"/>
                <w:b/>
                <w:bCs/>
                <w:color w:val="000000"/>
                <w:kern w:val="0"/>
                <w:sz w:val="21"/>
                <w:szCs w:val="21"/>
              </w:rPr>
            </w:pPr>
            <w:r>
              <w:rPr>
                <w:rFonts w:eastAsia="宋体" w:cs="Times New Roman"/>
                <w:b/>
                <w:bCs/>
                <w:color w:val="000000"/>
                <w:kern w:val="0"/>
                <w:sz w:val="21"/>
                <w:szCs w:val="21"/>
              </w:rPr>
              <w:t>城市防洪除涝工程</w:t>
            </w:r>
          </w:p>
        </w:tc>
        <w:tc>
          <w:tcPr>
            <w:tcW w:w="10041" w:type="dxa"/>
            <w:shd w:val="clear" w:color="auto" w:fill="auto"/>
            <w:vAlign w:val="center"/>
          </w:tcPr>
          <w:p w14:paraId="08241DF2">
            <w:pPr>
              <w:widowControl/>
              <w:adjustRightInd w:val="0"/>
              <w:snapToGrid w:val="0"/>
              <w:spacing w:line="600" w:lineRule="atLeast"/>
              <w:jc w:val="left"/>
              <w:rPr>
                <w:rFonts w:eastAsia="宋体" w:cs="Times New Roman"/>
                <w:color w:val="000000"/>
                <w:kern w:val="0"/>
                <w:sz w:val="21"/>
                <w:szCs w:val="21"/>
              </w:rPr>
            </w:pPr>
            <w:r>
              <w:rPr>
                <w:rFonts w:eastAsia="宋体" w:cs="Times New Roman"/>
                <w:color w:val="000000"/>
                <w:kern w:val="0"/>
                <w:sz w:val="21"/>
                <w:szCs w:val="21"/>
              </w:rPr>
              <w:t>　新建友谊河闸站、响水河泵站，完成翁家营泵站、肖家盘泵站等13座重点城市泵站改扩建，新增排水量约120m³/s。完成友谊河、响水河、永丰河等城市重点河道整治，对区内26条主要排涝河道进行疏浚。完成雨水管道清疏4445km，清捞雨水检查井32.8万余座，清理雨水收集井35.85万余座。开展积淹水点整治32处，新建或改造排水管道5600余米，新建或改造雨水检查井260座，新建或改造雨水收集井610座。完成内秦淮河朝天宫段和象房村泵站三孔闸修缮等河道泵站维修工作。</w:t>
            </w:r>
          </w:p>
        </w:tc>
      </w:tr>
      <w:tr w14:paraId="5626A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70" w:type="dxa"/>
            <w:shd w:val="clear" w:color="auto" w:fill="auto"/>
            <w:vAlign w:val="center"/>
          </w:tcPr>
          <w:p w14:paraId="4EAC734E">
            <w:pPr>
              <w:widowControl/>
              <w:adjustRightInd w:val="0"/>
              <w:snapToGrid w:val="0"/>
              <w:spacing w:line="600" w:lineRule="atLeast"/>
              <w:jc w:val="center"/>
              <w:rPr>
                <w:rFonts w:eastAsia="宋体" w:cs="Times New Roman"/>
                <w:b/>
                <w:bCs/>
                <w:color w:val="000000"/>
                <w:kern w:val="0"/>
                <w:sz w:val="21"/>
                <w:szCs w:val="21"/>
              </w:rPr>
            </w:pPr>
            <w:r>
              <w:rPr>
                <w:rFonts w:eastAsia="宋体" w:cs="Times New Roman"/>
                <w:b/>
                <w:bCs/>
                <w:color w:val="000000"/>
                <w:kern w:val="0"/>
                <w:sz w:val="21"/>
                <w:szCs w:val="21"/>
              </w:rPr>
              <w:t>二</w:t>
            </w:r>
          </w:p>
        </w:tc>
        <w:tc>
          <w:tcPr>
            <w:tcW w:w="2693" w:type="dxa"/>
            <w:shd w:val="clear" w:color="auto" w:fill="auto"/>
            <w:vAlign w:val="center"/>
          </w:tcPr>
          <w:p w14:paraId="2B230CEA">
            <w:pPr>
              <w:widowControl/>
              <w:adjustRightInd w:val="0"/>
              <w:snapToGrid w:val="0"/>
              <w:spacing w:line="600" w:lineRule="atLeast"/>
              <w:jc w:val="center"/>
              <w:rPr>
                <w:rFonts w:eastAsia="宋体" w:cs="Times New Roman"/>
                <w:b/>
                <w:bCs/>
                <w:color w:val="000000"/>
                <w:kern w:val="0"/>
                <w:sz w:val="21"/>
                <w:szCs w:val="21"/>
              </w:rPr>
            </w:pPr>
            <w:r>
              <w:rPr>
                <w:rFonts w:eastAsia="宋体" w:cs="Times New Roman"/>
                <w:b/>
                <w:bCs/>
                <w:color w:val="000000"/>
                <w:kern w:val="0"/>
                <w:sz w:val="21"/>
                <w:szCs w:val="21"/>
              </w:rPr>
              <w:t>供水节水工程</w:t>
            </w:r>
          </w:p>
        </w:tc>
        <w:tc>
          <w:tcPr>
            <w:tcW w:w="10041" w:type="dxa"/>
            <w:shd w:val="clear" w:color="auto" w:fill="auto"/>
            <w:vAlign w:val="center"/>
          </w:tcPr>
          <w:p w14:paraId="7595074E">
            <w:pPr>
              <w:widowControl/>
              <w:adjustRightInd w:val="0"/>
              <w:snapToGrid w:val="0"/>
              <w:spacing w:line="600" w:lineRule="atLeast"/>
              <w:jc w:val="left"/>
              <w:rPr>
                <w:rFonts w:eastAsia="宋体" w:cs="Times New Roman"/>
                <w:color w:val="000000"/>
                <w:kern w:val="0"/>
                <w:sz w:val="21"/>
                <w:szCs w:val="21"/>
              </w:rPr>
            </w:pPr>
            <w:r>
              <w:rPr>
                <w:rFonts w:eastAsia="宋体" w:cs="Times New Roman"/>
                <w:color w:val="000000"/>
                <w:kern w:val="0"/>
                <w:sz w:val="21"/>
                <w:szCs w:val="21"/>
              </w:rPr>
              <w:t>　</w:t>
            </w:r>
          </w:p>
        </w:tc>
      </w:tr>
      <w:tr w14:paraId="0AD93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870" w:type="dxa"/>
            <w:shd w:val="clear" w:color="auto" w:fill="auto"/>
            <w:vAlign w:val="center"/>
          </w:tcPr>
          <w:p w14:paraId="5A7C9D71">
            <w:pPr>
              <w:widowControl/>
              <w:adjustRightInd w:val="0"/>
              <w:snapToGrid w:val="0"/>
              <w:spacing w:line="600" w:lineRule="atLeast"/>
              <w:jc w:val="center"/>
              <w:rPr>
                <w:rFonts w:eastAsia="宋体" w:cs="Times New Roman"/>
                <w:b/>
                <w:bCs/>
                <w:color w:val="000000"/>
                <w:kern w:val="0"/>
                <w:sz w:val="21"/>
                <w:szCs w:val="21"/>
              </w:rPr>
            </w:pPr>
            <w:r>
              <w:rPr>
                <w:rFonts w:eastAsia="宋体" w:cs="Times New Roman"/>
                <w:b/>
                <w:bCs/>
                <w:color w:val="000000"/>
                <w:kern w:val="0"/>
                <w:sz w:val="21"/>
                <w:szCs w:val="21"/>
              </w:rPr>
              <w:t>（一）</w:t>
            </w:r>
          </w:p>
        </w:tc>
        <w:tc>
          <w:tcPr>
            <w:tcW w:w="2693" w:type="dxa"/>
            <w:shd w:val="clear" w:color="auto" w:fill="auto"/>
            <w:vAlign w:val="center"/>
          </w:tcPr>
          <w:p w14:paraId="693016AE">
            <w:pPr>
              <w:widowControl/>
              <w:adjustRightInd w:val="0"/>
              <w:snapToGrid w:val="0"/>
              <w:spacing w:line="600" w:lineRule="atLeast"/>
              <w:jc w:val="center"/>
              <w:rPr>
                <w:rFonts w:eastAsia="宋体" w:cs="Times New Roman"/>
                <w:b/>
                <w:bCs/>
                <w:color w:val="000000"/>
                <w:kern w:val="0"/>
                <w:sz w:val="21"/>
                <w:szCs w:val="21"/>
              </w:rPr>
            </w:pPr>
            <w:r>
              <w:rPr>
                <w:rFonts w:eastAsia="宋体" w:cs="Times New Roman"/>
                <w:b/>
                <w:bCs/>
                <w:color w:val="000000"/>
                <w:kern w:val="0"/>
                <w:sz w:val="21"/>
                <w:szCs w:val="21"/>
              </w:rPr>
              <w:t>区域供水工程</w:t>
            </w:r>
          </w:p>
        </w:tc>
        <w:tc>
          <w:tcPr>
            <w:tcW w:w="10041" w:type="dxa"/>
            <w:shd w:val="clear" w:color="auto" w:fill="auto"/>
            <w:vAlign w:val="center"/>
          </w:tcPr>
          <w:p w14:paraId="403028E3">
            <w:pPr>
              <w:widowControl/>
              <w:adjustRightInd w:val="0"/>
              <w:snapToGrid w:val="0"/>
              <w:spacing w:line="600" w:lineRule="atLeast"/>
              <w:jc w:val="left"/>
              <w:rPr>
                <w:rFonts w:eastAsia="宋体" w:cs="Times New Roman"/>
                <w:color w:val="000000"/>
                <w:kern w:val="0"/>
                <w:sz w:val="21"/>
                <w:szCs w:val="21"/>
              </w:rPr>
            </w:pPr>
            <w:r>
              <w:rPr>
                <w:rFonts w:eastAsia="宋体" w:cs="Times New Roman"/>
                <w:color w:val="000000"/>
                <w:kern w:val="0"/>
                <w:sz w:val="21"/>
                <w:szCs w:val="21"/>
              </w:rPr>
              <w:t>　完成全区二次供水设施改造工程，保障供水安全。配合市级实施区域供水工程建设，完成供水管道建设任务，城镇供水管网漏损率下降到9.6%。</w:t>
            </w:r>
          </w:p>
        </w:tc>
      </w:tr>
      <w:tr w14:paraId="34E0E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870" w:type="dxa"/>
            <w:shd w:val="clear" w:color="auto" w:fill="auto"/>
            <w:vAlign w:val="center"/>
          </w:tcPr>
          <w:p w14:paraId="398AD9E0">
            <w:pPr>
              <w:widowControl/>
              <w:adjustRightInd w:val="0"/>
              <w:snapToGrid w:val="0"/>
              <w:spacing w:line="600" w:lineRule="atLeast"/>
              <w:jc w:val="center"/>
              <w:rPr>
                <w:rFonts w:eastAsia="宋体" w:cs="Times New Roman"/>
                <w:color w:val="000000"/>
                <w:kern w:val="0"/>
                <w:sz w:val="21"/>
                <w:szCs w:val="21"/>
              </w:rPr>
            </w:pPr>
          </w:p>
        </w:tc>
        <w:tc>
          <w:tcPr>
            <w:tcW w:w="2693" w:type="dxa"/>
            <w:shd w:val="clear" w:color="auto" w:fill="auto"/>
            <w:vAlign w:val="center"/>
          </w:tcPr>
          <w:p w14:paraId="4E55FDDA">
            <w:pPr>
              <w:widowControl/>
              <w:adjustRightInd w:val="0"/>
              <w:snapToGrid w:val="0"/>
              <w:spacing w:line="600" w:lineRule="atLeast"/>
              <w:jc w:val="center"/>
              <w:rPr>
                <w:rFonts w:eastAsia="宋体" w:cs="Times New Roman"/>
                <w:color w:val="000000"/>
                <w:kern w:val="0"/>
                <w:sz w:val="21"/>
                <w:szCs w:val="21"/>
              </w:rPr>
            </w:pPr>
          </w:p>
        </w:tc>
        <w:tc>
          <w:tcPr>
            <w:tcW w:w="10041" w:type="dxa"/>
            <w:shd w:val="clear" w:color="auto" w:fill="auto"/>
            <w:vAlign w:val="center"/>
          </w:tcPr>
          <w:p w14:paraId="6CC18DE4">
            <w:pPr>
              <w:widowControl/>
              <w:adjustRightInd w:val="0"/>
              <w:snapToGrid w:val="0"/>
              <w:spacing w:line="600" w:lineRule="atLeast"/>
              <w:jc w:val="left"/>
              <w:rPr>
                <w:rFonts w:eastAsia="宋体" w:cs="Times New Roman"/>
                <w:color w:val="000000"/>
                <w:kern w:val="0"/>
                <w:sz w:val="21"/>
                <w:szCs w:val="21"/>
              </w:rPr>
            </w:pPr>
          </w:p>
        </w:tc>
      </w:tr>
      <w:tr w14:paraId="0D692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70" w:type="dxa"/>
            <w:shd w:val="clear" w:color="auto" w:fill="auto"/>
            <w:vAlign w:val="center"/>
          </w:tcPr>
          <w:p w14:paraId="6150691D">
            <w:pPr>
              <w:widowControl/>
              <w:adjustRightInd w:val="0"/>
              <w:snapToGrid w:val="0"/>
              <w:spacing w:line="600" w:lineRule="atLeast"/>
              <w:jc w:val="center"/>
              <w:rPr>
                <w:rFonts w:eastAsia="宋体" w:cs="Times New Roman"/>
                <w:b/>
                <w:bCs/>
                <w:color w:val="000000"/>
                <w:kern w:val="0"/>
                <w:sz w:val="21"/>
                <w:szCs w:val="21"/>
              </w:rPr>
            </w:pPr>
            <w:r>
              <w:rPr>
                <w:rFonts w:eastAsia="宋体" w:cs="Times New Roman"/>
                <w:b/>
                <w:bCs/>
                <w:color w:val="000000"/>
                <w:kern w:val="0"/>
                <w:sz w:val="21"/>
                <w:szCs w:val="21"/>
              </w:rPr>
              <w:t>（二）</w:t>
            </w:r>
          </w:p>
        </w:tc>
        <w:tc>
          <w:tcPr>
            <w:tcW w:w="2693" w:type="dxa"/>
            <w:shd w:val="clear" w:color="auto" w:fill="auto"/>
            <w:vAlign w:val="center"/>
          </w:tcPr>
          <w:p w14:paraId="230F1C19">
            <w:pPr>
              <w:widowControl/>
              <w:adjustRightInd w:val="0"/>
              <w:snapToGrid w:val="0"/>
              <w:spacing w:line="600" w:lineRule="atLeast"/>
              <w:jc w:val="center"/>
              <w:rPr>
                <w:rFonts w:eastAsia="宋体" w:cs="Times New Roman"/>
                <w:b/>
                <w:bCs/>
                <w:color w:val="000000"/>
                <w:kern w:val="0"/>
                <w:sz w:val="21"/>
                <w:szCs w:val="21"/>
              </w:rPr>
            </w:pPr>
            <w:r>
              <w:rPr>
                <w:rFonts w:eastAsia="宋体" w:cs="Times New Roman"/>
                <w:b/>
                <w:bCs/>
                <w:color w:val="000000"/>
                <w:kern w:val="0"/>
                <w:sz w:val="21"/>
                <w:szCs w:val="21"/>
              </w:rPr>
              <w:t>区域节水工程</w:t>
            </w:r>
          </w:p>
        </w:tc>
        <w:tc>
          <w:tcPr>
            <w:tcW w:w="10041" w:type="dxa"/>
            <w:shd w:val="clear" w:color="auto" w:fill="auto"/>
            <w:vAlign w:val="center"/>
          </w:tcPr>
          <w:p w14:paraId="3EBFC2DF">
            <w:pPr>
              <w:widowControl/>
              <w:adjustRightInd w:val="0"/>
              <w:snapToGrid w:val="0"/>
              <w:spacing w:line="600" w:lineRule="atLeast"/>
              <w:jc w:val="left"/>
              <w:rPr>
                <w:rFonts w:eastAsia="宋体" w:cs="Times New Roman"/>
                <w:color w:val="000000"/>
                <w:kern w:val="0"/>
                <w:sz w:val="21"/>
                <w:szCs w:val="21"/>
              </w:rPr>
            </w:pPr>
            <w:r>
              <w:rPr>
                <w:rFonts w:eastAsia="宋体" w:cs="Times New Roman"/>
                <w:color w:val="000000"/>
                <w:kern w:val="0"/>
                <w:sz w:val="21"/>
                <w:szCs w:val="21"/>
              </w:rPr>
              <w:t>　积极推进非常规水资源利用，实施天阙苑等小区雨水收集系统建设，充分利用城东污水处理厂尾水约15万t/d补充运粮河生态需水量。积极推进节水型单位创建工作，节水型社会建设，共创建省、市、区级节水型单位95家；建成月牙湖区级节水教育基地，并申报市级节水教育基地；指导市第一医院完善资料，积极创建省级水效领跑者。</w:t>
            </w:r>
          </w:p>
        </w:tc>
      </w:tr>
      <w:tr w14:paraId="36695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70" w:type="dxa"/>
            <w:shd w:val="clear" w:color="auto" w:fill="auto"/>
            <w:vAlign w:val="center"/>
          </w:tcPr>
          <w:p w14:paraId="59F25861">
            <w:pPr>
              <w:widowControl/>
              <w:adjustRightInd w:val="0"/>
              <w:snapToGrid w:val="0"/>
              <w:spacing w:line="600" w:lineRule="atLeast"/>
              <w:jc w:val="center"/>
              <w:rPr>
                <w:rFonts w:eastAsia="宋体" w:cs="Times New Roman"/>
                <w:color w:val="000000"/>
                <w:kern w:val="0"/>
                <w:sz w:val="21"/>
                <w:szCs w:val="21"/>
              </w:rPr>
            </w:pPr>
          </w:p>
        </w:tc>
        <w:tc>
          <w:tcPr>
            <w:tcW w:w="2693" w:type="dxa"/>
            <w:shd w:val="clear" w:color="auto" w:fill="auto"/>
            <w:vAlign w:val="center"/>
          </w:tcPr>
          <w:p w14:paraId="58C2A163">
            <w:pPr>
              <w:widowControl/>
              <w:adjustRightInd w:val="0"/>
              <w:snapToGrid w:val="0"/>
              <w:spacing w:line="600" w:lineRule="atLeast"/>
              <w:jc w:val="center"/>
              <w:rPr>
                <w:rFonts w:eastAsia="宋体" w:cs="Times New Roman"/>
                <w:color w:val="000000"/>
                <w:kern w:val="0"/>
                <w:sz w:val="21"/>
                <w:szCs w:val="21"/>
              </w:rPr>
            </w:pPr>
          </w:p>
        </w:tc>
        <w:tc>
          <w:tcPr>
            <w:tcW w:w="10041" w:type="dxa"/>
            <w:shd w:val="clear" w:color="auto" w:fill="auto"/>
            <w:vAlign w:val="center"/>
          </w:tcPr>
          <w:p w14:paraId="2E12CF0F">
            <w:pPr>
              <w:widowControl/>
              <w:adjustRightInd w:val="0"/>
              <w:snapToGrid w:val="0"/>
              <w:spacing w:line="600" w:lineRule="atLeast"/>
              <w:jc w:val="left"/>
              <w:rPr>
                <w:rFonts w:eastAsia="宋体" w:cs="Times New Roman"/>
                <w:color w:val="000000"/>
                <w:kern w:val="0"/>
                <w:sz w:val="21"/>
                <w:szCs w:val="21"/>
              </w:rPr>
            </w:pPr>
          </w:p>
        </w:tc>
      </w:tr>
      <w:tr w14:paraId="2B507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70" w:type="dxa"/>
            <w:shd w:val="clear" w:color="auto" w:fill="auto"/>
            <w:vAlign w:val="center"/>
          </w:tcPr>
          <w:p w14:paraId="00CA25E3">
            <w:pPr>
              <w:widowControl/>
              <w:adjustRightInd w:val="0"/>
              <w:snapToGrid w:val="0"/>
              <w:spacing w:line="600" w:lineRule="atLeast"/>
              <w:jc w:val="center"/>
              <w:rPr>
                <w:rFonts w:eastAsia="宋体" w:cs="Times New Roman"/>
                <w:b/>
                <w:bCs/>
                <w:color w:val="000000"/>
                <w:kern w:val="0"/>
                <w:sz w:val="21"/>
                <w:szCs w:val="21"/>
              </w:rPr>
            </w:pPr>
            <w:r>
              <w:rPr>
                <w:rFonts w:eastAsia="宋体" w:cs="Times New Roman"/>
                <w:b/>
                <w:bCs/>
                <w:color w:val="000000"/>
                <w:kern w:val="0"/>
                <w:sz w:val="21"/>
                <w:szCs w:val="21"/>
              </w:rPr>
              <w:t>三</w:t>
            </w:r>
          </w:p>
        </w:tc>
        <w:tc>
          <w:tcPr>
            <w:tcW w:w="2693" w:type="dxa"/>
            <w:shd w:val="clear" w:color="auto" w:fill="auto"/>
            <w:vAlign w:val="center"/>
          </w:tcPr>
          <w:p w14:paraId="0CEE455A">
            <w:pPr>
              <w:widowControl/>
              <w:adjustRightInd w:val="0"/>
              <w:snapToGrid w:val="0"/>
              <w:spacing w:line="600" w:lineRule="atLeast"/>
              <w:jc w:val="center"/>
              <w:rPr>
                <w:rFonts w:eastAsia="宋体" w:cs="Times New Roman"/>
                <w:b/>
                <w:bCs/>
                <w:color w:val="000000"/>
                <w:kern w:val="0"/>
                <w:sz w:val="21"/>
                <w:szCs w:val="21"/>
              </w:rPr>
            </w:pPr>
            <w:r>
              <w:rPr>
                <w:rFonts w:eastAsia="宋体" w:cs="Times New Roman"/>
                <w:b/>
                <w:bCs/>
                <w:color w:val="000000"/>
                <w:kern w:val="0"/>
                <w:sz w:val="21"/>
                <w:szCs w:val="21"/>
              </w:rPr>
              <w:t>城乡污水处理工程</w:t>
            </w:r>
          </w:p>
        </w:tc>
        <w:tc>
          <w:tcPr>
            <w:tcW w:w="10041" w:type="dxa"/>
            <w:shd w:val="clear" w:color="auto" w:fill="auto"/>
            <w:vAlign w:val="center"/>
          </w:tcPr>
          <w:p w14:paraId="154641FC">
            <w:pPr>
              <w:widowControl/>
              <w:adjustRightInd w:val="0"/>
              <w:snapToGrid w:val="0"/>
              <w:spacing w:line="600" w:lineRule="atLeast"/>
              <w:jc w:val="left"/>
              <w:rPr>
                <w:rFonts w:eastAsia="宋体" w:cs="Times New Roman"/>
                <w:color w:val="000000"/>
                <w:kern w:val="0"/>
                <w:sz w:val="21"/>
                <w:szCs w:val="21"/>
              </w:rPr>
            </w:pPr>
            <w:r>
              <w:rPr>
                <w:rFonts w:eastAsia="宋体" w:cs="Times New Roman"/>
                <w:color w:val="000000"/>
                <w:kern w:val="0"/>
                <w:sz w:val="21"/>
                <w:szCs w:val="21"/>
              </w:rPr>
              <w:t>　</w:t>
            </w:r>
          </w:p>
        </w:tc>
      </w:tr>
      <w:tr w14:paraId="02798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870" w:type="dxa"/>
            <w:shd w:val="clear" w:color="auto" w:fill="auto"/>
            <w:vAlign w:val="center"/>
          </w:tcPr>
          <w:p w14:paraId="2F9A9C28">
            <w:pPr>
              <w:widowControl/>
              <w:adjustRightInd w:val="0"/>
              <w:snapToGrid w:val="0"/>
              <w:spacing w:line="600" w:lineRule="atLeast"/>
              <w:jc w:val="center"/>
              <w:rPr>
                <w:rFonts w:eastAsia="宋体" w:cs="Times New Roman"/>
                <w:b/>
                <w:bCs/>
                <w:color w:val="000000"/>
                <w:kern w:val="0"/>
                <w:sz w:val="21"/>
                <w:szCs w:val="21"/>
              </w:rPr>
            </w:pPr>
            <w:r>
              <w:rPr>
                <w:rFonts w:eastAsia="宋体" w:cs="Times New Roman"/>
                <w:b/>
                <w:bCs/>
                <w:color w:val="000000"/>
                <w:kern w:val="0"/>
                <w:sz w:val="21"/>
                <w:szCs w:val="21"/>
              </w:rPr>
              <w:t>（一）</w:t>
            </w:r>
          </w:p>
        </w:tc>
        <w:tc>
          <w:tcPr>
            <w:tcW w:w="2693" w:type="dxa"/>
            <w:shd w:val="clear" w:color="auto" w:fill="auto"/>
            <w:vAlign w:val="center"/>
          </w:tcPr>
          <w:p w14:paraId="29589F91">
            <w:pPr>
              <w:widowControl/>
              <w:adjustRightInd w:val="0"/>
              <w:snapToGrid w:val="0"/>
              <w:spacing w:line="600" w:lineRule="atLeast"/>
              <w:jc w:val="center"/>
              <w:rPr>
                <w:rFonts w:eastAsia="宋体" w:cs="Times New Roman"/>
                <w:b/>
                <w:bCs/>
                <w:color w:val="000000"/>
                <w:kern w:val="0"/>
                <w:sz w:val="21"/>
                <w:szCs w:val="21"/>
              </w:rPr>
            </w:pPr>
            <w:r>
              <w:rPr>
                <w:rFonts w:eastAsia="宋体" w:cs="Times New Roman"/>
                <w:b/>
                <w:bCs/>
                <w:color w:val="000000"/>
                <w:kern w:val="0"/>
                <w:sz w:val="21"/>
                <w:szCs w:val="21"/>
              </w:rPr>
              <w:t>污水处理设施建设</w:t>
            </w:r>
          </w:p>
        </w:tc>
        <w:tc>
          <w:tcPr>
            <w:tcW w:w="10041" w:type="dxa"/>
            <w:shd w:val="clear" w:color="auto" w:fill="auto"/>
            <w:vAlign w:val="center"/>
          </w:tcPr>
          <w:p w14:paraId="0F5D2E3E">
            <w:pPr>
              <w:widowControl/>
              <w:adjustRightInd w:val="0"/>
              <w:snapToGrid w:val="0"/>
              <w:spacing w:line="600" w:lineRule="atLeast"/>
              <w:jc w:val="left"/>
              <w:rPr>
                <w:rFonts w:eastAsia="宋体" w:cs="Times New Roman"/>
                <w:color w:val="000000"/>
                <w:kern w:val="0"/>
                <w:sz w:val="21"/>
                <w:szCs w:val="21"/>
              </w:rPr>
            </w:pPr>
            <w:r>
              <w:rPr>
                <w:rFonts w:eastAsia="宋体" w:cs="Times New Roman"/>
                <w:color w:val="000000"/>
                <w:kern w:val="0"/>
                <w:sz w:val="21"/>
                <w:szCs w:val="21"/>
              </w:rPr>
              <w:t>　实施友谊河、安江河</w:t>
            </w:r>
            <w:r>
              <w:rPr>
                <w:rFonts w:hint="eastAsia" w:eastAsia="宋体" w:cs="Times New Roman"/>
                <w:color w:val="000000"/>
                <w:kern w:val="0"/>
                <w:sz w:val="21"/>
                <w:szCs w:val="21"/>
              </w:rPr>
              <w:t>2</w:t>
            </w:r>
            <w:r>
              <w:rPr>
                <w:rFonts w:eastAsia="宋体" w:cs="Times New Roman"/>
                <w:color w:val="000000"/>
                <w:kern w:val="0"/>
                <w:sz w:val="21"/>
                <w:szCs w:val="21"/>
              </w:rPr>
              <w:t>座分散式生活净水站。新增</w:t>
            </w:r>
            <w:r>
              <w:rPr>
                <w:rFonts w:hint="eastAsia" w:eastAsia="宋体" w:cs="Times New Roman"/>
                <w:color w:val="000000"/>
                <w:kern w:val="0"/>
                <w:sz w:val="21"/>
                <w:szCs w:val="21"/>
              </w:rPr>
              <w:t>临时</w:t>
            </w:r>
            <w:r>
              <w:rPr>
                <w:rFonts w:eastAsia="宋体" w:cs="Times New Roman"/>
                <w:color w:val="000000"/>
                <w:kern w:val="0"/>
                <w:sz w:val="21"/>
                <w:szCs w:val="21"/>
              </w:rPr>
              <w:t>污水处理能力2.05万 m</w:t>
            </w:r>
            <w:r>
              <w:rPr>
                <w:rFonts w:eastAsia="宋体" w:cs="Times New Roman"/>
                <w:color w:val="000000"/>
                <w:kern w:val="0"/>
                <w:sz w:val="21"/>
                <w:szCs w:val="21"/>
                <w:vertAlign w:val="superscript"/>
              </w:rPr>
              <w:t>3</w:t>
            </w:r>
            <w:r>
              <w:rPr>
                <w:rFonts w:eastAsia="宋体" w:cs="Times New Roman"/>
                <w:color w:val="000000"/>
                <w:kern w:val="0"/>
                <w:sz w:val="21"/>
                <w:szCs w:val="21"/>
              </w:rPr>
              <w:t>/d。</w:t>
            </w:r>
          </w:p>
        </w:tc>
      </w:tr>
      <w:tr w14:paraId="60F34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870" w:type="dxa"/>
            <w:shd w:val="clear" w:color="auto" w:fill="auto"/>
            <w:vAlign w:val="center"/>
          </w:tcPr>
          <w:p w14:paraId="78F32BE3">
            <w:pPr>
              <w:widowControl/>
              <w:adjustRightInd w:val="0"/>
              <w:snapToGrid w:val="0"/>
              <w:spacing w:line="600" w:lineRule="atLeast"/>
              <w:jc w:val="center"/>
              <w:rPr>
                <w:rFonts w:eastAsia="宋体" w:cs="Times New Roman"/>
                <w:color w:val="000000"/>
                <w:kern w:val="0"/>
                <w:sz w:val="21"/>
                <w:szCs w:val="21"/>
              </w:rPr>
            </w:pPr>
          </w:p>
        </w:tc>
        <w:tc>
          <w:tcPr>
            <w:tcW w:w="2693" w:type="dxa"/>
            <w:shd w:val="clear" w:color="auto" w:fill="auto"/>
            <w:vAlign w:val="center"/>
          </w:tcPr>
          <w:p w14:paraId="43CFE6F2">
            <w:pPr>
              <w:widowControl/>
              <w:adjustRightInd w:val="0"/>
              <w:snapToGrid w:val="0"/>
              <w:spacing w:line="600" w:lineRule="atLeast"/>
              <w:jc w:val="center"/>
              <w:rPr>
                <w:rFonts w:eastAsia="宋体" w:cs="Times New Roman"/>
                <w:color w:val="000000"/>
                <w:kern w:val="0"/>
                <w:sz w:val="21"/>
                <w:szCs w:val="21"/>
              </w:rPr>
            </w:pPr>
          </w:p>
        </w:tc>
        <w:tc>
          <w:tcPr>
            <w:tcW w:w="10041" w:type="dxa"/>
            <w:shd w:val="clear" w:color="auto" w:fill="auto"/>
            <w:vAlign w:val="center"/>
          </w:tcPr>
          <w:p w14:paraId="3613F3FA">
            <w:pPr>
              <w:widowControl/>
              <w:adjustRightInd w:val="0"/>
              <w:snapToGrid w:val="0"/>
              <w:spacing w:line="600" w:lineRule="atLeast"/>
              <w:jc w:val="left"/>
              <w:rPr>
                <w:rFonts w:eastAsia="宋体" w:cs="Times New Roman"/>
                <w:color w:val="000000"/>
                <w:kern w:val="0"/>
                <w:sz w:val="21"/>
                <w:szCs w:val="21"/>
              </w:rPr>
            </w:pPr>
          </w:p>
        </w:tc>
      </w:tr>
      <w:tr w14:paraId="3EDD5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70" w:type="dxa"/>
            <w:shd w:val="clear" w:color="auto" w:fill="auto"/>
            <w:vAlign w:val="center"/>
          </w:tcPr>
          <w:p w14:paraId="314E923F">
            <w:pPr>
              <w:widowControl/>
              <w:adjustRightInd w:val="0"/>
              <w:snapToGrid w:val="0"/>
              <w:spacing w:line="600" w:lineRule="atLeast"/>
              <w:jc w:val="center"/>
              <w:rPr>
                <w:rFonts w:eastAsia="宋体" w:cs="Times New Roman"/>
                <w:b/>
                <w:bCs/>
                <w:color w:val="000000"/>
                <w:kern w:val="0"/>
                <w:sz w:val="21"/>
                <w:szCs w:val="21"/>
              </w:rPr>
            </w:pPr>
            <w:r>
              <w:rPr>
                <w:rFonts w:eastAsia="宋体" w:cs="Times New Roman"/>
                <w:b/>
                <w:bCs/>
                <w:color w:val="000000"/>
                <w:kern w:val="0"/>
                <w:sz w:val="21"/>
                <w:szCs w:val="21"/>
              </w:rPr>
              <w:t>（二）</w:t>
            </w:r>
          </w:p>
        </w:tc>
        <w:tc>
          <w:tcPr>
            <w:tcW w:w="2693" w:type="dxa"/>
            <w:shd w:val="clear" w:color="auto" w:fill="auto"/>
            <w:vAlign w:val="center"/>
          </w:tcPr>
          <w:p w14:paraId="022F4455">
            <w:pPr>
              <w:widowControl/>
              <w:adjustRightInd w:val="0"/>
              <w:snapToGrid w:val="0"/>
              <w:spacing w:line="600" w:lineRule="atLeast"/>
              <w:jc w:val="center"/>
              <w:rPr>
                <w:rFonts w:eastAsia="宋体" w:cs="Times New Roman"/>
                <w:b/>
                <w:bCs/>
                <w:color w:val="000000"/>
                <w:kern w:val="0"/>
                <w:sz w:val="21"/>
                <w:szCs w:val="21"/>
              </w:rPr>
            </w:pPr>
            <w:r>
              <w:rPr>
                <w:rFonts w:eastAsia="宋体" w:cs="Times New Roman"/>
                <w:b/>
                <w:bCs/>
                <w:color w:val="000000"/>
                <w:kern w:val="0"/>
                <w:sz w:val="21"/>
                <w:szCs w:val="21"/>
              </w:rPr>
              <w:t>污水管网及排水达标区建设与改造</w:t>
            </w:r>
          </w:p>
        </w:tc>
        <w:tc>
          <w:tcPr>
            <w:tcW w:w="10041" w:type="dxa"/>
            <w:shd w:val="clear" w:color="auto" w:fill="auto"/>
            <w:vAlign w:val="center"/>
          </w:tcPr>
          <w:p w14:paraId="1EEDB040">
            <w:pPr>
              <w:widowControl/>
              <w:adjustRightInd w:val="0"/>
              <w:snapToGrid w:val="0"/>
              <w:spacing w:line="600" w:lineRule="atLeast"/>
              <w:jc w:val="left"/>
              <w:rPr>
                <w:rFonts w:eastAsia="宋体" w:cs="Times New Roman"/>
                <w:color w:val="000000"/>
                <w:kern w:val="0"/>
                <w:sz w:val="21"/>
                <w:szCs w:val="21"/>
              </w:rPr>
            </w:pPr>
            <w:r>
              <w:rPr>
                <w:rFonts w:eastAsia="宋体" w:cs="Times New Roman"/>
                <w:color w:val="000000"/>
                <w:kern w:val="0"/>
                <w:sz w:val="21"/>
                <w:szCs w:val="21"/>
              </w:rPr>
              <w:t>　全区共划分雨污分流片区1502个（含汇景佳园、汇景和园、银龙五期），完成新建雨污分流片区1269个，计3199.1公顷，占全区总面积的65.14%；完成“回头看”片区118个，计149.67公顷，占比3.05%；2020—2021年正在和计划实施“回头看”片区115个，计187.41公顷，占比3.82%。</w:t>
            </w:r>
          </w:p>
          <w:p w14:paraId="23C5F4FB">
            <w:pPr>
              <w:widowControl/>
              <w:adjustRightInd w:val="0"/>
              <w:snapToGrid w:val="0"/>
              <w:spacing w:line="600" w:lineRule="atLeast"/>
              <w:jc w:val="left"/>
              <w:rPr>
                <w:rFonts w:eastAsia="宋体" w:cs="Times New Roman"/>
                <w:color w:val="000000"/>
                <w:kern w:val="0"/>
                <w:sz w:val="21"/>
                <w:szCs w:val="21"/>
              </w:rPr>
            </w:pPr>
            <w:r>
              <w:rPr>
                <w:rFonts w:hint="eastAsia" w:eastAsia="宋体" w:cs="Times New Roman"/>
                <w:color w:val="000000"/>
                <w:kern w:val="0"/>
                <w:sz w:val="21"/>
                <w:szCs w:val="21"/>
              </w:rPr>
              <w:t>完成乌衣巷、育仁路等87条市政道路共计41km污水主次干管新建（改造）建设。</w:t>
            </w:r>
          </w:p>
          <w:p w14:paraId="07137C80">
            <w:pPr>
              <w:widowControl/>
              <w:adjustRightInd w:val="0"/>
              <w:snapToGrid w:val="0"/>
              <w:spacing w:line="600" w:lineRule="atLeast"/>
              <w:jc w:val="left"/>
              <w:rPr>
                <w:rFonts w:eastAsia="宋体" w:cs="Times New Roman"/>
                <w:color w:val="000000"/>
                <w:kern w:val="0"/>
                <w:sz w:val="21"/>
                <w:szCs w:val="21"/>
              </w:rPr>
            </w:pPr>
            <w:r>
              <w:rPr>
                <w:rFonts w:eastAsia="宋体" w:cs="Times New Roman"/>
                <w:color w:val="000000"/>
                <w:kern w:val="0"/>
                <w:sz w:val="21"/>
                <w:szCs w:val="21"/>
              </w:rPr>
              <w:t>全面推进排水管网排查与修复工作。内秦淮河截流沟系统改造前期研究阶段。</w:t>
            </w:r>
          </w:p>
        </w:tc>
      </w:tr>
      <w:tr w14:paraId="3CD93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870" w:type="dxa"/>
            <w:shd w:val="clear" w:color="auto" w:fill="auto"/>
            <w:vAlign w:val="center"/>
          </w:tcPr>
          <w:p w14:paraId="72E3960A">
            <w:pPr>
              <w:widowControl/>
              <w:adjustRightInd w:val="0"/>
              <w:snapToGrid w:val="0"/>
              <w:spacing w:line="600" w:lineRule="atLeast"/>
              <w:jc w:val="center"/>
              <w:rPr>
                <w:rFonts w:eastAsia="宋体" w:cs="Times New Roman"/>
                <w:color w:val="000000"/>
                <w:kern w:val="0"/>
                <w:sz w:val="21"/>
                <w:szCs w:val="21"/>
              </w:rPr>
            </w:pPr>
          </w:p>
        </w:tc>
        <w:tc>
          <w:tcPr>
            <w:tcW w:w="2693" w:type="dxa"/>
            <w:shd w:val="clear" w:color="auto" w:fill="auto"/>
            <w:vAlign w:val="center"/>
          </w:tcPr>
          <w:p w14:paraId="57CE0FBB">
            <w:pPr>
              <w:widowControl/>
              <w:adjustRightInd w:val="0"/>
              <w:snapToGrid w:val="0"/>
              <w:spacing w:line="600" w:lineRule="atLeast"/>
              <w:jc w:val="center"/>
              <w:rPr>
                <w:rFonts w:eastAsia="宋体" w:cs="Times New Roman"/>
                <w:color w:val="000000"/>
                <w:kern w:val="0"/>
                <w:sz w:val="21"/>
                <w:szCs w:val="21"/>
              </w:rPr>
            </w:pPr>
          </w:p>
        </w:tc>
        <w:tc>
          <w:tcPr>
            <w:tcW w:w="10041" w:type="dxa"/>
            <w:shd w:val="clear" w:color="auto" w:fill="auto"/>
            <w:vAlign w:val="center"/>
          </w:tcPr>
          <w:p w14:paraId="0A8BBF1D">
            <w:pPr>
              <w:widowControl/>
              <w:adjustRightInd w:val="0"/>
              <w:snapToGrid w:val="0"/>
              <w:spacing w:line="600" w:lineRule="atLeast"/>
              <w:jc w:val="left"/>
              <w:rPr>
                <w:rFonts w:eastAsia="宋体" w:cs="Times New Roman"/>
                <w:color w:val="000000"/>
                <w:kern w:val="0"/>
                <w:sz w:val="21"/>
                <w:szCs w:val="21"/>
              </w:rPr>
            </w:pPr>
          </w:p>
        </w:tc>
      </w:tr>
      <w:tr w14:paraId="2F2A2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870" w:type="dxa"/>
            <w:shd w:val="clear" w:color="auto" w:fill="auto"/>
            <w:vAlign w:val="center"/>
          </w:tcPr>
          <w:p w14:paraId="6DB6D7DB">
            <w:pPr>
              <w:widowControl/>
              <w:adjustRightInd w:val="0"/>
              <w:snapToGrid w:val="0"/>
              <w:spacing w:line="600" w:lineRule="atLeast"/>
              <w:jc w:val="center"/>
              <w:rPr>
                <w:rFonts w:eastAsia="宋体" w:cs="Times New Roman"/>
                <w:b/>
                <w:bCs/>
                <w:color w:val="000000"/>
                <w:kern w:val="0"/>
                <w:sz w:val="21"/>
                <w:szCs w:val="21"/>
              </w:rPr>
            </w:pPr>
            <w:r>
              <w:rPr>
                <w:rFonts w:eastAsia="宋体" w:cs="Times New Roman"/>
                <w:b/>
                <w:bCs/>
                <w:color w:val="000000"/>
                <w:kern w:val="0"/>
                <w:sz w:val="21"/>
                <w:szCs w:val="21"/>
              </w:rPr>
              <w:t>四</w:t>
            </w:r>
          </w:p>
        </w:tc>
        <w:tc>
          <w:tcPr>
            <w:tcW w:w="2693" w:type="dxa"/>
            <w:shd w:val="clear" w:color="auto" w:fill="auto"/>
            <w:vAlign w:val="center"/>
          </w:tcPr>
          <w:p w14:paraId="69593F35">
            <w:pPr>
              <w:widowControl/>
              <w:adjustRightInd w:val="0"/>
              <w:snapToGrid w:val="0"/>
              <w:spacing w:line="600" w:lineRule="atLeast"/>
              <w:jc w:val="center"/>
              <w:rPr>
                <w:rFonts w:eastAsia="宋体" w:cs="Times New Roman"/>
                <w:b/>
                <w:bCs/>
                <w:color w:val="000000"/>
                <w:kern w:val="0"/>
                <w:sz w:val="21"/>
                <w:szCs w:val="21"/>
              </w:rPr>
            </w:pPr>
            <w:r>
              <w:rPr>
                <w:rFonts w:eastAsia="宋体" w:cs="Times New Roman"/>
                <w:b/>
                <w:bCs/>
                <w:color w:val="000000"/>
                <w:kern w:val="0"/>
                <w:sz w:val="21"/>
                <w:szCs w:val="21"/>
              </w:rPr>
              <w:t>黑臭水体整治及水环境提升工程</w:t>
            </w:r>
          </w:p>
        </w:tc>
        <w:tc>
          <w:tcPr>
            <w:tcW w:w="10041" w:type="dxa"/>
            <w:shd w:val="clear" w:color="auto" w:fill="auto"/>
            <w:vAlign w:val="center"/>
          </w:tcPr>
          <w:p w14:paraId="60F13D51">
            <w:pPr>
              <w:widowControl/>
              <w:adjustRightInd w:val="0"/>
              <w:snapToGrid w:val="0"/>
              <w:spacing w:line="600" w:lineRule="atLeast"/>
              <w:jc w:val="left"/>
              <w:rPr>
                <w:rFonts w:eastAsia="宋体" w:cs="Times New Roman"/>
                <w:b/>
                <w:bCs/>
                <w:color w:val="000000"/>
                <w:kern w:val="0"/>
                <w:sz w:val="21"/>
                <w:szCs w:val="21"/>
              </w:rPr>
            </w:pPr>
            <w:r>
              <w:rPr>
                <w:rFonts w:hint="eastAsia" w:eastAsia="宋体" w:cs="Times New Roman"/>
                <w:color w:val="000000"/>
                <w:kern w:val="0"/>
                <w:sz w:val="21"/>
                <w:szCs w:val="21"/>
              </w:rPr>
              <w:t>完成全区全部主要河道及重要小微水体黑臭河整治，并开展水环境提升30个水体，实施景观提升25个水体</w:t>
            </w:r>
          </w:p>
        </w:tc>
      </w:tr>
      <w:tr w14:paraId="08E45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870" w:type="dxa"/>
            <w:shd w:val="clear" w:color="auto" w:fill="auto"/>
            <w:vAlign w:val="center"/>
          </w:tcPr>
          <w:p w14:paraId="5D4AA374">
            <w:pPr>
              <w:widowControl/>
              <w:adjustRightInd w:val="0"/>
              <w:snapToGrid w:val="0"/>
              <w:spacing w:line="600" w:lineRule="atLeast"/>
              <w:jc w:val="center"/>
              <w:rPr>
                <w:rFonts w:eastAsia="宋体" w:cs="Times New Roman"/>
                <w:b/>
                <w:bCs/>
                <w:color w:val="000000"/>
                <w:kern w:val="0"/>
                <w:sz w:val="21"/>
                <w:szCs w:val="21"/>
              </w:rPr>
            </w:pPr>
          </w:p>
        </w:tc>
        <w:tc>
          <w:tcPr>
            <w:tcW w:w="2693" w:type="dxa"/>
            <w:shd w:val="clear" w:color="auto" w:fill="auto"/>
            <w:vAlign w:val="center"/>
          </w:tcPr>
          <w:p w14:paraId="1BC76287">
            <w:pPr>
              <w:widowControl/>
              <w:adjustRightInd w:val="0"/>
              <w:snapToGrid w:val="0"/>
              <w:spacing w:line="600" w:lineRule="atLeast"/>
              <w:jc w:val="center"/>
              <w:rPr>
                <w:rFonts w:eastAsia="宋体" w:cs="Times New Roman"/>
                <w:b/>
                <w:bCs/>
                <w:color w:val="000000"/>
                <w:kern w:val="0"/>
                <w:sz w:val="21"/>
                <w:szCs w:val="21"/>
              </w:rPr>
            </w:pPr>
          </w:p>
        </w:tc>
        <w:tc>
          <w:tcPr>
            <w:tcW w:w="10041" w:type="dxa"/>
            <w:shd w:val="clear" w:color="auto" w:fill="auto"/>
            <w:vAlign w:val="center"/>
          </w:tcPr>
          <w:p w14:paraId="4BE344A3">
            <w:pPr>
              <w:widowControl/>
              <w:adjustRightInd w:val="0"/>
              <w:snapToGrid w:val="0"/>
              <w:spacing w:line="600" w:lineRule="atLeast"/>
              <w:jc w:val="left"/>
              <w:rPr>
                <w:rFonts w:eastAsia="宋体" w:cs="Times New Roman"/>
                <w:color w:val="000000"/>
                <w:kern w:val="0"/>
                <w:sz w:val="21"/>
                <w:szCs w:val="21"/>
              </w:rPr>
            </w:pPr>
          </w:p>
        </w:tc>
      </w:tr>
      <w:tr w14:paraId="211EB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870" w:type="dxa"/>
            <w:shd w:val="clear" w:color="auto" w:fill="auto"/>
            <w:vAlign w:val="center"/>
          </w:tcPr>
          <w:p w14:paraId="20E9EDDD">
            <w:pPr>
              <w:widowControl/>
              <w:adjustRightInd w:val="0"/>
              <w:snapToGrid w:val="0"/>
              <w:spacing w:line="600" w:lineRule="atLeast"/>
              <w:jc w:val="center"/>
              <w:rPr>
                <w:rFonts w:eastAsia="宋体" w:cs="Times New Roman"/>
                <w:b/>
                <w:color w:val="000000"/>
                <w:kern w:val="0"/>
                <w:sz w:val="21"/>
                <w:szCs w:val="21"/>
              </w:rPr>
            </w:pPr>
            <w:r>
              <w:rPr>
                <w:rFonts w:eastAsia="宋体" w:cs="Times New Roman"/>
                <w:b/>
                <w:color w:val="000000"/>
                <w:kern w:val="0"/>
                <w:sz w:val="21"/>
                <w:szCs w:val="21"/>
              </w:rPr>
              <w:t>五</w:t>
            </w:r>
          </w:p>
        </w:tc>
        <w:tc>
          <w:tcPr>
            <w:tcW w:w="2693" w:type="dxa"/>
            <w:shd w:val="clear" w:color="auto" w:fill="auto"/>
            <w:vAlign w:val="center"/>
          </w:tcPr>
          <w:p w14:paraId="744DF934">
            <w:pPr>
              <w:widowControl/>
              <w:adjustRightInd w:val="0"/>
              <w:snapToGrid w:val="0"/>
              <w:spacing w:line="600" w:lineRule="atLeast"/>
              <w:jc w:val="center"/>
              <w:rPr>
                <w:rFonts w:eastAsia="宋体" w:cs="Times New Roman"/>
                <w:b/>
                <w:color w:val="000000"/>
                <w:kern w:val="0"/>
                <w:sz w:val="21"/>
                <w:szCs w:val="21"/>
              </w:rPr>
            </w:pPr>
            <w:r>
              <w:rPr>
                <w:rFonts w:eastAsia="宋体" w:cs="Times New Roman"/>
                <w:b/>
                <w:color w:val="000000"/>
                <w:kern w:val="0"/>
                <w:sz w:val="21"/>
                <w:szCs w:val="21"/>
              </w:rPr>
              <w:t>河湖水系连通和生态补水工程建设</w:t>
            </w:r>
          </w:p>
        </w:tc>
        <w:tc>
          <w:tcPr>
            <w:tcW w:w="10041" w:type="dxa"/>
            <w:shd w:val="clear" w:color="auto" w:fill="auto"/>
            <w:vAlign w:val="center"/>
          </w:tcPr>
          <w:p w14:paraId="1F81B572">
            <w:pPr>
              <w:widowControl/>
              <w:adjustRightInd w:val="0"/>
              <w:snapToGrid w:val="0"/>
              <w:spacing w:line="600" w:lineRule="atLeast"/>
              <w:jc w:val="left"/>
              <w:rPr>
                <w:rFonts w:eastAsia="宋体" w:cs="Times New Roman"/>
                <w:color w:val="000000"/>
                <w:kern w:val="0"/>
                <w:sz w:val="21"/>
                <w:szCs w:val="21"/>
              </w:rPr>
            </w:pPr>
            <w:r>
              <w:rPr>
                <w:rFonts w:eastAsia="宋体" w:cs="Times New Roman"/>
                <w:color w:val="000000"/>
                <w:kern w:val="0"/>
                <w:sz w:val="21"/>
                <w:szCs w:val="21"/>
              </w:rPr>
              <w:t>实施白鹭洲向内秦淮南段补水工程、象房村泵站—月牙湖补水工程、月牙湖、秦淮河补水净水设施工程。</w:t>
            </w:r>
          </w:p>
        </w:tc>
      </w:tr>
      <w:tr w14:paraId="072AA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870" w:type="dxa"/>
            <w:shd w:val="clear" w:color="auto" w:fill="auto"/>
            <w:vAlign w:val="center"/>
          </w:tcPr>
          <w:p w14:paraId="63F22392">
            <w:pPr>
              <w:widowControl/>
              <w:adjustRightInd w:val="0"/>
              <w:snapToGrid w:val="0"/>
              <w:spacing w:line="600" w:lineRule="atLeast"/>
              <w:jc w:val="center"/>
              <w:rPr>
                <w:rFonts w:eastAsia="宋体" w:cs="Times New Roman"/>
                <w:b/>
                <w:color w:val="000000"/>
                <w:kern w:val="0"/>
                <w:sz w:val="21"/>
                <w:szCs w:val="21"/>
              </w:rPr>
            </w:pPr>
          </w:p>
        </w:tc>
        <w:tc>
          <w:tcPr>
            <w:tcW w:w="2693" w:type="dxa"/>
            <w:shd w:val="clear" w:color="auto" w:fill="auto"/>
            <w:vAlign w:val="center"/>
          </w:tcPr>
          <w:p w14:paraId="0B3B7C2E">
            <w:pPr>
              <w:widowControl/>
              <w:adjustRightInd w:val="0"/>
              <w:snapToGrid w:val="0"/>
              <w:spacing w:line="600" w:lineRule="atLeast"/>
              <w:jc w:val="center"/>
              <w:rPr>
                <w:rFonts w:eastAsia="宋体" w:cs="Times New Roman"/>
                <w:b/>
                <w:color w:val="000000"/>
                <w:kern w:val="0"/>
                <w:sz w:val="21"/>
                <w:szCs w:val="21"/>
              </w:rPr>
            </w:pPr>
          </w:p>
        </w:tc>
        <w:tc>
          <w:tcPr>
            <w:tcW w:w="10041" w:type="dxa"/>
            <w:shd w:val="clear" w:color="auto" w:fill="auto"/>
            <w:vAlign w:val="center"/>
          </w:tcPr>
          <w:p w14:paraId="53DFC398">
            <w:pPr>
              <w:widowControl/>
              <w:adjustRightInd w:val="0"/>
              <w:snapToGrid w:val="0"/>
              <w:spacing w:line="600" w:lineRule="atLeast"/>
              <w:jc w:val="left"/>
              <w:rPr>
                <w:rFonts w:eastAsia="宋体" w:cs="Times New Roman"/>
                <w:color w:val="000000"/>
                <w:kern w:val="0"/>
                <w:sz w:val="21"/>
                <w:szCs w:val="21"/>
              </w:rPr>
            </w:pPr>
          </w:p>
        </w:tc>
      </w:tr>
      <w:tr w14:paraId="452CC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70" w:type="dxa"/>
            <w:shd w:val="clear" w:color="auto" w:fill="auto"/>
            <w:vAlign w:val="center"/>
          </w:tcPr>
          <w:p w14:paraId="3ADF652B">
            <w:pPr>
              <w:widowControl/>
              <w:adjustRightInd w:val="0"/>
              <w:snapToGrid w:val="0"/>
              <w:spacing w:line="600" w:lineRule="atLeast"/>
              <w:jc w:val="center"/>
              <w:rPr>
                <w:rFonts w:eastAsia="宋体" w:cs="Times New Roman"/>
                <w:b/>
                <w:bCs/>
                <w:color w:val="000000"/>
                <w:kern w:val="0"/>
                <w:sz w:val="21"/>
                <w:szCs w:val="21"/>
              </w:rPr>
            </w:pPr>
            <w:r>
              <w:rPr>
                <w:rFonts w:eastAsia="宋体" w:cs="Times New Roman"/>
                <w:b/>
                <w:bCs/>
                <w:color w:val="000000"/>
                <w:kern w:val="0"/>
                <w:sz w:val="21"/>
                <w:szCs w:val="21"/>
              </w:rPr>
              <w:t>六</w:t>
            </w:r>
          </w:p>
        </w:tc>
        <w:tc>
          <w:tcPr>
            <w:tcW w:w="2693" w:type="dxa"/>
            <w:shd w:val="clear" w:color="auto" w:fill="auto"/>
            <w:vAlign w:val="center"/>
          </w:tcPr>
          <w:p w14:paraId="4035649D">
            <w:pPr>
              <w:widowControl/>
              <w:adjustRightInd w:val="0"/>
              <w:snapToGrid w:val="0"/>
              <w:spacing w:line="600" w:lineRule="atLeast"/>
              <w:jc w:val="center"/>
              <w:rPr>
                <w:rFonts w:eastAsia="宋体" w:cs="Times New Roman"/>
                <w:b/>
                <w:bCs/>
                <w:color w:val="000000"/>
                <w:kern w:val="0"/>
                <w:sz w:val="21"/>
                <w:szCs w:val="21"/>
              </w:rPr>
            </w:pPr>
            <w:r>
              <w:rPr>
                <w:rFonts w:eastAsia="宋体" w:cs="Times New Roman"/>
                <w:b/>
                <w:bCs/>
                <w:color w:val="000000"/>
                <w:kern w:val="0"/>
                <w:sz w:val="21"/>
                <w:szCs w:val="21"/>
              </w:rPr>
              <w:t>智慧水务管理平台建设</w:t>
            </w:r>
          </w:p>
        </w:tc>
        <w:tc>
          <w:tcPr>
            <w:tcW w:w="10041" w:type="dxa"/>
            <w:shd w:val="clear" w:color="auto" w:fill="auto"/>
            <w:vAlign w:val="center"/>
          </w:tcPr>
          <w:p w14:paraId="4081342C">
            <w:pPr>
              <w:widowControl/>
              <w:adjustRightInd w:val="0"/>
              <w:snapToGrid w:val="0"/>
              <w:spacing w:line="600" w:lineRule="atLeast"/>
              <w:jc w:val="left"/>
              <w:rPr>
                <w:rFonts w:eastAsia="宋体" w:cs="Times New Roman"/>
                <w:color w:val="000000"/>
                <w:kern w:val="0"/>
                <w:sz w:val="21"/>
                <w:szCs w:val="21"/>
              </w:rPr>
            </w:pPr>
            <w:r>
              <w:rPr>
                <w:rFonts w:hint="eastAsia" w:eastAsia="宋体" w:cs="Times New Roman"/>
                <w:color w:val="000000"/>
                <w:kern w:val="0"/>
                <w:sz w:val="21"/>
                <w:szCs w:val="21"/>
              </w:rPr>
              <w:t>结合工程建设同步增设智慧水务前端感知设备，增加南玉带河暗涵、青年河、月牙湖等水质在线监测设备</w:t>
            </w:r>
            <w:r>
              <w:rPr>
                <w:rFonts w:eastAsia="宋体" w:cs="Times New Roman"/>
                <w:color w:val="000000"/>
                <w:kern w:val="0"/>
                <w:sz w:val="21"/>
                <w:szCs w:val="21"/>
              </w:rPr>
              <w:t>，重点监测地表水常规五参数及氨氮、总磷、高锰酸盐指数等指标。</w:t>
            </w:r>
          </w:p>
          <w:p w14:paraId="3E8B9892">
            <w:pPr>
              <w:widowControl/>
              <w:adjustRightInd w:val="0"/>
              <w:snapToGrid w:val="0"/>
              <w:spacing w:line="600" w:lineRule="atLeast"/>
              <w:jc w:val="left"/>
              <w:rPr>
                <w:rFonts w:eastAsia="宋体" w:cs="Times New Roman"/>
                <w:b/>
                <w:bCs/>
                <w:color w:val="000000"/>
                <w:kern w:val="0"/>
                <w:sz w:val="21"/>
                <w:szCs w:val="21"/>
              </w:rPr>
            </w:pPr>
            <w:r>
              <w:rPr>
                <w:rFonts w:hint="eastAsia" w:eastAsia="宋体" w:cs="Times New Roman"/>
                <w:color w:val="000000"/>
                <w:kern w:val="0"/>
                <w:sz w:val="21"/>
                <w:szCs w:val="21"/>
              </w:rPr>
              <w:t>启动</w:t>
            </w:r>
            <w:r>
              <w:rPr>
                <w:rFonts w:eastAsia="宋体" w:cs="Times New Roman"/>
                <w:color w:val="000000"/>
                <w:kern w:val="0"/>
                <w:sz w:val="21"/>
                <w:szCs w:val="21"/>
              </w:rPr>
              <w:t>智慧水务综合管控平台（一期）建设，建成标准统一规范的水务大数据中心</w:t>
            </w:r>
          </w:p>
        </w:tc>
      </w:tr>
    </w:tbl>
    <w:p w14:paraId="757305E6">
      <w:pPr>
        <w:rPr>
          <w:rFonts w:eastAsia="方正黑体_GBK" w:cs="Times New Roman"/>
          <w:bCs/>
          <w:sz w:val="30"/>
          <w:szCs w:val="32"/>
        </w:rPr>
      </w:pPr>
      <w:bookmarkStart w:id="70" w:name="_Toc74991967"/>
      <w:r>
        <w:rPr>
          <w:rFonts w:eastAsia="方正黑体_GBK" w:cs="Times New Roman"/>
          <w:bCs/>
          <w:sz w:val="30"/>
          <w:szCs w:val="32"/>
        </w:rPr>
        <w:br w:type="page"/>
      </w:r>
    </w:p>
    <w:p w14:paraId="064D4534">
      <w:pPr>
        <w:keepNext/>
        <w:keepLines/>
        <w:spacing w:before="120" w:after="120" w:line="600" w:lineRule="atLeast"/>
        <w:outlineLvl w:val="1"/>
        <w:rPr>
          <w:rFonts w:eastAsia="方正黑体_GBK" w:cs="Times New Roman"/>
          <w:bCs/>
          <w:sz w:val="30"/>
          <w:szCs w:val="32"/>
        </w:rPr>
      </w:pPr>
      <w:bookmarkStart w:id="71" w:name="_Toc81566752"/>
      <w:r>
        <w:rPr>
          <w:rFonts w:eastAsia="方正黑体_GBK" w:cs="Times New Roman"/>
          <w:bCs/>
          <w:sz w:val="30"/>
          <w:szCs w:val="32"/>
        </w:rPr>
        <w:t>附表2 秦淮区“十四五”期间水务重点项目计划表</w:t>
      </w:r>
      <w:bookmarkEnd w:id="70"/>
      <w:bookmarkEnd w:id="71"/>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3686"/>
        <w:gridCol w:w="1134"/>
        <w:gridCol w:w="1273"/>
        <w:gridCol w:w="1701"/>
        <w:gridCol w:w="1701"/>
        <w:gridCol w:w="1418"/>
        <w:gridCol w:w="993"/>
        <w:gridCol w:w="1450"/>
      </w:tblGrid>
      <w:tr w14:paraId="4FB1B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289" w:type="pct"/>
            <w:vMerge w:val="restart"/>
            <w:shd w:val="clear" w:color="auto" w:fill="auto"/>
            <w:vAlign w:val="center"/>
          </w:tcPr>
          <w:p w14:paraId="3F41F714">
            <w:pPr>
              <w:widowControl/>
              <w:jc w:val="center"/>
              <w:rPr>
                <w:rFonts w:cs="Times New Roman" w:eastAsiaTheme="minorEastAsia"/>
                <w:b/>
                <w:bCs/>
                <w:color w:val="000000"/>
                <w:kern w:val="0"/>
                <w:sz w:val="20"/>
                <w:szCs w:val="20"/>
              </w:rPr>
            </w:pPr>
            <w:r>
              <w:rPr>
                <w:rFonts w:cs="Times New Roman" w:eastAsiaTheme="minorEastAsia"/>
                <w:b/>
                <w:bCs/>
                <w:color w:val="000000"/>
                <w:kern w:val="0"/>
                <w:sz w:val="20"/>
                <w:szCs w:val="20"/>
              </w:rPr>
              <w:t>序号</w:t>
            </w:r>
          </w:p>
        </w:tc>
        <w:tc>
          <w:tcPr>
            <w:tcW w:w="1300" w:type="pct"/>
            <w:vMerge w:val="restart"/>
            <w:shd w:val="clear" w:color="auto" w:fill="auto"/>
            <w:vAlign w:val="center"/>
          </w:tcPr>
          <w:p w14:paraId="75A1FD1F">
            <w:pPr>
              <w:widowControl/>
              <w:jc w:val="center"/>
              <w:rPr>
                <w:rFonts w:cs="Times New Roman" w:eastAsiaTheme="minorEastAsia"/>
                <w:b/>
                <w:bCs/>
                <w:color w:val="000000"/>
                <w:kern w:val="0"/>
                <w:sz w:val="20"/>
                <w:szCs w:val="20"/>
              </w:rPr>
            </w:pPr>
            <w:r>
              <w:rPr>
                <w:rFonts w:cs="Times New Roman" w:eastAsiaTheme="minorEastAsia"/>
                <w:b/>
                <w:bCs/>
                <w:color w:val="000000"/>
                <w:kern w:val="0"/>
                <w:sz w:val="20"/>
                <w:szCs w:val="20"/>
              </w:rPr>
              <w:t>工程名称</w:t>
            </w:r>
          </w:p>
        </w:tc>
        <w:tc>
          <w:tcPr>
            <w:tcW w:w="400" w:type="pct"/>
            <w:shd w:val="clear" w:color="auto" w:fill="auto"/>
            <w:vAlign w:val="center"/>
          </w:tcPr>
          <w:p w14:paraId="431E398D">
            <w:pPr>
              <w:widowControl/>
              <w:jc w:val="center"/>
              <w:rPr>
                <w:rFonts w:cs="Times New Roman" w:eastAsiaTheme="minorEastAsia"/>
                <w:b/>
                <w:bCs/>
                <w:color w:val="000000"/>
                <w:kern w:val="0"/>
                <w:sz w:val="20"/>
                <w:szCs w:val="20"/>
              </w:rPr>
            </w:pPr>
            <w:r>
              <w:rPr>
                <w:rFonts w:cs="Times New Roman" w:eastAsiaTheme="minorEastAsia"/>
                <w:b/>
                <w:bCs/>
                <w:color w:val="000000"/>
                <w:kern w:val="0"/>
                <w:sz w:val="20"/>
                <w:szCs w:val="20"/>
              </w:rPr>
              <w:t>工程投资</w:t>
            </w:r>
          </w:p>
        </w:tc>
        <w:tc>
          <w:tcPr>
            <w:tcW w:w="1649" w:type="pct"/>
            <w:gridSpan w:val="3"/>
            <w:shd w:val="clear" w:color="auto" w:fill="auto"/>
            <w:vAlign w:val="center"/>
          </w:tcPr>
          <w:p w14:paraId="1AB6C1F7">
            <w:pPr>
              <w:widowControl/>
              <w:jc w:val="center"/>
              <w:rPr>
                <w:rFonts w:cs="Times New Roman" w:eastAsiaTheme="minorEastAsia"/>
                <w:b/>
                <w:bCs/>
                <w:color w:val="000000"/>
                <w:kern w:val="0"/>
                <w:sz w:val="20"/>
                <w:szCs w:val="20"/>
              </w:rPr>
            </w:pPr>
            <w:r>
              <w:rPr>
                <w:rFonts w:cs="Times New Roman" w:eastAsiaTheme="minorEastAsia"/>
                <w:b/>
                <w:bCs/>
                <w:color w:val="000000"/>
                <w:kern w:val="0"/>
                <w:sz w:val="20"/>
                <w:szCs w:val="20"/>
              </w:rPr>
              <w:t>实施计划（万元）</w:t>
            </w:r>
          </w:p>
        </w:tc>
        <w:tc>
          <w:tcPr>
            <w:tcW w:w="500" w:type="pct"/>
            <w:vMerge w:val="restart"/>
            <w:shd w:val="clear" w:color="auto" w:fill="auto"/>
            <w:vAlign w:val="center"/>
          </w:tcPr>
          <w:p w14:paraId="0189E0E6">
            <w:pPr>
              <w:widowControl/>
              <w:jc w:val="center"/>
              <w:rPr>
                <w:rFonts w:cs="Times New Roman" w:eastAsiaTheme="minorEastAsia"/>
                <w:b/>
                <w:bCs/>
                <w:color w:val="000000"/>
                <w:kern w:val="0"/>
                <w:sz w:val="20"/>
                <w:szCs w:val="20"/>
              </w:rPr>
            </w:pPr>
            <w:r>
              <w:rPr>
                <w:rFonts w:cs="Times New Roman" w:eastAsiaTheme="minorEastAsia"/>
                <w:b/>
                <w:bCs/>
                <w:color w:val="000000"/>
                <w:kern w:val="0"/>
                <w:sz w:val="20"/>
                <w:szCs w:val="20"/>
              </w:rPr>
              <w:t>工程主要内容</w:t>
            </w:r>
          </w:p>
        </w:tc>
        <w:tc>
          <w:tcPr>
            <w:tcW w:w="350" w:type="pct"/>
            <w:vMerge w:val="restart"/>
            <w:shd w:val="clear" w:color="auto" w:fill="auto"/>
            <w:vAlign w:val="center"/>
          </w:tcPr>
          <w:p w14:paraId="75E6CA4E">
            <w:pPr>
              <w:widowControl/>
              <w:jc w:val="center"/>
              <w:rPr>
                <w:rFonts w:cs="Times New Roman" w:eastAsiaTheme="minorEastAsia"/>
                <w:b/>
                <w:bCs/>
                <w:color w:val="000000"/>
                <w:kern w:val="0"/>
                <w:sz w:val="20"/>
                <w:szCs w:val="20"/>
              </w:rPr>
            </w:pPr>
            <w:r>
              <w:rPr>
                <w:rFonts w:cs="Times New Roman" w:eastAsiaTheme="minorEastAsia"/>
                <w:b/>
                <w:bCs/>
                <w:color w:val="000000"/>
                <w:kern w:val="0"/>
                <w:sz w:val="20"/>
                <w:szCs w:val="20"/>
              </w:rPr>
              <w:t>属地街道</w:t>
            </w:r>
          </w:p>
        </w:tc>
        <w:tc>
          <w:tcPr>
            <w:tcW w:w="511" w:type="pct"/>
            <w:vMerge w:val="restart"/>
            <w:shd w:val="clear" w:color="auto" w:fill="auto"/>
            <w:vAlign w:val="center"/>
          </w:tcPr>
          <w:p w14:paraId="3AA632CE">
            <w:pPr>
              <w:widowControl/>
              <w:jc w:val="center"/>
              <w:rPr>
                <w:rFonts w:cs="Times New Roman" w:eastAsiaTheme="minorEastAsia"/>
                <w:b/>
                <w:bCs/>
                <w:color w:val="000000"/>
                <w:kern w:val="0"/>
                <w:sz w:val="20"/>
                <w:szCs w:val="20"/>
              </w:rPr>
            </w:pPr>
            <w:r>
              <w:rPr>
                <w:rFonts w:cs="Times New Roman" w:eastAsiaTheme="minorEastAsia"/>
                <w:b/>
                <w:bCs/>
                <w:color w:val="000000"/>
                <w:kern w:val="0"/>
                <w:sz w:val="20"/>
                <w:szCs w:val="20"/>
              </w:rPr>
              <w:t>备注</w:t>
            </w:r>
          </w:p>
        </w:tc>
      </w:tr>
      <w:tr w14:paraId="4E8DC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289" w:type="pct"/>
            <w:vMerge w:val="continue"/>
            <w:vAlign w:val="center"/>
          </w:tcPr>
          <w:p w14:paraId="4BAB75D9">
            <w:pPr>
              <w:widowControl/>
              <w:jc w:val="left"/>
              <w:rPr>
                <w:rFonts w:cs="Times New Roman" w:eastAsiaTheme="minorEastAsia"/>
                <w:b/>
                <w:bCs/>
                <w:color w:val="000000"/>
                <w:kern w:val="0"/>
                <w:sz w:val="20"/>
                <w:szCs w:val="20"/>
              </w:rPr>
            </w:pPr>
          </w:p>
        </w:tc>
        <w:tc>
          <w:tcPr>
            <w:tcW w:w="1300" w:type="pct"/>
            <w:vMerge w:val="continue"/>
            <w:vAlign w:val="center"/>
          </w:tcPr>
          <w:p w14:paraId="2C4F1AA4">
            <w:pPr>
              <w:widowControl/>
              <w:jc w:val="left"/>
              <w:rPr>
                <w:rFonts w:cs="Times New Roman" w:eastAsiaTheme="minorEastAsia"/>
                <w:b/>
                <w:bCs/>
                <w:color w:val="000000"/>
                <w:kern w:val="0"/>
                <w:sz w:val="20"/>
                <w:szCs w:val="20"/>
              </w:rPr>
            </w:pPr>
          </w:p>
        </w:tc>
        <w:tc>
          <w:tcPr>
            <w:tcW w:w="400" w:type="pct"/>
            <w:shd w:val="clear" w:color="auto" w:fill="auto"/>
            <w:vAlign w:val="center"/>
          </w:tcPr>
          <w:p w14:paraId="4B8EB936">
            <w:pPr>
              <w:widowControl/>
              <w:jc w:val="center"/>
              <w:rPr>
                <w:rFonts w:cs="Times New Roman" w:eastAsiaTheme="minorEastAsia"/>
                <w:b/>
                <w:bCs/>
                <w:color w:val="000000"/>
                <w:kern w:val="0"/>
                <w:sz w:val="20"/>
                <w:szCs w:val="20"/>
              </w:rPr>
            </w:pPr>
            <w:r>
              <w:rPr>
                <w:rFonts w:cs="Times New Roman" w:eastAsiaTheme="minorEastAsia"/>
                <w:b/>
                <w:bCs/>
                <w:color w:val="000000"/>
                <w:kern w:val="0"/>
                <w:sz w:val="20"/>
                <w:szCs w:val="20"/>
              </w:rPr>
              <w:t>（万元）</w:t>
            </w:r>
          </w:p>
        </w:tc>
        <w:tc>
          <w:tcPr>
            <w:tcW w:w="449" w:type="pct"/>
            <w:shd w:val="clear" w:color="auto" w:fill="auto"/>
            <w:vAlign w:val="center"/>
          </w:tcPr>
          <w:p w14:paraId="3EB09C8C">
            <w:pPr>
              <w:widowControl/>
              <w:jc w:val="center"/>
              <w:rPr>
                <w:rFonts w:cs="Times New Roman" w:eastAsiaTheme="minorEastAsia"/>
                <w:b/>
                <w:bCs/>
                <w:color w:val="000000"/>
                <w:kern w:val="0"/>
                <w:sz w:val="20"/>
                <w:szCs w:val="20"/>
              </w:rPr>
            </w:pPr>
            <w:r>
              <w:rPr>
                <w:rFonts w:cs="Times New Roman" w:eastAsiaTheme="minorEastAsia"/>
                <w:b/>
                <w:bCs/>
                <w:color w:val="000000"/>
                <w:kern w:val="0"/>
                <w:sz w:val="20"/>
                <w:szCs w:val="20"/>
              </w:rPr>
              <w:t>至2021年底</w:t>
            </w:r>
          </w:p>
        </w:tc>
        <w:tc>
          <w:tcPr>
            <w:tcW w:w="600" w:type="pct"/>
            <w:shd w:val="clear" w:color="auto" w:fill="auto"/>
            <w:vAlign w:val="center"/>
          </w:tcPr>
          <w:p w14:paraId="6D098A5B">
            <w:pPr>
              <w:widowControl/>
              <w:jc w:val="center"/>
              <w:rPr>
                <w:rFonts w:cs="Times New Roman" w:eastAsiaTheme="minorEastAsia"/>
                <w:b/>
                <w:bCs/>
                <w:color w:val="000000"/>
                <w:kern w:val="0"/>
                <w:sz w:val="20"/>
                <w:szCs w:val="20"/>
              </w:rPr>
            </w:pPr>
            <w:r>
              <w:rPr>
                <w:rFonts w:cs="Times New Roman" w:eastAsiaTheme="minorEastAsia"/>
                <w:b/>
                <w:bCs/>
                <w:color w:val="000000"/>
                <w:kern w:val="0"/>
                <w:sz w:val="20"/>
                <w:szCs w:val="20"/>
              </w:rPr>
              <w:t>2022至2023年底</w:t>
            </w:r>
          </w:p>
        </w:tc>
        <w:tc>
          <w:tcPr>
            <w:tcW w:w="600" w:type="pct"/>
            <w:shd w:val="clear" w:color="auto" w:fill="auto"/>
            <w:vAlign w:val="center"/>
          </w:tcPr>
          <w:p w14:paraId="719E4437">
            <w:pPr>
              <w:widowControl/>
              <w:jc w:val="center"/>
              <w:rPr>
                <w:rFonts w:cs="Times New Roman" w:eastAsiaTheme="minorEastAsia"/>
                <w:b/>
                <w:bCs/>
                <w:color w:val="000000"/>
                <w:kern w:val="0"/>
                <w:sz w:val="20"/>
                <w:szCs w:val="20"/>
              </w:rPr>
            </w:pPr>
            <w:r>
              <w:rPr>
                <w:rFonts w:cs="Times New Roman" w:eastAsiaTheme="minorEastAsia"/>
                <w:b/>
                <w:bCs/>
                <w:color w:val="000000"/>
                <w:kern w:val="0"/>
                <w:sz w:val="20"/>
                <w:szCs w:val="20"/>
              </w:rPr>
              <w:t>2024至2025年底</w:t>
            </w:r>
          </w:p>
        </w:tc>
        <w:tc>
          <w:tcPr>
            <w:tcW w:w="500" w:type="pct"/>
            <w:vMerge w:val="continue"/>
            <w:vAlign w:val="center"/>
          </w:tcPr>
          <w:p w14:paraId="5E7386D5">
            <w:pPr>
              <w:widowControl/>
              <w:jc w:val="left"/>
              <w:rPr>
                <w:rFonts w:cs="Times New Roman" w:eastAsiaTheme="minorEastAsia"/>
                <w:b/>
                <w:bCs/>
                <w:color w:val="000000"/>
                <w:kern w:val="0"/>
                <w:sz w:val="20"/>
                <w:szCs w:val="20"/>
              </w:rPr>
            </w:pPr>
          </w:p>
        </w:tc>
        <w:tc>
          <w:tcPr>
            <w:tcW w:w="350" w:type="pct"/>
            <w:vMerge w:val="continue"/>
            <w:vAlign w:val="center"/>
          </w:tcPr>
          <w:p w14:paraId="2DA95171">
            <w:pPr>
              <w:widowControl/>
              <w:jc w:val="left"/>
              <w:rPr>
                <w:rFonts w:cs="Times New Roman" w:eastAsiaTheme="minorEastAsia"/>
                <w:b/>
                <w:bCs/>
                <w:color w:val="000000"/>
                <w:kern w:val="0"/>
                <w:sz w:val="20"/>
                <w:szCs w:val="20"/>
              </w:rPr>
            </w:pPr>
          </w:p>
        </w:tc>
        <w:tc>
          <w:tcPr>
            <w:tcW w:w="511" w:type="pct"/>
            <w:vMerge w:val="continue"/>
            <w:vAlign w:val="center"/>
          </w:tcPr>
          <w:p w14:paraId="318C961C">
            <w:pPr>
              <w:widowControl/>
              <w:jc w:val="left"/>
              <w:rPr>
                <w:rFonts w:cs="Times New Roman" w:eastAsiaTheme="minorEastAsia"/>
                <w:b/>
                <w:bCs/>
                <w:color w:val="000000"/>
                <w:kern w:val="0"/>
                <w:sz w:val="20"/>
                <w:szCs w:val="20"/>
              </w:rPr>
            </w:pPr>
          </w:p>
        </w:tc>
      </w:tr>
      <w:tr w14:paraId="3F3B4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289" w:type="pct"/>
            <w:vMerge w:val="continue"/>
            <w:vAlign w:val="center"/>
          </w:tcPr>
          <w:p w14:paraId="307B5AA3">
            <w:pPr>
              <w:widowControl/>
              <w:jc w:val="left"/>
              <w:rPr>
                <w:rFonts w:cs="Times New Roman" w:eastAsiaTheme="minorEastAsia"/>
                <w:b/>
                <w:bCs/>
                <w:color w:val="000000"/>
                <w:kern w:val="0"/>
                <w:sz w:val="20"/>
                <w:szCs w:val="20"/>
              </w:rPr>
            </w:pPr>
          </w:p>
        </w:tc>
        <w:tc>
          <w:tcPr>
            <w:tcW w:w="1300" w:type="pct"/>
            <w:vMerge w:val="continue"/>
            <w:vAlign w:val="center"/>
          </w:tcPr>
          <w:p w14:paraId="549995DB">
            <w:pPr>
              <w:widowControl/>
              <w:jc w:val="left"/>
              <w:rPr>
                <w:rFonts w:cs="Times New Roman" w:eastAsiaTheme="minorEastAsia"/>
                <w:b/>
                <w:bCs/>
                <w:color w:val="000000"/>
                <w:kern w:val="0"/>
                <w:sz w:val="20"/>
                <w:szCs w:val="20"/>
              </w:rPr>
            </w:pPr>
          </w:p>
        </w:tc>
        <w:tc>
          <w:tcPr>
            <w:tcW w:w="400" w:type="pct"/>
            <w:shd w:val="clear" w:color="auto" w:fill="auto"/>
            <w:vAlign w:val="center"/>
          </w:tcPr>
          <w:p w14:paraId="769EF050">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449" w:type="pct"/>
            <w:shd w:val="clear" w:color="auto" w:fill="auto"/>
            <w:vAlign w:val="center"/>
          </w:tcPr>
          <w:p w14:paraId="5E66D4E2">
            <w:pPr>
              <w:widowControl/>
              <w:jc w:val="center"/>
              <w:rPr>
                <w:rFonts w:cs="Times New Roman" w:eastAsiaTheme="minorEastAsia"/>
                <w:b/>
                <w:bCs/>
                <w:color w:val="000000"/>
                <w:kern w:val="0"/>
                <w:sz w:val="20"/>
                <w:szCs w:val="20"/>
              </w:rPr>
            </w:pPr>
            <w:r>
              <w:rPr>
                <w:rFonts w:cs="Times New Roman" w:eastAsiaTheme="minorEastAsia"/>
                <w:b/>
                <w:bCs/>
                <w:color w:val="000000"/>
                <w:kern w:val="0"/>
                <w:sz w:val="20"/>
                <w:szCs w:val="20"/>
              </w:rPr>
              <w:t>完成投资</w:t>
            </w:r>
          </w:p>
        </w:tc>
        <w:tc>
          <w:tcPr>
            <w:tcW w:w="600" w:type="pct"/>
            <w:shd w:val="clear" w:color="auto" w:fill="auto"/>
            <w:vAlign w:val="center"/>
          </w:tcPr>
          <w:p w14:paraId="0DCB1FAD">
            <w:pPr>
              <w:widowControl/>
              <w:jc w:val="center"/>
              <w:rPr>
                <w:rFonts w:cs="Times New Roman" w:eastAsiaTheme="minorEastAsia"/>
                <w:b/>
                <w:bCs/>
                <w:color w:val="000000"/>
                <w:kern w:val="0"/>
                <w:sz w:val="20"/>
                <w:szCs w:val="20"/>
              </w:rPr>
            </w:pPr>
            <w:r>
              <w:rPr>
                <w:rFonts w:cs="Times New Roman" w:eastAsiaTheme="minorEastAsia"/>
                <w:b/>
                <w:bCs/>
                <w:color w:val="000000"/>
                <w:kern w:val="0"/>
                <w:sz w:val="20"/>
                <w:szCs w:val="20"/>
              </w:rPr>
              <w:t>完成投资</w:t>
            </w:r>
          </w:p>
        </w:tc>
        <w:tc>
          <w:tcPr>
            <w:tcW w:w="600" w:type="pct"/>
            <w:shd w:val="clear" w:color="auto" w:fill="auto"/>
            <w:vAlign w:val="center"/>
          </w:tcPr>
          <w:p w14:paraId="0232C80D">
            <w:pPr>
              <w:widowControl/>
              <w:jc w:val="center"/>
              <w:rPr>
                <w:rFonts w:cs="Times New Roman" w:eastAsiaTheme="minorEastAsia"/>
                <w:b/>
                <w:bCs/>
                <w:color w:val="000000"/>
                <w:kern w:val="0"/>
                <w:sz w:val="20"/>
                <w:szCs w:val="20"/>
              </w:rPr>
            </w:pPr>
            <w:r>
              <w:rPr>
                <w:rFonts w:cs="Times New Roman" w:eastAsiaTheme="minorEastAsia"/>
                <w:b/>
                <w:bCs/>
                <w:color w:val="000000"/>
                <w:kern w:val="0"/>
                <w:sz w:val="20"/>
                <w:szCs w:val="20"/>
              </w:rPr>
              <w:t>完成投资</w:t>
            </w:r>
          </w:p>
        </w:tc>
        <w:tc>
          <w:tcPr>
            <w:tcW w:w="500" w:type="pct"/>
            <w:vMerge w:val="continue"/>
            <w:vAlign w:val="center"/>
          </w:tcPr>
          <w:p w14:paraId="6DACA550">
            <w:pPr>
              <w:widowControl/>
              <w:jc w:val="left"/>
              <w:rPr>
                <w:rFonts w:cs="Times New Roman" w:eastAsiaTheme="minorEastAsia"/>
                <w:b/>
                <w:bCs/>
                <w:color w:val="000000"/>
                <w:kern w:val="0"/>
                <w:sz w:val="20"/>
                <w:szCs w:val="20"/>
              </w:rPr>
            </w:pPr>
          </w:p>
        </w:tc>
        <w:tc>
          <w:tcPr>
            <w:tcW w:w="350" w:type="pct"/>
            <w:vMerge w:val="continue"/>
            <w:vAlign w:val="center"/>
          </w:tcPr>
          <w:p w14:paraId="0E7E3E37">
            <w:pPr>
              <w:widowControl/>
              <w:jc w:val="left"/>
              <w:rPr>
                <w:rFonts w:cs="Times New Roman" w:eastAsiaTheme="minorEastAsia"/>
                <w:b/>
                <w:bCs/>
                <w:color w:val="000000"/>
                <w:kern w:val="0"/>
                <w:sz w:val="20"/>
                <w:szCs w:val="20"/>
              </w:rPr>
            </w:pPr>
          </w:p>
        </w:tc>
        <w:tc>
          <w:tcPr>
            <w:tcW w:w="511" w:type="pct"/>
            <w:vMerge w:val="continue"/>
            <w:vAlign w:val="center"/>
          </w:tcPr>
          <w:p w14:paraId="0222C4C5">
            <w:pPr>
              <w:widowControl/>
              <w:jc w:val="left"/>
              <w:rPr>
                <w:rFonts w:cs="Times New Roman" w:eastAsiaTheme="minorEastAsia"/>
                <w:b/>
                <w:bCs/>
                <w:color w:val="000000"/>
                <w:kern w:val="0"/>
                <w:sz w:val="20"/>
                <w:szCs w:val="20"/>
              </w:rPr>
            </w:pPr>
          </w:p>
        </w:tc>
      </w:tr>
      <w:tr w14:paraId="62D46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89" w:type="pct"/>
            <w:shd w:val="clear" w:color="auto" w:fill="auto"/>
            <w:vAlign w:val="center"/>
          </w:tcPr>
          <w:p w14:paraId="3BD0BB05">
            <w:pPr>
              <w:widowControl/>
              <w:jc w:val="center"/>
              <w:rPr>
                <w:rFonts w:cs="Times New Roman" w:eastAsiaTheme="minorEastAsia"/>
                <w:b/>
                <w:bCs/>
                <w:color w:val="000000"/>
                <w:kern w:val="0"/>
                <w:sz w:val="20"/>
                <w:szCs w:val="20"/>
              </w:rPr>
            </w:pPr>
            <w:r>
              <w:rPr>
                <w:rFonts w:cs="Times New Roman" w:eastAsiaTheme="minorEastAsia"/>
                <w:b/>
                <w:bCs/>
                <w:color w:val="000000"/>
                <w:kern w:val="0"/>
                <w:sz w:val="20"/>
                <w:szCs w:val="20"/>
              </w:rPr>
              <w:t>一</w:t>
            </w:r>
          </w:p>
        </w:tc>
        <w:tc>
          <w:tcPr>
            <w:tcW w:w="1300" w:type="pct"/>
            <w:shd w:val="clear" w:color="auto" w:fill="auto"/>
            <w:vAlign w:val="center"/>
          </w:tcPr>
          <w:p w14:paraId="2961C3E4">
            <w:pPr>
              <w:widowControl/>
              <w:jc w:val="center"/>
              <w:rPr>
                <w:rFonts w:cs="Times New Roman" w:eastAsiaTheme="minorEastAsia"/>
                <w:b/>
                <w:bCs/>
                <w:color w:val="000000"/>
                <w:kern w:val="0"/>
                <w:sz w:val="20"/>
                <w:szCs w:val="20"/>
              </w:rPr>
            </w:pPr>
            <w:r>
              <w:rPr>
                <w:rFonts w:cs="Times New Roman" w:eastAsiaTheme="minorEastAsia"/>
                <w:b/>
                <w:bCs/>
                <w:color w:val="000000"/>
                <w:kern w:val="0"/>
                <w:sz w:val="20"/>
                <w:szCs w:val="20"/>
              </w:rPr>
              <w:t>防洪除涝工程</w:t>
            </w:r>
          </w:p>
        </w:tc>
        <w:tc>
          <w:tcPr>
            <w:tcW w:w="400" w:type="pct"/>
            <w:shd w:val="clear" w:color="auto" w:fill="auto"/>
            <w:vAlign w:val="center"/>
          </w:tcPr>
          <w:p w14:paraId="00DA7270">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449" w:type="pct"/>
            <w:shd w:val="clear" w:color="auto" w:fill="auto"/>
            <w:vAlign w:val="center"/>
          </w:tcPr>
          <w:p w14:paraId="2CBCFD80">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7FB89404">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381DD009">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00" w:type="pct"/>
            <w:shd w:val="clear" w:color="auto" w:fill="auto"/>
            <w:vAlign w:val="center"/>
          </w:tcPr>
          <w:p w14:paraId="4A8A25DC">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350" w:type="pct"/>
            <w:shd w:val="clear" w:color="auto" w:fill="auto"/>
            <w:vAlign w:val="center"/>
          </w:tcPr>
          <w:p w14:paraId="5AE15BD2">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3F60327D">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418ED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89" w:type="pct"/>
            <w:shd w:val="clear" w:color="000000" w:fill="FFFFFF"/>
            <w:vAlign w:val="center"/>
          </w:tcPr>
          <w:p w14:paraId="0FD53CDF">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1</w:t>
            </w:r>
          </w:p>
        </w:tc>
        <w:tc>
          <w:tcPr>
            <w:tcW w:w="1300" w:type="pct"/>
            <w:shd w:val="clear" w:color="000000" w:fill="FFFFFF"/>
            <w:vAlign w:val="center"/>
          </w:tcPr>
          <w:p w14:paraId="197D822D">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秦淮河堤防隐患消险整治工程</w:t>
            </w:r>
          </w:p>
        </w:tc>
        <w:tc>
          <w:tcPr>
            <w:tcW w:w="400" w:type="pct"/>
            <w:shd w:val="clear" w:color="000000" w:fill="FFFFFF"/>
            <w:vAlign w:val="center"/>
          </w:tcPr>
          <w:p w14:paraId="71CB4BAA">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5000</w:t>
            </w:r>
          </w:p>
        </w:tc>
        <w:tc>
          <w:tcPr>
            <w:tcW w:w="449" w:type="pct"/>
            <w:shd w:val="clear" w:color="000000" w:fill="FFFFFF"/>
            <w:vAlign w:val="center"/>
          </w:tcPr>
          <w:p w14:paraId="616A4706">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000000" w:fill="FFFFFF"/>
            <w:vAlign w:val="center"/>
          </w:tcPr>
          <w:p w14:paraId="20FE827A">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5000</w:t>
            </w:r>
          </w:p>
        </w:tc>
        <w:tc>
          <w:tcPr>
            <w:tcW w:w="600" w:type="pct"/>
            <w:shd w:val="clear" w:color="000000" w:fill="FFFFFF"/>
            <w:vAlign w:val="center"/>
          </w:tcPr>
          <w:p w14:paraId="55D7942E">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00" w:type="pct"/>
            <w:vMerge w:val="restart"/>
            <w:shd w:val="clear" w:color="000000" w:fill="FFFFFF"/>
            <w:vAlign w:val="center"/>
          </w:tcPr>
          <w:p w14:paraId="762AD5B4">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流域防洪保障</w:t>
            </w:r>
          </w:p>
        </w:tc>
        <w:tc>
          <w:tcPr>
            <w:tcW w:w="350" w:type="pct"/>
            <w:shd w:val="clear" w:color="000000" w:fill="FFFFFF"/>
            <w:vAlign w:val="center"/>
          </w:tcPr>
          <w:p w14:paraId="5D33CEED">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000000" w:fill="FFFFFF"/>
            <w:vAlign w:val="center"/>
          </w:tcPr>
          <w:p w14:paraId="007DCCF8">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0FFF3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89" w:type="pct"/>
            <w:shd w:val="clear" w:color="000000" w:fill="FFFFFF"/>
            <w:vAlign w:val="center"/>
          </w:tcPr>
          <w:p w14:paraId="6749D229">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2</w:t>
            </w:r>
          </w:p>
        </w:tc>
        <w:tc>
          <w:tcPr>
            <w:tcW w:w="1300" w:type="pct"/>
            <w:shd w:val="clear" w:color="000000" w:fill="FFFFFF"/>
            <w:vAlign w:val="center"/>
          </w:tcPr>
          <w:p w14:paraId="54FAA8C3">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撇洪沟堤防消险工程</w:t>
            </w:r>
          </w:p>
        </w:tc>
        <w:tc>
          <w:tcPr>
            <w:tcW w:w="400" w:type="pct"/>
            <w:shd w:val="clear" w:color="000000" w:fill="FFFFFF"/>
            <w:vAlign w:val="center"/>
          </w:tcPr>
          <w:p w14:paraId="7AD53F45">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2500</w:t>
            </w:r>
          </w:p>
        </w:tc>
        <w:tc>
          <w:tcPr>
            <w:tcW w:w="449" w:type="pct"/>
            <w:shd w:val="clear" w:color="000000" w:fill="FFFFFF"/>
            <w:vAlign w:val="center"/>
          </w:tcPr>
          <w:p w14:paraId="39894282">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2500</w:t>
            </w:r>
          </w:p>
        </w:tc>
        <w:tc>
          <w:tcPr>
            <w:tcW w:w="600" w:type="pct"/>
            <w:shd w:val="clear" w:color="000000" w:fill="FFFFFF"/>
            <w:vAlign w:val="center"/>
          </w:tcPr>
          <w:p w14:paraId="3D0F9465">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000000" w:fill="FFFFFF"/>
            <w:vAlign w:val="center"/>
          </w:tcPr>
          <w:p w14:paraId="53E03850">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00" w:type="pct"/>
            <w:vMerge w:val="continue"/>
            <w:vAlign w:val="center"/>
          </w:tcPr>
          <w:p w14:paraId="0898CCD9">
            <w:pPr>
              <w:widowControl/>
              <w:jc w:val="left"/>
              <w:rPr>
                <w:rFonts w:cs="Times New Roman" w:eastAsiaTheme="minorEastAsia"/>
                <w:color w:val="000000"/>
                <w:kern w:val="0"/>
                <w:sz w:val="20"/>
                <w:szCs w:val="20"/>
              </w:rPr>
            </w:pPr>
          </w:p>
        </w:tc>
        <w:tc>
          <w:tcPr>
            <w:tcW w:w="350" w:type="pct"/>
            <w:shd w:val="clear" w:color="auto" w:fill="auto"/>
            <w:vAlign w:val="center"/>
          </w:tcPr>
          <w:p w14:paraId="745A6323">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5DBC3C81">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20481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289" w:type="pct"/>
            <w:shd w:val="clear" w:color="000000" w:fill="FFFFFF"/>
            <w:vAlign w:val="center"/>
          </w:tcPr>
          <w:p w14:paraId="39C46900">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3</w:t>
            </w:r>
          </w:p>
        </w:tc>
        <w:tc>
          <w:tcPr>
            <w:tcW w:w="1300" w:type="pct"/>
            <w:shd w:val="clear" w:color="000000" w:fill="FFFFFF"/>
            <w:vAlign w:val="center"/>
          </w:tcPr>
          <w:p w14:paraId="532EE579">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运粮河堤防达标整治工程</w:t>
            </w:r>
          </w:p>
        </w:tc>
        <w:tc>
          <w:tcPr>
            <w:tcW w:w="400" w:type="pct"/>
            <w:shd w:val="clear" w:color="000000" w:fill="FFFFFF"/>
            <w:vAlign w:val="center"/>
          </w:tcPr>
          <w:p w14:paraId="50B2D68F">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30000</w:t>
            </w:r>
          </w:p>
        </w:tc>
        <w:tc>
          <w:tcPr>
            <w:tcW w:w="449" w:type="pct"/>
            <w:shd w:val="clear" w:color="000000" w:fill="FFFFFF"/>
            <w:vAlign w:val="center"/>
          </w:tcPr>
          <w:p w14:paraId="75A52341">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000000" w:fill="FFFFFF"/>
            <w:vAlign w:val="center"/>
          </w:tcPr>
          <w:p w14:paraId="499E1516">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000000" w:fill="FFFFFF"/>
            <w:vAlign w:val="center"/>
          </w:tcPr>
          <w:p w14:paraId="6E56608E">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30000</w:t>
            </w:r>
          </w:p>
        </w:tc>
        <w:tc>
          <w:tcPr>
            <w:tcW w:w="500" w:type="pct"/>
            <w:vMerge w:val="continue"/>
            <w:vAlign w:val="center"/>
          </w:tcPr>
          <w:p w14:paraId="5139D501">
            <w:pPr>
              <w:widowControl/>
              <w:jc w:val="left"/>
              <w:rPr>
                <w:rFonts w:cs="Times New Roman" w:eastAsiaTheme="minorEastAsia"/>
                <w:color w:val="000000"/>
                <w:kern w:val="0"/>
                <w:sz w:val="20"/>
                <w:szCs w:val="20"/>
              </w:rPr>
            </w:pPr>
          </w:p>
        </w:tc>
        <w:tc>
          <w:tcPr>
            <w:tcW w:w="350" w:type="pct"/>
            <w:shd w:val="clear" w:color="auto" w:fill="auto"/>
            <w:vAlign w:val="center"/>
          </w:tcPr>
          <w:p w14:paraId="6A9C9E3D">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41F0D300">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按全市统一要求，结合秦淮东河一期建设</w:t>
            </w:r>
          </w:p>
        </w:tc>
      </w:tr>
      <w:tr w14:paraId="609BE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89" w:type="pct"/>
            <w:shd w:val="clear" w:color="auto" w:fill="auto"/>
            <w:vAlign w:val="center"/>
          </w:tcPr>
          <w:p w14:paraId="0D41A9B2">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4</w:t>
            </w:r>
          </w:p>
        </w:tc>
        <w:tc>
          <w:tcPr>
            <w:tcW w:w="1300" w:type="pct"/>
            <w:shd w:val="clear" w:color="000000" w:fill="FFFFFF"/>
            <w:vAlign w:val="center"/>
          </w:tcPr>
          <w:p w14:paraId="41D1A359">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区内排涝河道、泵站前池常态化清淤</w:t>
            </w:r>
          </w:p>
        </w:tc>
        <w:tc>
          <w:tcPr>
            <w:tcW w:w="400" w:type="pct"/>
            <w:shd w:val="clear" w:color="000000" w:fill="FFFFFF"/>
            <w:vAlign w:val="center"/>
          </w:tcPr>
          <w:p w14:paraId="62419753">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1000</w:t>
            </w:r>
          </w:p>
        </w:tc>
        <w:tc>
          <w:tcPr>
            <w:tcW w:w="449" w:type="pct"/>
            <w:shd w:val="clear" w:color="000000" w:fill="FFFFFF"/>
            <w:vAlign w:val="center"/>
          </w:tcPr>
          <w:p w14:paraId="3DCEF376">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000000" w:fill="FFFFFF"/>
            <w:vAlign w:val="center"/>
          </w:tcPr>
          <w:p w14:paraId="3740332E">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600</w:t>
            </w:r>
          </w:p>
        </w:tc>
        <w:tc>
          <w:tcPr>
            <w:tcW w:w="600" w:type="pct"/>
            <w:shd w:val="clear" w:color="000000" w:fill="FFFFFF"/>
            <w:vAlign w:val="center"/>
          </w:tcPr>
          <w:p w14:paraId="32FF8955">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400</w:t>
            </w:r>
          </w:p>
        </w:tc>
        <w:tc>
          <w:tcPr>
            <w:tcW w:w="500" w:type="pct"/>
            <w:vMerge w:val="restart"/>
            <w:shd w:val="clear" w:color="000000" w:fill="FFFFFF"/>
            <w:vAlign w:val="center"/>
          </w:tcPr>
          <w:p w14:paraId="2E9E73C9">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p w14:paraId="5669B3FB">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p w14:paraId="6E166EF2">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城区排涝能力完善</w:t>
            </w:r>
          </w:p>
          <w:p w14:paraId="52BA1CB1">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p w14:paraId="583FCDC1">
            <w:pPr>
              <w:jc w:val="left"/>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350" w:type="pct"/>
            <w:shd w:val="clear" w:color="auto" w:fill="auto"/>
            <w:vAlign w:val="center"/>
          </w:tcPr>
          <w:p w14:paraId="5A47C65D">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771B1C5C">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422A1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89" w:type="pct"/>
            <w:shd w:val="clear" w:color="auto" w:fill="auto"/>
            <w:vAlign w:val="center"/>
          </w:tcPr>
          <w:p w14:paraId="230104F4">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5</w:t>
            </w:r>
          </w:p>
        </w:tc>
        <w:tc>
          <w:tcPr>
            <w:tcW w:w="1300" w:type="pct"/>
            <w:shd w:val="clear" w:color="000000" w:fill="FFFFFF"/>
            <w:vAlign w:val="center"/>
          </w:tcPr>
          <w:p w14:paraId="1841AE1A">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白甸、青年河、梅家廊、友谊路立交等泵站改造、消险加固等</w:t>
            </w:r>
          </w:p>
        </w:tc>
        <w:tc>
          <w:tcPr>
            <w:tcW w:w="400" w:type="pct"/>
            <w:shd w:val="clear" w:color="000000" w:fill="FFFFFF"/>
            <w:vAlign w:val="center"/>
          </w:tcPr>
          <w:p w14:paraId="2F88D005">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2900</w:t>
            </w:r>
          </w:p>
        </w:tc>
        <w:tc>
          <w:tcPr>
            <w:tcW w:w="449" w:type="pct"/>
            <w:shd w:val="clear" w:color="000000" w:fill="FFFFFF"/>
            <w:vAlign w:val="center"/>
          </w:tcPr>
          <w:p w14:paraId="318F5E33">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000000" w:fill="FFFFFF"/>
            <w:vAlign w:val="center"/>
          </w:tcPr>
          <w:p w14:paraId="58B66D77">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2900</w:t>
            </w:r>
          </w:p>
        </w:tc>
        <w:tc>
          <w:tcPr>
            <w:tcW w:w="600" w:type="pct"/>
            <w:shd w:val="clear" w:color="000000" w:fill="FFFFFF"/>
            <w:vAlign w:val="center"/>
          </w:tcPr>
          <w:p w14:paraId="6E2708A8">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00" w:type="pct"/>
            <w:vMerge w:val="continue"/>
            <w:shd w:val="clear" w:color="000000" w:fill="FFFFFF"/>
            <w:vAlign w:val="center"/>
          </w:tcPr>
          <w:p w14:paraId="7B0C6C60">
            <w:pPr>
              <w:jc w:val="left"/>
              <w:rPr>
                <w:rFonts w:cs="Times New Roman" w:eastAsiaTheme="minorEastAsia"/>
                <w:color w:val="000000"/>
                <w:kern w:val="0"/>
                <w:sz w:val="20"/>
                <w:szCs w:val="20"/>
              </w:rPr>
            </w:pPr>
          </w:p>
        </w:tc>
        <w:tc>
          <w:tcPr>
            <w:tcW w:w="350" w:type="pct"/>
            <w:shd w:val="clear" w:color="auto" w:fill="auto"/>
            <w:vAlign w:val="center"/>
          </w:tcPr>
          <w:p w14:paraId="17D93C96">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2CCD1E9E">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40DDB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89" w:type="pct"/>
            <w:shd w:val="clear" w:color="auto" w:fill="auto"/>
            <w:vAlign w:val="center"/>
          </w:tcPr>
          <w:p w14:paraId="71A17130">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6</w:t>
            </w:r>
          </w:p>
        </w:tc>
        <w:tc>
          <w:tcPr>
            <w:tcW w:w="1300" w:type="pct"/>
            <w:shd w:val="clear" w:color="000000" w:fill="FFFFFF"/>
            <w:vAlign w:val="center"/>
          </w:tcPr>
          <w:p w14:paraId="3FC0AF0C">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每年完成对排水主干管道完成1次绞拉，每年完成对雨水检查井、雨水收集井4次清涝</w:t>
            </w:r>
          </w:p>
        </w:tc>
        <w:tc>
          <w:tcPr>
            <w:tcW w:w="400" w:type="pct"/>
            <w:shd w:val="clear" w:color="000000" w:fill="FFFFFF"/>
            <w:vAlign w:val="center"/>
          </w:tcPr>
          <w:p w14:paraId="1B741767">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3000</w:t>
            </w:r>
          </w:p>
        </w:tc>
        <w:tc>
          <w:tcPr>
            <w:tcW w:w="449" w:type="pct"/>
            <w:shd w:val="clear" w:color="000000" w:fill="FFFFFF"/>
            <w:vAlign w:val="center"/>
          </w:tcPr>
          <w:p w14:paraId="0CD350CF">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600</w:t>
            </w:r>
          </w:p>
        </w:tc>
        <w:tc>
          <w:tcPr>
            <w:tcW w:w="600" w:type="pct"/>
            <w:shd w:val="clear" w:color="000000" w:fill="FFFFFF"/>
            <w:vAlign w:val="center"/>
          </w:tcPr>
          <w:p w14:paraId="4A63CB83">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1200</w:t>
            </w:r>
          </w:p>
        </w:tc>
        <w:tc>
          <w:tcPr>
            <w:tcW w:w="600" w:type="pct"/>
            <w:shd w:val="clear" w:color="000000" w:fill="FFFFFF"/>
            <w:vAlign w:val="center"/>
          </w:tcPr>
          <w:p w14:paraId="185ED483">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1200</w:t>
            </w:r>
          </w:p>
        </w:tc>
        <w:tc>
          <w:tcPr>
            <w:tcW w:w="500" w:type="pct"/>
            <w:vMerge w:val="continue"/>
            <w:shd w:val="clear" w:color="000000" w:fill="FFFFFF"/>
            <w:vAlign w:val="center"/>
          </w:tcPr>
          <w:p w14:paraId="372CD1DF">
            <w:pPr>
              <w:jc w:val="left"/>
              <w:rPr>
                <w:rFonts w:cs="Times New Roman" w:eastAsiaTheme="minorEastAsia"/>
                <w:color w:val="000000"/>
                <w:kern w:val="0"/>
                <w:sz w:val="20"/>
                <w:szCs w:val="20"/>
              </w:rPr>
            </w:pPr>
          </w:p>
        </w:tc>
        <w:tc>
          <w:tcPr>
            <w:tcW w:w="350" w:type="pct"/>
            <w:shd w:val="clear" w:color="auto" w:fill="auto"/>
            <w:vAlign w:val="center"/>
          </w:tcPr>
          <w:p w14:paraId="589D6E5B">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37578D3E">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6BCF5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89" w:type="pct"/>
            <w:shd w:val="clear" w:color="auto" w:fill="auto"/>
            <w:vAlign w:val="center"/>
          </w:tcPr>
          <w:p w14:paraId="4D1EC6E4">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7</w:t>
            </w:r>
          </w:p>
        </w:tc>
        <w:tc>
          <w:tcPr>
            <w:tcW w:w="1300" w:type="pct"/>
            <w:shd w:val="clear" w:color="000000" w:fill="FFFFFF"/>
            <w:vAlign w:val="center"/>
          </w:tcPr>
          <w:p w14:paraId="0AE03556">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应天大街赛虹桥、旭光西路、石杨路（绕城公路-顺天大道）等积淹水点整治</w:t>
            </w:r>
          </w:p>
        </w:tc>
        <w:tc>
          <w:tcPr>
            <w:tcW w:w="400" w:type="pct"/>
            <w:shd w:val="clear" w:color="000000" w:fill="FFFFFF"/>
            <w:vAlign w:val="center"/>
          </w:tcPr>
          <w:p w14:paraId="31FC6EB1">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2000</w:t>
            </w:r>
          </w:p>
        </w:tc>
        <w:tc>
          <w:tcPr>
            <w:tcW w:w="449" w:type="pct"/>
            <w:shd w:val="clear" w:color="000000" w:fill="FFFFFF"/>
            <w:vAlign w:val="center"/>
          </w:tcPr>
          <w:p w14:paraId="701C9191">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500</w:t>
            </w:r>
          </w:p>
        </w:tc>
        <w:tc>
          <w:tcPr>
            <w:tcW w:w="600" w:type="pct"/>
            <w:shd w:val="clear" w:color="000000" w:fill="FFFFFF"/>
            <w:vAlign w:val="center"/>
          </w:tcPr>
          <w:p w14:paraId="5892C69A">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1500</w:t>
            </w:r>
          </w:p>
        </w:tc>
        <w:tc>
          <w:tcPr>
            <w:tcW w:w="600" w:type="pct"/>
            <w:shd w:val="clear" w:color="000000" w:fill="FFFFFF"/>
            <w:vAlign w:val="center"/>
          </w:tcPr>
          <w:p w14:paraId="47074343">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00" w:type="pct"/>
            <w:vMerge w:val="continue"/>
            <w:shd w:val="clear" w:color="000000" w:fill="FFFFFF"/>
            <w:vAlign w:val="center"/>
          </w:tcPr>
          <w:p w14:paraId="020789DE">
            <w:pPr>
              <w:jc w:val="left"/>
              <w:rPr>
                <w:rFonts w:cs="Times New Roman" w:eastAsiaTheme="minorEastAsia"/>
                <w:color w:val="000000"/>
                <w:kern w:val="0"/>
                <w:sz w:val="20"/>
                <w:szCs w:val="20"/>
              </w:rPr>
            </w:pPr>
          </w:p>
        </w:tc>
        <w:tc>
          <w:tcPr>
            <w:tcW w:w="350" w:type="pct"/>
            <w:shd w:val="clear" w:color="auto" w:fill="auto"/>
            <w:vAlign w:val="center"/>
          </w:tcPr>
          <w:p w14:paraId="47BC77DF">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6CD41442">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0E68E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289" w:type="pct"/>
            <w:shd w:val="clear" w:color="auto" w:fill="auto"/>
            <w:vAlign w:val="center"/>
          </w:tcPr>
          <w:p w14:paraId="34A17773">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8</w:t>
            </w:r>
          </w:p>
        </w:tc>
        <w:tc>
          <w:tcPr>
            <w:tcW w:w="1300" w:type="pct"/>
            <w:shd w:val="clear" w:color="000000" w:fill="FFFFFF"/>
            <w:vAlign w:val="center"/>
          </w:tcPr>
          <w:p w14:paraId="5EFF8DBE">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城市内涝治理市政雨水管网改建工程</w:t>
            </w:r>
          </w:p>
        </w:tc>
        <w:tc>
          <w:tcPr>
            <w:tcW w:w="400" w:type="pct"/>
            <w:shd w:val="clear" w:color="000000" w:fill="FFFFFF"/>
            <w:vAlign w:val="center"/>
          </w:tcPr>
          <w:p w14:paraId="7A42C19A">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3300</w:t>
            </w:r>
          </w:p>
        </w:tc>
        <w:tc>
          <w:tcPr>
            <w:tcW w:w="449" w:type="pct"/>
            <w:shd w:val="clear" w:color="000000" w:fill="FFFFFF"/>
            <w:vAlign w:val="center"/>
          </w:tcPr>
          <w:p w14:paraId="10EDF0E7">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000000" w:fill="FFFFFF"/>
            <w:vAlign w:val="center"/>
          </w:tcPr>
          <w:p w14:paraId="6E6D3148">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1800</w:t>
            </w:r>
          </w:p>
        </w:tc>
        <w:tc>
          <w:tcPr>
            <w:tcW w:w="600" w:type="pct"/>
            <w:shd w:val="clear" w:color="000000" w:fill="FFFFFF"/>
            <w:vAlign w:val="center"/>
          </w:tcPr>
          <w:p w14:paraId="0693C391">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1500</w:t>
            </w:r>
          </w:p>
        </w:tc>
        <w:tc>
          <w:tcPr>
            <w:tcW w:w="500" w:type="pct"/>
            <w:vMerge w:val="continue"/>
            <w:shd w:val="clear" w:color="000000" w:fill="FFFFFF"/>
            <w:vAlign w:val="center"/>
          </w:tcPr>
          <w:p w14:paraId="07C553E5">
            <w:pPr>
              <w:widowControl/>
              <w:jc w:val="left"/>
              <w:rPr>
                <w:rFonts w:cs="Times New Roman" w:eastAsiaTheme="minorEastAsia"/>
                <w:color w:val="000000"/>
                <w:kern w:val="0"/>
                <w:sz w:val="20"/>
                <w:szCs w:val="20"/>
              </w:rPr>
            </w:pPr>
          </w:p>
        </w:tc>
        <w:tc>
          <w:tcPr>
            <w:tcW w:w="350" w:type="pct"/>
            <w:shd w:val="clear" w:color="auto" w:fill="auto"/>
            <w:vAlign w:val="center"/>
          </w:tcPr>
          <w:p w14:paraId="52367839">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691113E5">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21F3E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9" w:type="pct"/>
            <w:shd w:val="clear" w:color="auto" w:fill="auto"/>
            <w:vAlign w:val="center"/>
          </w:tcPr>
          <w:p w14:paraId="3B16B860">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合计：</w:t>
            </w:r>
          </w:p>
        </w:tc>
        <w:tc>
          <w:tcPr>
            <w:tcW w:w="1300" w:type="pct"/>
            <w:shd w:val="clear" w:color="auto" w:fill="auto"/>
            <w:vAlign w:val="center"/>
          </w:tcPr>
          <w:p w14:paraId="4EB2B8C8">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400" w:type="pct"/>
            <w:shd w:val="clear" w:color="auto" w:fill="auto"/>
            <w:vAlign w:val="center"/>
          </w:tcPr>
          <w:p w14:paraId="657E55BA">
            <w:pPr>
              <w:widowControl/>
              <w:jc w:val="center"/>
              <w:rPr>
                <w:rFonts w:cs="Times New Roman" w:eastAsiaTheme="minorEastAsia"/>
                <w:b/>
                <w:bCs/>
                <w:color w:val="000000"/>
                <w:kern w:val="0"/>
                <w:sz w:val="20"/>
                <w:szCs w:val="20"/>
              </w:rPr>
            </w:pPr>
            <w:r>
              <w:rPr>
                <w:rFonts w:cs="Times New Roman" w:eastAsiaTheme="minorEastAsia"/>
                <w:b/>
                <w:bCs/>
                <w:color w:val="000000"/>
                <w:kern w:val="0"/>
                <w:sz w:val="20"/>
                <w:szCs w:val="20"/>
              </w:rPr>
              <w:t>46700</w:t>
            </w:r>
          </w:p>
        </w:tc>
        <w:tc>
          <w:tcPr>
            <w:tcW w:w="449" w:type="pct"/>
            <w:shd w:val="clear" w:color="auto" w:fill="auto"/>
            <w:vAlign w:val="center"/>
          </w:tcPr>
          <w:p w14:paraId="1050656C">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2BFAD1F0">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6CDC3400">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00" w:type="pct"/>
            <w:shd w:val="clear" w:color="auto" w:fill="auto"/>
            <w:vAlign w:val="center"/>
          </w:tcPr>
          <w:p w14:paraId="10A0FD0A">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350" w:type="pct"/>
            <w:shd w:val="clear" w:color="auto" w:fill="auto"/>
            <w:vAlign w:val="center"/>
          </w:tcPr>
          <w:p w14:paraId="7347B94F">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19660EEF">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6BCB7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89" w:type="pct"/>
            <w:shd w:val="clear" w:color="auto" w:fill="auto"/>
            <w:vAlign w:val="center"/>
          </w:tcPr>
          <w:p w14:paraId="7B2DC352">
            <w:pPr>
              <w:widowControl/>
              <w:jc w:val="center"/>
              <w:rPr>
                <w:rFonts w:cs="Times New Roman" w:eastAsiaTheme="minorEastAsia"/>
                <w:b/>
                <w:bCs/>
                <w:color w:val="000000"/>
                <w:kern w:val="0"/>
                <w:sz w:val="20"/>
                <w:szCs w:val="20"/>
              </w:rPr>
            </w:pPr>
            <w:r>
              <w:rPr>
                <w:rFonts w:cs="Times New Roman" w:eastAsiaTheme="minorEastAsia"/>
                <w:b/>
                <w:bCs/>
                <w:color w:val="000000"/>
                <w:kern w:val="0"/>
                <w:sz w:val="20"/>
                <w:szCs w:val="20"/>
              </w:rPr>
              <w:t>二</w:t>
            </w:r>
          </w:p>
        </w:tc>
        <w:tc>
          <w:tcPr>
            <w:tcW w:w="1300" w:type="pct"/>
            <w:shd w:val="clear" w:color="auto" w:fill="auto"/>
            <w:vAlign w:val="center"/>
          </w:tcPr>
          <w:p w14:paraId="3759E341">
            <w:pPr>
              <w:widowControl/>
              <w:jc w:val="center"/>
              <w:rPr>
                <w:rFonts w:cs="Times New Roman" w:eastAsiaTheme="minorEastAsia"/>
                <w:b/>
                <w:bCs/>
                <w:color w:val="000000"/>
                <w:kern w:val="0"/>
                <w:sz w:val="20"/>
                <w:szCs w:val="20"/>
              </w:rPr>
            </w:pPr>
            <w:r>
              <w:rPr>
                <w:rFonts w:cs="Times New Roman" w:eastAsiaTheme="minorEastAsia"/>
                <w:b/>
                <w:bCs/>
                <w:color w:val="000000"/>
                <w:kern w:val="0"/>
                <w:sz w:val="20"/>
                <w:szCs w:val="20"/>
              </w:rPr>
              <w:t>水资源保障工程</w:t>
            </w:r>
          </w:p>
        </w:tc>
        <w:tc>
          <w:tcPr>
            <w:tcW w:w="400" w:type="pct"/>
            <w:shd w:val="clear" w:color="auto" w:fill="auto"/>
            <w:vAlign w:val="center"/>
          </w:tcPr>
          <w:p w14:paraId="3B85AD8B">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449" w:type="pct"/>
            <w:shd w:val="clear" w:color="auto" w:fill="auto"/>
            <w:vAlign w:val="center"/>
          </w:tcPr>
          <w:p w14:paraId="1FF3F382">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49EA96B6">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352EAC12">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00" w:type="pct"/>
            <w:shd w:val="clear" w:color="auto" w:fill="auto"/>
            <w:vAlign w:val="center"/>
          </w:tcPr>
          <w:p w14:paraId="1D51883F">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350" w:type="pct"/>
            <w:shd w:val="clear" w:color="auto" w:fill="auto"/>
            <w:vAlign w:val="center"/>
          </w:tcPr>
          <w:p w14:paraId="01546105">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7448AD89">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68103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89" w:type="pct"/>
            <w:shd w:val="clear" w:color="auto" w:fill="auto"/>
            <w:vAlign w:val="center"/>
          </w:tcPr>
          <w:p w14:paraId="01DB502C">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1</w:t>
            </w:r>
          </w:p>
        </w:tc>
        <w:tc>
          <w:tcPr>
            <w:tcW w:w="1300" w:type="pct"/>
            <w:shd w:val="clear" w:color="auto" w:fill="auto"/>
            <w:vAlign w:val="center"/>
          </w:tcPr>
          <w:p w14:paraId="52492E71">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节水型小区、机关、学校等创建，构建节水型社会综合示范区</w:t>
            </w:r>
          </w:p>
        </w:tc>
        <w:tc>
          <w:tcPr>
            <w:tcW w:w="400" w:type="pct"/>
            <w:shd w:val="clear" w:color="auto" w:fill="auto"/>
            <w:vAlign w:val="center"/>
          </w:tcPr>
          <w:p w14:paraId="3C3C39CA">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200</w:t>
            </w:r>
          </w:p>
        </w:tc>
        <w:tc>
          <w:tcPr>
            <w:tcW w:w="449" w:type="pct"/>
            <w:shd w:val="clear" w:color="auto" w:fill="auto"/>
            <w:vAlign w:val="center"/>
          </w:tcPr>
          <w:p w14:paraId="674EE7F4">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0FDA1925">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6157EEF1">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200</w:t>
            </w:r>
          </w:p>
        </w:tc>
        <w:tc>
          <w:tcPr>
            <w:tcW w:w="500" w:type="pct"/>
            <w:vMerge w:val="restart"/>
            <w:shd w:val="clear" w:color="auto" w:fill="auto"/>
            <w:vAlign w:val="center"/>
          </w:tcPr>
          <w:p w14:paraId="3D5389D7">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节水型社会建设</w:t>
            </w:r>
          </w:p>
        </w:tc>
        <w:tc>
          <w:tcPr>
            <w:tcW w:w="350" w:type="pct"/>
            <w:shd w:val="clear" w:color="auto" w:fill="auto"/>
            <w:vAlign w:val="center"/>
          </w:tcPr>
          <w:p w14:paraId="1DD4E62E">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2FFCB2C5">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7F23C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289" w:type="pct"/>
            <w:shd w:val="clear" w:color="auto" w:fill="auto"/>
            <w:vAlign w:val="center"/>
          </w:tcPr>
          <w:p w14:paraId="3BB4504C">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2</w:t>
            </w:r>
          </w:p>
        </w:tc>
        <w:tc>
          <w:tcPr>
            <w:tcW w:w="1300" w:type="pct"/>
            <w:shd w:val="clear" w:color="auto" w:fill="auto"/>
            <w:vAlign w:val="center"/>
          </w:tcPr>
          <w:p w14:paraId="722E8380">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节水专题研究：城镇生活节水专题研究、公共机构节水专题研究</w:t>
            </w:r>
          </w:p>
        </w:tc>
        <w:tc>
          <w:tcPr>
            <w:tcW w:w="400" w:type="pct"/>
            <w:shd w:val="clear" w:color="auto" w:fill="auto"/>
            <w:vAlign w:val="center"/>
          </w:tcPr>
          <w:p w14:paraId="635AADBC">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100</w:t>
            </w:r>
          </w:p>
        </w:tc>
        <w:tc>
          <w:tcPr>
            <w:tcW w:w="449" w:type="pct"/>
            <w:shd w:val="clear" w:color="auto" w:fill="auto"/>
            <w:vAlign w:val="center"/>
          </w:tcPr>
          <w:p w14:paraId="042A5CFB">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15BBBCEA">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544B6E65">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100</w:t>
            </w:r>
          </w:p>
        </w:tc>
        <w:tc>
          <w:tcPr>
            <w:tcW w:w="500" w:type="pct"/>
            <w:vMerge w:val="continue"/>
            <w:vAlign w:val="center"/>
          </w:tcPr>
          <w:p w14:paraId="48F2B796">
            <w:pPr>
              <w:widowControl/>
              <w:jc w:val="left"/>
              <w:rPr>
                <w:rFonts w:cs="Times New Roman" w:eastAsiaTheme="minorEastAsia"/>
                <w:color w:val="000000"/>
                <w:kern w:val="0"/>
                <w:sz w:val="20"/>
                <w:szCs w:val="20"/>
              </w:rPr>
            </w:pPr>
          </w:p>
        </w:tc>
        <w:tc>
          <w:tcPr>
            <w:tcW w:w="350" w:type="pct"/>
            <w:shd w:val="clear" w:color="auto" w:fill="auto"/>
            <w:vAlign w:val="center"/>
          </w:tcPr>
          <w:p w14:paraId="6AE005A2">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378EAE7A">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3256E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89" w:type="pct"/>
            <w:shd w:val="clear" w:color="auto" w:fill="auto"/>
            <w:vAlign w:val="center"/>
          </w:tcPr>
          <w:p w14:paraId="7E03EA20">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3</w:t>
            </w:r>
          </w:p>
        </w:tc>
        <w:tc>
          <w:tcPr>
            <w:tcW w:w="1300" w:type="pct"/>
            <w:shd w:val="clear" w:color="auto" w:fill="auto"/>
            <w:vAlign w:val="center"/>
          </w:tcPr>
          <w:p w14:paraId="5341BC4F">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污水处理厂、净水站尾水再生利用工程；尾水与南部新城及其他园区水源热泵系统配合应用</w:t>
            </w:r>
          </w:p>
        </w:tc>
        <w:tc>
          <w:tcPr>
            <w:tcW w:w="400" w:type="pct"/>
            <w:shd w:val="clear" w:color="auto" w:fill="auto"/>
            <w:vAlign w:val="center"/>
          </w:tcPr>
          <w:p w14:paraId="0E6D9AF4">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500</w:t>
            </w:r>
          </w:p>
        </w:tc>
        <w:tc>
          <w:tcPr>
            <w:tcW w:w="449" w:type="pct"/>
            <w:shd w:val="clear" w:color="auto" w:fill="auto"/>
            <w:vAlign w:val="center"/>
          </w:tcPr>
          <w:p w14:paraId="0FCEB2F3">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39C26652">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506AA361">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500</w:t>
            </w:r>
          </w:p>
        </w:tc>
        <w:tc>
          <w:tcPr>
            <w:tcW w:w="500" w:type="pct"/>
            <w:shd w:val="clear" w:color="auto" w:fill="auto"/>
            <w:vAlign w:val="center"/>
          </w:tcPr>
          <w:p w14:paraId="2C906D80">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非常规水资源利用</w:t>
            </w:r>
          </w:p>
        </w:tc>
        <w:tc>
          <w:tcPr>
            <w:tcW w:w="350" w:type="pct"/>
            <w:shd w:val="clear" w:color="auto" w:fill="auto"/>
            <w:vAlign w:val="center"/>
          </w:tcPr>
          <w:p w14:paraId="45AC11E9">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2A3799A1">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0C51F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9" w:type="pct"/>
            <w:shd w:val="clear" w:color="auto" w:fill="auto"/>
            <w:vAlign w:val="center"/>
          </w:tcPr>
          <w:p w14:paraId="24A10B84">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合计：</w:t>
            </w:r>
          </w:p>
        </w:tc>
        <w:tc>
          <w:tcPr>
            <w:tcW w:w="1300" w:type="pct"/>
            <w:shd w:val="clear" w:color="auto" w:fill="auto"/>
            <w:vAlign w:val="center"/>
          </w:tcPr>
          <w:p w14:paraId="71AEF50A">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400" w:type="pct"/>
            <w:shd w:val="clear" w:color="auto" w:fill="auto"/>
            <w:vAlign w:val="center"/>
          </w:tcPr>
          <w:p w14:paraId="73340672">
            <w:pPr>
              <w:widowControl/>
              <w:jc w:val="center"/>
              <w:rPr>
                <w:rFonts w:cs="Times New Roman" w:eastAsiaTheme="minorEastAsia"/>
                <w:b/>
                <w:bCs/>
                <w:color w:val="000000"/>
                <w:kern w:val="0"/>
                <w:sz w:val="20"/>
                <w:szCs w:val="20"/>
              </w:rPr>
            </w:pPr>
            <w:r>
              <w:rPr>
                <w:rFonts w:cs="Times New Roman" w:eastAsiaTheme="minorEastAsia"/>
                <w:b/>
                <w:bCs/>
                <w:color w:val="000000"/>
                <w:kern w:val="0"/>
                <w:sz w:val="20"/>
                <w:szCs w:val="20"/>
              </w:rPr>
              <w:t>800</w:t>
            </w:r>
          </w:p>
        </w:tc>
        <w:tc>
          <w:tcPr>
            <w:tcW w:w="449" w:type="pct"/>
            <w:shd w:val="clear" w:color="auto" w:fill="auto"/>
            <w:vAlign w:val="center"/>
          </w:tcPr>
          <w:p w14:paraId="6ECC74AA">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3115E28C">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13626632">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00" w:type="pct"/>
            <w:shd w:val="clear" w:color="auto" w:fill="auto"/>
            <w:vAlign w:val="center"/>
          </w:tcPr>
          <w:p w14:paraId="5A3A0E12">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350" w:type="pct"/>
            <w:shd w:val="clear" w:color="auto" w:fill="auto"/>
            <w:vAlign w:val="center"/>
          </w:tcPr>
          <w:p w14:paraId="6B266AB2">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1F59A066">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4B50F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89" w:type="pct"/>
            <w:shd w:val="clear" w:color="auto" w:fill="auto"/>
            <w:vAlign w:val="center"/>
          </w:tcPr>
          <w:p w14:paraId="69B9FDE7">
            <w:pPr>
              <w:widowControl/>
              <w:jc w:val="center"/>
              <w:rPr>
                <w:rFonts w:cs="Times New Roman" w:eastAsiaTheme="minorEastAsia"/>
                <w:b/>
                <w:bCs/>
                <w:color w:val="000000"/>
                <w:kern w:val="0"/>
                <w:sz w:val="20"/>
                <w:szCs w:val="20"/>
              </w:rPr>
            </w:pPr>
            <w:r>
              <w:rPr>
                <w:rFonts w:cs="Times New Roman" w:eastAsiaTheme="minorEastAsia"/>
                <w:b/>
                <w:bCs/>
                <w:color w:val="000000"/>
                <w:kern w:val="0"/>
                <w:sz w:val="20"/>
                <w:szCs w:val="20"/>
              </w:rPr>
              <w:t>三</w:t>
            </w:r>
          </w:p>
        </w:tc>
        <w:tc>
          <w:tcPr>
            <w:tcW w:w="1300" w:type="pct"/>
            <w:shd w:val="clear" w:color="auto" w:fill="auto"/>
            <w:vAlign w:val="center"/>
          </w:tcPr>
          <w:p w14:paraId="47D42151">
            <w:pPr>
              <w:widowControl/>
              <w:jc w:val="center"/>
              <w:rPr>
                <w:rFonts w:cs="Times New Roman" w:eastAsiaTheme="minorEastAsia"/>
                <w:b/>
                <w:bCs/>
                <w:color w:val="000000"/>
                <w:kern w:val="0"/>
                <w:sz w:val="20"/>
                <w:szCs w:val="20"/>
              </w:rPr>
            </w:pPr>
            <w:r>
              <w:rPr>
                <w:rFonts w:cs="Times New Roman" w:eastAsiaTheme="minorEastAsia"/>
                <w:b/>
                <w:bCs/>
                <w:color w:val="000000"/>
                <w:kern w:val="0"/>
                <w:sz w:val="20"/>
                <w:szCs w:val="20"/>
              </w:rPr>
              <w:t>水环境治理工程</w:t>
            </w:r>
          </w:p>
        </w:tc>
        <w:tc>
          <w:tcPr>
            <w:tcW w:w="400" w:type="pct"/>
            <w:shd w:val="clear" w:color="auto" w:fill="auto"/>
            <w:vAlign w:val="center"/>
          </w:tcPr>
          <w:p w14:paraId="1F02BE02">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449" w:type="pct"/>
            <w:shd w:val="clear" w:color="auto" w:fill="auto"/>
            <w:vAlign w:val="center"/>
          </w:tcPr>
          <w:p w14:paraId="6A4F9E4F">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672BD97D">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6D894DD0">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00" w:type="pct"/>
            <w:shd w:val="clear" w:color="auto" w:fill="auto"/>
            <w:vAlign w:val="center"/>
          </w:tcPr>
          <w:p w14:paraId="3F03747F">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350" w:type="pct"/>
            <w:shd w:val="clear" w:color="auto" w:fill="auto"/>
            <w:vAlign w:val="center"/>
          </w:tcPr>
          <w:p w14:paraId="22B53C3E">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66B88724">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79FC9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89" w:type="pct"/>
            <w:shd w:val="clear" w:color="auto" w:fill="auto"/>
            <w:vAlign w:val="center"/>
          </w:tcPr>
          <w:p w14:paraId="393E581B">
            <w:pPr>
              <w:widowControl/>
              <w:jc w:val="center"/>
              <w:rPr>
                <w:rFonts w:cs="Times New Roman" w:eastAsiaTheme="minorEastAsia"/>
                <w:b/>
                <w:bCs/>
                <w:color w:val="000000"/>
                <w:kern w:val="0"/>
                <w:sz w:val="20"/>
                <w:szCs w:val="20"/>
              </w:rPr>
            </w:pPr>
            <w:r>
              <w:rPr>
                <w:rFonts w:cs="Times New Roman" w:eastAsiaTheme="minorEastAsia"/>
                <w:b/>
                <w:bCs/>
                <w:color w:val="000000"/>
                <w:kern w:val="0"/>
                <w:sz w:val="20"/>
                <w:szCs w:val="20"/>
              </w:rPr>
              <w:t>（一）</w:t>
            </w:r>
          </w:p>
        </w:tc>
        <w:tc>
          <w:tcPr>
            <w:tcW w:w="1300" w:type="pct"/>
            <w:shd w:val="clear" w:color="auto" w:fill="auto"/>
            <w:vAlign w:val="center"/>
          </w:tcPr>
          <w:p w14:paraId="27FB6644">
            <w:pPr>
              <w:widowControl/>
              <w:jc w:val="center"/>
              <w:rPr>
                <w:rFonts w:cs="Times New Roman" w:eastAsiaTheme="minorEastAsia"/>
                <w:b/>
                <w:bCs/>
                <w:color w:val="000000"/>
                <w:kern w:val="0"/>
                <w:sz w:val="20"/>
                <w:szCs w:val="20"/>
              </w:rPr>
            </w:pPr>
            <w:r>
              <w:rPr>
                <w:rFonts w:cs="Times New Roman" w:eastAsiaTheme="minorEastAsia"/>
                <w:b/>
                <w:bCs/>
                <w:color w:val="000000"/>
                <w:kern w:val="0"/>
                <w:sz w:val="20"/>
                <w:szCs w:val="20"/>
              </w:rPr>
              <w:t>河湖水环境工程</w:t>
            </w:r>
          </w:p>
        </w:tc>
        <w:tc>
          <w:tcPr>
            <w:tcW w:w="400" w:type="pct"/>
            <w:shd w:val="clear" w:color="auto" w:fill="auto"/>
            <w:vAlign w:val="center"/>
          </w:tcPr>
          <w:p w14:paraId="414223A8">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449" w:type="pct"/>
            <w:shd w:val="clear" w:color="auto" w:fill="auto"/>
            <w:vAlign w:val="center"/>
          </w:tcPr>
          <w:p w14:paraId="60222BE0">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6DA2C6E7">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7CBC7093">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00" w:type="pct"/>
            <w:shd w:val="clear" w:color="auto" w:fill="auto"/>
            <w:vAlign w:val="center"/>
          </w:tcPr>
          <w:p w14:paraId="4DF0F4EF">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350" w:type="pct"/>
            <w:shd w:val="clear" w:color="auto" w:fill="auto"/>
            <w:vAlign w:val="center"/>
          </w:tcPr>
          <w:p w14:paraId="0D81BB9F">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2BBDCF19">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02DEB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89" w:type="pct"/>
            <w:shd w:val="clear" w:color="auto" w:fill="auto"/>
            <w:vAlign w:val="center"/>
          </w:tcPr>
          <w:p w14:paraId="0F5D076F">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1</w:t>
            </w:r>
          </w:p>
        </w:tc>
        <w:tc>
          <w:tcPr>
            <w:tcW w:w="1300" w:type="pct"/>
            <w:shd w:val="clear" w:color="auto" w:fill="auto"/>
            <w:vAlign w:val="center"/>
          </w:tcPr>
          <w:p w14:paraId="7705C15B">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南玉带河综合整治工程</w:t>
            </w:r>
          </w:p>
        </w:tc>
        <w:tc>
          <w:tcPr>
            <w:tcW w:w="400" w:type="pct"/>
            <w:shd w:val="clear" w:color="auto" w:fill="auto"/>
            <w:vAlign w:val="center"/>
          </w:tcPr>
          <w:p w14:paraId="696F12ED">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2512</w:t>
            </w:r>
          </w:p>
        </w:tc>
        <w:tc>
          <w:tcPr>
            <w:tcW w:w="449" w:type="pct"/>
            <w:shd w:val="clear" w:color="auto" w:fill="auto"/>
            <w:vAlign w:val="center"/>
          </w:tcPr>
          <w:p w14:paraId="4204885F">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1040</w:t>
            </w:r>
          </w:p>
        </w:tc>
        <w:tc>
          <w:tcPr>
            <w:tcW w:w="600" w:type="pct"/>
            <w:shd w:val="clear" w:color="auto" w:fill="auto"/>
            <w:vAlign w:val="center"/>
          </w:tcPr>
          <w:p w14:paraId="6FC7DBE1">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1472</w:t>
            </w:r>
          </w:p>
        </w:tc>
        <w:tc>
          <w:tcPr>
            <w:tcW w:w="600" w:type="pct"/>
            <w:shd w:val="clear" w:color="auto" w:fill="auto"/>
            <w:vAlign w:val="center"/>
          </w:tcPr>
          <w:p w14:paraId="494328C5">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00" w:type="pct"/>
            <w:vMerge w:val="restart"/>
            <w:shd w:val="clear" w:color="auto" w:fill="auto"/>
            <w:vAlign w:val="center"/>
          </w:tcPr>
          <w:p w14:paraId="56081FAB">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河道水环整治</w:t>
            </w:r>
          </w:p>
        </w:tc>
        <w:tc>
          <w:tcPr>
            <w:tcW w:w="350" w:type="pct"/>
            <w:shd w:val="clear" w:color="auto" w:fill="auto"/>
            <w:vAlign w:val="center"/>
          </w:tcPr>
          <w:p w14:paraId="0543237D">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038F0BEB">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23D86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 w:type="pct"/>
            <w:shd w:val="clear" w:color="auto" w:fill="auto"/>
            <w:vAlign w:val="center"/>
          </w:tcPr>
          <w:p w14:paraId="1AC7E52B">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2</w:t>
            </w:r>
          </w:p>
        </w:tc>
        <w:tc>
          <w:tcPr>
            <w:tcW w:w="1300" w:type="pct"/>
            <w:shd w:val="clear" w:color="auto" w:fill="auto"/>
            <w:vAlign w:val="center"/>
          </w:tcPr>
          <w:p w14:paraId="67D95F66">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运粮河水环境综合整治工程</w:t>
            </w:r>
          </w:p>
        </w:tc>
        <w:tc>
          <w:tcPr>
            <w:tcW w:w="400" w:type="pct"/>
            <w:shd w:val="clear" w:color="auto" w:fill="auto"/>
            <w:vAlign w:val="center"/>
          </w:tcPr>
          <w:p w14:paraId="3BF21579">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1690</w:t>
            </w:r>
          </w:p>
        </w:tc>
        <w:tc>
          <w:tcPr>
            <w:tcW w:w="449" w:type="pct"/>
            <w:shd w:val="clear" w:color="auto" w:fill="auto"/>
            <w:vAlign w:val="center"/>
          </w:tcPr>
          <w:p w14:paraId="4C37274E">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1690</w:t>
            </w:r>
          </w:p>
        </w:tc>
        <w:tc>
          <w:tcPr>
            <w:tcW w:w="600" w:type="pct"/>
            <w:shd w:val="clear" w:color="auto" w:fill="auto"/>
            <w:vAlign w:val="center"/>
          </w:tcPr>
          <w:p w14:paraId="60B289AF">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2FF2901D">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00" w:type="pct"/>
            <w:vMerge w:val="continue"/>
            <w:vAlign w:val="center"/>
          </w:tcPr>
          <w:p w14:paraId="0DAB2BBE">
            <w:pPr>
              <w:widowControl/>
              <w:jc w:val="left"/>
              <w:rPr>
                <w:rFonts w:cs="Times New Roman" w:eastAsiaTheme="minorEastAsia"/>
                <w:color w:val="000000"/>
                <w:kern w:val="0"/>
                <w:sz w:val="20"/>
                <w:szCs w:val="20"/>
              </w:rPr>
            </w:pPr>
          </w:p>
        </w:tc>
        <w:tc>
          <w:tcPr>
            <w:tcW w:w="350" w:type="pct"/>
            <w:shd w:val="clear" w:color="auto" w:fill="auto"/>
            <w:vAlign w:val="center"/>
          </w:tcPr>
          <w:p w14:paraId="2F5C78C5">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304FEB56">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236DB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89" w:type="pct"/>
            <w:shd w:val="clear" w:color="auto" w:fill="auto"/>
            <w:vAlign w:val="center"/>
          </w:tcPr>
          <w:p w14:paraId="3E5403DF">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3</w:t>
            </w:r>
          </w:p>
        </w:tc>
        <w:tc>
          <w:tcPr>
            <w:tcW w:w="1300" w:type="pct"/>
            <w:shd w:val="clear" w:color="auto" w:fill="auto"/>
            <w:vAlign w:val="center"/>
          </w:tcPr>
          <w:p w14:paraId="0C5435D7">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明御河、东玉带河、金水河、卫桥沟、白下路圣明桥暗涵整治工程</w:t>
            </w:r>
          </w:p>
        </w:tc>
        <w:tc>
          <w:tcPr>
            <w:tcW w:w="400" w:type="pct"/>
            <w:shd w:val="clear" w:color="auto" w:fill="auto"/>
            <w:vAlign w:val="center"/>
          </w:tcPr>
          <w:p w14:paraId="52E9A915">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3000</w:t>
            </w:r>
          </w:p>
        </w:tc>
        <w:tc>
          <w:tcPr>
            <w:tcW w:w="449" w:type="pct"/>
            <w:shd w:val="clear" w:color="auto" w:fill="auto"/>
            <w:vAlign w:val="center"/>
          </w:tcPr>
          <w:p w14:paraId="7814154D">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46CDBA02">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2300</w:t>
            </w:r>
          </w:p>
        </w:tc>
        <w:tc>
          <w:tcPr>
            <w:tcW w:w="600" w:type="pct"/>
            <w:shd w:val="clear" w:color="auto" w:fill="auto"/>
            <w:vAlign w:val="center"/>
          </w:tcPr>
          <w:p w14:paraId="6B924116">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700</w:t>
            </w:r>
          </w:p>
        </w:tc>
        <w:tc>
          <w:tcPr>
            <w:tcW w:w="500" w:type="pct"/>
            <w:vMerge w:val="continue"/>
            <w:vAlign w:val="center"/>
          </w:tcPr>
          <w:p w14:paraId="229B0003">
            <w:pPr>
              <w:widowControl/>
              <w:jc w:val="left"/>
              <w:rPr>
                <w:rFonts w:cs="Times New Roman" w:eastAsiaTheme="minorEastAsia"/>
                <w:color w:val="000000"/>
                <w:kern w:val="0"/>
                <w:sz w:val="20"/>
                <w:szCs w:val="20"/>
              </w:rPr>
            </w:pPr>
          </w:p>
        </w:tc>
        <w:tc>
          <w:tcPr>
            <w:tcW w:w="350" w:type="pct"/>
            <w:shd w:val="clear" w:color="auto" w:fill="auto"/>
            <w:vAlign w:val="center"/>
          </w:tcPr>
          <w:p w14:paraId="44CA10DF">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5F94072E">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4B694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89" w:type="pct"/>
            <w:shd w:val="clear" w:color="auto" w:fill="auto"/>
            <w:vAlign w:val="center"/>
          </w:tcPr>
          <w:p w14:paraId="226F7063">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5</w:t>
            </w:r>
          </w:p>
        </w:tc>
        <w:tc>
          <w:tcPr>
            <w:tcW w:w="1300" w:type="pct"/>
            <w:shd w:val="clear" w:color="auto" w:fill="auto"/>
            <w:vAlign w:val="center"/>
          </w:tcPr>
          <w:p w14:paraId="72F43361">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青年河北段水环境提升工程</w:t>
            </w:r>
          </w:p>
        </w:tc>
        <w:tc>
          <w:tcPr>
            <w:tcW w:w="400" w:type="pct"/>
            <w:shd w:val="clear" w:color="auto" w:fill="auto"/>
            <w:vAlign w:val="center"/>
          </w:tcPr>
          <w:p w14:paraId="2A992DAF">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500</w:t>
            </w:r>
          </w:p>
        </w:tc>
        <w:tc>
          <w:tcPr>
            <w:tcW w:w="449" w:type="pct"/>
            <w:shd w:val="clear" w:color="auto" w:fill="auto"/>
            <w:vAlign w:val="center"/>
          </w:tcPr>
          <w:p w14:paraId="4C8E819B">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500</w:t>
            </w:r>
          </w:p>
        </w:tc>
        <w:tc>
          <w:tcPr>
            <w:tcW w:w="600" w:type="pct"/>
            <w:shd w:val="clear" w:color="auto" w:fill="auto"/>
            <w:vAlign w:val="center"/>
          </w:tcPr>
          <w:p w14:paraId="4FBB8069">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265A42F9">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00" w:type="pct"/>
            <w:vMerge w:val="continue"/>
            <w:vAlign w:val="center"/>
          </w:tcPr>
          <w:p w14:paraId="7CB6E8D7">
            <w:pPr>
              <w:widowControl/>
              <w:jc w:val="left"/>
              <w:rPr>
                <w:rFonts w:cs="Times New Roman" w:eastAsiaTheme="minorEastAsia"/>
                <w:color w:val="000000"/>
                <w:kern w:val="0"/>
                <w:sz w:val="20"/>
                <w:szCs w:val="20"/>
              </w:rPr>
            </w:pPr>
          </w:p>
        </w:tc>
        <w:tc>
          <w:tcPr>
            <w:tcW w:w="350" w:type="pct"/>
            <w:shd w:val="clear" w:color="auto" w:fill="auto"/>
            <w:vAlign w:val="center"/>
          </w:tcPr>
          <w:p w14:paraId="53FDF3BD">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6C7C92BE">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需结合地块开发同步实施</w:t>
            </w:r>
          </w:p>
        </w:tc>
      </w:tr>
      <w:tr w14:paraId="22621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89" w:type="pct"/>
            <w:shd w:val="clear" w:color="auto" w:fill="auto"/>
            <w:vAlign w:val="center"/>
          </w:tcPr>
          <w:p w14:paraId="47F9B88B">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6</w:t>
            </w:r>
          </w:p>
        </w:tc>
        <w:tc>
          <w:tcPr>
            <w:tcW w:w="1300" w:type="pct"/>
            <w:shd w:val="clear" w:color="auto" w:fill="auto"/>
            <w:vAlign w:val="center"/>
          </w:tcPr>
          <w:p w14:paraId="1667BBF4">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白甸泵站、龙苑泵站排涝泵站、象房村老泵站前池水环境提升工程</w:t>
            </w:r>
          </w:p>
        </w:tc>
        <w:tc>
          <w:tcPr>
            <w:tcW w:w="400" w:type="pct"/>
            <w:shd w:val="clear" w:color="auto" w:fill="auto"/>
            <w:vAlign w:val="center"/>
          </w:tcPr>
          <w:p w14:paraId="4CCA4788">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787</w:t>
            </w:r>
          </w:p>
        </w:tc>
        <w:tc>
          <w:tcPr>
            <w:tcW w:w="449" w:type="pct"/>
            <w:shd w:val="clear" w:color="auto" w:fill="auto"/>
            <w:vAlign w:val="center"/>
          </w:tcPr>
          <w:p w14:paraId="5F524428">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400</w:t>
            </w:r>
          </w:p>
        </w:tc>
        <w:tc>
          <w:tcPr>
            <w:tcW w:w="600" w:type="pct"/>
            <w:shd w:val="clear" w:color="auto" w:fill="auto"/>
            <w:vAlign w:val="center"/>
          </w:tcPr>
          <w:p w14:paraId="608710E8">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387</w:t>
            </w:r>
          </w:p>
        </w:tc>
        <w:tc>
          <w:tcPr>
            <w:tcW w:w="600" w:type="pct"/>
            <w:shd w:val="clear" w:color="auto" w:fill="auto"/>
            <w:vAlign w:val="center"/>
          </w:tcPr>
          <w:p w14:paraId="647205C1">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00" w:type="pct"/>
            <w:vMerge w:val="continue"/>
            <w:vAlign w:val="center"/>
          </w:tcPr>
          <w:p w14:paraId="51165892">
            <w:pPr>
              <w:widowControl/>
              <w:jc w:val="left"/>
              <w:rPr>
                <w:rFonts w:cs="Times New Roman" w:eastAsiaTheme="minorEastAsia"/>
                <w:color w:val="000000"/>
                <w:kern w:val="0"/>
                <w:sz w:val="20"/>
                <w:szCs w:val="20"/>
              </w:rPr>
            </w:pPr>
          </w:p>
        </w:tc>
        <w:tc>
          <w:tcPr>
            <w:tcW w:w="350" w:type="pct"/>
            <w:shd w:val="clear" w:color="auto" w:fill="auto"/>
            <w:vAlign w:val="center"/>
          </w:tcPr>
          <w:p w14:paraId="311504D2">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2E7467B8">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1DB8B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89" w:type="pct"/>
            <w:shd w:val="clear" w:color="auto" w:fill="auto"/>
            <w:vAlign w:val="center"/>
          </w:tcPr>
          <w:p w14:paraId="0672E3C2">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7</w:t>
            </w:r>
          </w:p>
        </w:tc>
        <w:tc>
          <w:tcPr>
            <w:tcW w:w="1300" w:type="pct"/>
            <w:shd w:val="clear" w:color="auto" w:fill="auto"/>
            <w:vAlign w:val="center"/>
          </w:tcPr>
          <w:p w14:paraId="566A0862">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愚园等重点小微水体综合整治工程</w:t>
            </w:r>
          </w:p>
        </w:tc>
        <w:tc>
          <w:tcPr>
            <w:tcW w:w="400" w:type="pct"/>
            <w:shd w:val="clear" w:color="auto" w:fill="auto"/>
            <w:vAlign w:val="center"/>
          </w:tcPr>
          <w:p w14:paraId="2026DA51">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200</w:t>
            </w:r>
          </w:p>
        </w:tc>
        <w:tc>
          <w:tcPr>
            <w:tcW w:w="449" w:type="pct"/>
            <w:shd w:val="clear" w:color="auto" w:fill="auto"/>
            <w:vAlign w:val="center"/>
          </w:tcPr>
          <w:p w14:paraId="74314407">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7EF9440C">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25CA9564">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200</w:t>
            </w:r>
          </w:p>
        </w:tc>
        <w:tc>
          <w:tcPr>
            <w:tcW w:w="500" w:type="pct"/>
            <w:vMerge w:val="continue"/>
            <w:vAlign w:val="center"/>
          </w:tcPr>
          <w:p w14:paraId="56B8502A">
            <w:pPr>
              <w:widowControl/>
              <w:jc w:val="left"/>
              <w:rPr>
                <w:rFonts w:cs="Times New Roman" w:eastAsiaTheme="minorEastAsia"/>
                <w:color w:val="000000"/>
                <w:kern w:val="0"/>
                <w:sz w:val="20"/>
                <w:szCs w:val="20"/>
              </w:rPr>
            </w:pPr>
          </w:p>
        </w:tc>
        <w:tc>
          <w:tcPr>
            <w:tcW w:w="350" w:type="pct"/>
            <w:shd w:val="clear" w:color="auto" w:fill="auto"/>
            <w:vAlign w:val="center"/>
          </w:tcPr>
          <w:p w14:paraId="27502A28">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31E27985">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4103F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289" w:type="pct"/>
            <w:shd w:val="clear" w:color="auto" w:fill="auto"/>
            <w:vAlign w:val="center"/>
          </w:tcPr>
          <w:p w14:paraId="79B30555">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8</w:t>
            </w:r>
          </w:p>
        </w:tc>
        <w:tc>
          <w:tcPr>
            <w:tcW w:w="1300" w:type="pct"/>
            <w:shd w:val="clear" w:color="auto" w:fill="auto"/>
            <w:vAlign w:val="center"/>
          </w:tcPr>
          <w:p w14:paraId="56AF15B3">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内秦淮河南段、中段活水保质工程</w:t>
            </w:r>
          </w:p>
        </w:tc>
        <w:tc>
          <w:tcPr>
            <w:tcW w:w="400" w:type="pct"/>
            <w:shd w:val="clear" w:color="auto" w:fill="auto"/>
            <w:vAlign w:val="center"/>
          </w:tcPr>
          <w:p w14:paraId="039B1B1A">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3876</w:t>
            </w:r>
          </w:p>
        </w:tc>
        <w:tc>
          <w:tcPr>
            <w:tcW w:w="449" w:type="pct"/>
            <w:shd w:val="clear" w:color="auto" w:fill="auto"/>
            <w:vAlign w:val="center"/>
          </w:tcPr>
          <w:p w14:paraId="3633E2E8">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18225BB8">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3100</w:t>
            </w:r>
          </w:p>
        </w:tc>
        <w:tc>
          <w:tcPr>
            <w:tcW w:w="600" w:type="pct"/>
            <w:shd w:val="clear" w:color="auto" w:fill="auto"/>
            <w:vAlign w:val="center"/>
          </w:tcPr>
          <w:p w14:paraId="5040FFD1">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776</w:t>
            </w:r>
          </w:p>
        </w:tc>
        <w:tc>
          <w:tcPr>
            <w:tcW w:w="500" w:type="pct"/>
            <w:shd w:val="clear" w:color="auto" w:fill="auto"/>
            <w:vAlign w:val="center"/>
          </w:tcPr>
          <w:p w14:paraId="60243801">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生态补水工程建设</w:t>
            </w:r>
          </w:p>
        </w:tc>
        <w:tc>
          <w:tcPr>
            <w:tcW w:w="350" w:type="pct"/>
            <w:shd w:val="clear" w:color="auto" w:fill="auto"/>
            <w:vAlign w:val="center"/>
          </w:tcPr>
          <w:p w14:paraId="763008E2">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2E436699">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7DADE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289" w:type="pct"/>
            <w:shd w:val="clear" w:color="auto" w:fill="auto"/>
            <w:vAlign w:val="center"/>
          </w:tcPr>
          <w:p w14:paraId="14553C1F">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9</w:t>
            </w:r>
          </w:p>
        </w:tc>
        <w:tc>
          <w:tcPr>
            <w:tcW w:w="1300" w:type="pct"/>
            <w:shd w:val="clear" w:color="auto" w:fill="auto"/>
            <w:vAlign w:val="center"/>
          </w:tcPr>
          <w:p w14:paraId="7A751DC2">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内秦淮河流域截流系统改造和溢流污染治理工程</w:t>
            </w:r>
          </w:p>
        </w:tc>
        <w:tc>
          <w:tcPr>
            <w:tcW w:w="400" w:type="pct"/>
            <w:shd w:val="clear" w:color="auto" w:fill="auto"/>
            <w:vAlign w:val="center"/>
          </w:tcPr>
          <w:p w14:paraId="0E4E8C81">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3000</w:t>
            </w:r>
          </w:p>
        </w:tc>
        <w:tc>
          <w:tcPr>
            <w:tcW w:w="449" w:type="pct"/>
            <w:shd w:val="clear" w:color="auto" w:fill="auto"/>
            <w:vAlign w:val="center"/>
          </w:tcPr>
          <w:p w14:paraId="22734491">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400</w:t>
            </w:r>
          </w:p>
        </w:tc>
        <w:tc>
          <w:tcPr>
            <w:tcW w:w="600" w:type="pct"/>
            <w:shd w:val="clear" w:color="auto" w:fill="auto"/>
            <w:vAlign w:val="center"/>
          </w:tcPr>
          <w:p w14:paraId="3F339D99">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600</w:t>
            </w:r>
          </w:p>
        </w:tc>
        <w:tc>
          <w:tcPr>
            <w:tcW w:w="600" w:type="pct"/>
            <w:shd w:val="clear" w:color="auto" w:fill="auto"/>
            <w:vAlign w:val="center"/>
          </w:tcPr>
          <w:p w14:paraId="274B0076">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2000</w:t>
            </w:r>
          </w:p>
        </w:tc>
        <w:tc>
          <w:tcPr>
            <w:tcW w:w="500" w:type="pct"/>
            <w:shd w:val="clear" w:color="auto" w:fill="auto"/>
            <w:vAlign w:val="center"/>
          </w:tcPr>
          <w:p w14:paraId="22C81D1D">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350" w:type="pct"/>
            <w:shd w:val="clear" w:color="auto" w:fill="auto"/>
            <w:vAlign w:val="center"/>
          </w:tcPr>
          <w:p w14:paraId="6FF8F51A">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0D0A1009">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076ED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89" w:type="pct"/>
            <w:shd w:val="clear" w:color="auto" w:fill="auto"/>
            <w:vAlign w:val="center"/>
          </w:tcPr>
          <w:p w14:paraId="5783D0BF">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10</w:t>
            </w:r>
          </w:p>
        </w:tc>
        <w:tc>
          <w:tcPr>
            <w:tcW w:w="1300" w:type="pct"/>
            <w:shd w:val="clear" w:color="auto" w:fill="auto"/>
            <w:vAlign w:val="center"/>
          </w:tcPr>
          <w:p w14:paraId="692D447E">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河湖水环境长效管养、长制久清</w:t>
            </w:r>
          </w:p>
        </w:tc>
        <w:tc>
          <w:tcPr>
            <w:tcW w:w="400" w:type="pct"/>
            <w:shd w:val="clear" w:color="auto" w:fill="auto"/>
            <w:vAlign w:val="center"/>
          </w:tcPr>
          <w:p w14:paraId="54890581">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3000</w:t>
            </w:r>
          </w:p>
        </w:tc>
        <w:tc>
          <w:tcPr>
            <w:tcW w:w="449" w:type="pct"/>
            <w:shd w:val="clear" w:color="auto" w:fill="auto"/>
            <w:vAlign w:val="center"/>
          </w:tcPr>
          <w:p w14:paraId="4D98B6D0">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1BB04ECD">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0051C144">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3000</w:t>
            </w:r>
          </w:p>
        </w:tc>
        <w:tc>
          <w:tcPr>
            <w:tcW w:w="500" w:type="pct"/>
            <w:shd w:val="clear" w:color="auto" w:fill="auto"/>
            <w:vAlign w:val="center"/>
          </w:tcPr>
          <w:p w14:paraId="4F85713B">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长效管养</w:t>
            </w:r>
          </w:p>
        </w:tc>
        <w:tc>
          <w:tcPr>
            <w:tcW w:w="350" w:type="pct"/>
            <w:shd w:val="clear" w:color="auto" w:fill="auto"/>
            <w:vAlign w:val="center"/>
          </w:tcPr>
          <w:p w14:paraId="1E7F3164">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693DCCA4">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养护管理工作</w:t>
            </w:r>
          </w:p>
        </w:tc>
      </w:tr>
      <w:tr w14:paraId="2B4C7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9" w:type="pct"/>
            <w:shd w:val="clear" w:color="auto" w:fill="auto"/>
            <w:vAlign w:val="center"/>
          </w:tcPr>
          <w:p w14:paraId="77C2D8E0">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合计：</w:t>
            </w:r>
          </w:p>
        </w:tc>
        <w:tc>
          <w:tcPr>
            <w:tcW w:w="1300" w:type="pct"/>
            <w:shd w:val="clear" w:color="auto" w:fill="auto"/>
            <w:vAlign w:val="center"/>
          </w:tcPr>
          <w:p w14:paraId="75D85181">
            <w:pPr>
              <w:widowControl/>
              <w:jc w:val="right"/>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400" w:type="pct"/>
            <w:shd w:val="clear" w:color="auto" w:fill="auto"/>
            <w:vAlign w:val="center"/>
          </w:tcPr>
          <w:p w14:paraId="6F032428">
            <w:pPr>
              <w:widowControl/>
              <w:jc w:val="center"/>
              <w:rPr>
                <w:rFonts w:cs="Times New Roman" w:eastAsiaTheme="minorEastAsia"/>
                <w:b/>
                <w:bCs/>
                <w:color w:val="000000"/>
                <w:kern w:val="0"/>
                <w:sz w:val="20"/>
                <w:szCs w:val="20"/>
              </w:rPr>
            </w:pPr>
            <w:r>
              <w:rPr>
                <w:rFonts w:cs="Times New Roman" w:eastAsiaTheme="minorEastAsia"/>
                <w:b/>
                <w:bCs/>
                <w:color w:val="000000"/>
                <w:kern w:val="0"/>
                <w:sz w:val="20"/>
                <w:szCs w:val="20"/>
              </w:rPr>
              <w:t>18565</w:t>
            </w:r>
          </w:p>
        </w:tc>
        <w:tc>
          <w:tcPr>
            <w:tcW w:w="449" w:type="pct"/>
            <w:shd w:val="clear" w:color="auto" w:fill="auto"/>
            <w:vAlign w:val="center"/>
          </w:tcPr>
          <w:p w14:paraId="4E5F4C82">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2CCDFE98">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19EE3BD7">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00" w:type="pct"/>
            <w:shd w:val="clear" w:color="auto" w:fill="auto"/>
            <w:vAlign w:val="center"/>
          </w:tcPr>
          <w:p w14:paraId="06B38004">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350" w:type="pct"/>
            <w:shd w:val="clear" w:color="auto" w:fill="auto"/>
            <w:vAlign w:val="center"/>
          </w:tcPr>
          <w:p w14:paraId="08272D17">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1D60D2A9">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1AA44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89" w:type="pct"/>
            <w:shd w:val="clear" w:color="auto" w:fill="auto"/>
            <w:vAlign w:val="center"/>
          </w:tcPr>
          <w:p w14:paraId="78920F92">
            <w:pPr>
              <w:widowControl/>
              <w:jc w:val="center"/>
              <w:rPr>
                <w:rFonts w:cs="Times New Roman" w:eastAsiaTheme="minorEastAsia"/>
                <w:b/>
                <w:bCs/>
                <w:color w:val="000000"/>
                <w:kern w:val="0"/>
                <w:sz w:val="20"/>
                <w:szCs w:val="20"/>
              </w:rPr>
            </w:pPr>
            <w:r>
              <w:rPr>
                <w:rFonts w:cs="Times New Roman" w:eastAsiaTheme="minorEastAsia"/>
                <w:b/>
                <w:bCs/>
                <w:color w:val="000000"/>
                <w:kern w:val="0"/>
                <w:sz w:val="20"/>
                <w:szCs w:val="20"/>
              </w:rPr>
              <w:t>（二）</w:t>
            </w:r>
          </w:p>
        </w:tc>
        <w:tc>
          <w:tcPr>
            <w:tcW w:w="1300" w:type="pct"/>
            <w:shd w:val="clear" w:color="auto" w:fill="auto"/>
            <w:vAlign w:val="center"/>
          </w:tcPr>
          <w:p w14:paraId="6E323026">
            <w:pPr>
              <w:widowControl/>
              <w:jc w:val="center"/>
              <w:rPr>
                <w:rFonts w:cs="Times New Roman" w:eastAsiaTheme="minorEastAsia"/>
                <w:b/>
                <w:bCs/>
                <w:color w:val="000000"/>
                <w:kern w:val="0"/>
                <w:sz w:val="20"/>
                <w:szCs w:val="20"/>
              </w:rPr>
            </w:pPr>
            <w:r>
              <w:rPr>
                <w:rFonts w:cs="Times New Roman" w:eastAsiaTheme="minorEastAsia"/>
                <w:b/>
                <w:bCs/>
                <w:color w:val="000000"/>
                <w:kern w:val="0"/>
                <w:sz w:val="20"/>
                <w:szCs w:val="20"/>
              </w:rPr>
              <w:t>污水收集处理系统工程</w:t>
            </w:r>
          </w:p>
        </w:tc>
        <w:tc>
          <w:tcPr>
            <w:tcW w:w="400" w:type="pct"/>
            <w:shd w:val="clear" w:color="auto" w:fill="auto"/>
            <w:vAlign w:val="center"/>
          </w:tcPr>
          <w:p w14:paraId="20B364BC">
            <w:pPr>
              <w:widowControl/>
              <w:jc w:val="center"/>
              <w:rPr>
                <w:rFonts w:cs="Times New Roman" w:eastAsiaTheme="minorEastAsia"/>
                <w:b/>
                <w:bCs/>
                <w:color w:val="000000"/>
                <w:kern w:val="0"/>
                <w:sz w:val="20"/>
                <w:szCs w:val="20"/>
              </w:rPr>
            </w:pPr>
            <w:r>
              <w:rPr>
                <w:rFonts w:cs="Times New Roman" w:eastAsiaTheme="minorEastAsia"/>
                <w:b/>
                <w:bCs/>
                <w:color w:val="000000"/>
                <w:kern w:val="0"/>
                <w:sz w:val="20"/>
                <w:szCs w:val="20"/>
              </w:rPr>
              <w:t>　</w:t>
            </w:r>
          </w:p>
        </w:tc>
        <w:tc>
          <w:tcPr>
            <w:tcW w:w="449" w:type="pct"/>
            <w:shd w:val="clear" w:color="auto" w:fill="auto"/>
            <w:vAlign w:val="center"/>
          </w:tcPr>
          <w:p w14:paraId="74FF61B1">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386995AB">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6496EFEE">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00" w:type="pct"/>
            <w:shd w:val="clear" w:color="auto" w:fill="auto"/>
            <w:vAlign w:val="center"/>
          </w:tcPr>
          <w:p w14:paraId="413C97CB">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350" w:type="pct"/>
            <w:shd w:val="clear" w:color="auto" w:fill="auto"/>
            <w:vAlign w:val="center"/>
          </w:tcPr>
          <w:p w14:paraId="2717A040">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559F2968">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6FF4A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89" w:type="pct"/>
            <w:shd w:val="clear" w:color="auto" w:fill="auto"/>
            <w:vAlign w:val="center"/>
          </w:tcPr>
          <w:p w14:paraId="5DBD1011">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1</w:t>
            </w:r>
          </w:p>
        </w:tc>
        <w:tc>
          <w:tcPr>
            <w:tcW w:w="1300" w:type="pct"/>
            <w:shd w:val="clear" w:color="auto" w:fill="auto"/>
            <w:vAlign w:val="center"/>
          </w:tcPr>
          <w:p w14:paraId="08B7BDC9">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秦淮区友谊河、安江河分散式净水站运行</w:t>
            </w:r>
          </w:p>
        </w:tc>
        <w:tc>
          <w:tcPr>
            <w:tcW w:w="400" w:type="pct"/>
            <w:shd w:val="clear" w:color="auto" w:fill="auto"/>
            <w:vAlign w:val="center"/>
          </w:tcPr>
          <w:p w14:paraId="5B521101">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11085</w:t>
            </w:r>
          </w:p>
        </w:tc>
        <w:tc>
          <w:tcPr>
            <w:tcW w:w="449" w:type="pct"/>
            <w:shd w:val="clear" w:color="auto" w:fill="auto"/>
            <w:vAlign w:val="center"/>
          </w:tcPr>
          <w:p w14:paraId="46CF4A0D">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3265</w:t>
            </w:r>
          </w:p>
        </w:tc>
        <w:tc>
          <w:tcPr>
            <w:tcW w:w="600" w:type="pct"/>
            <w:shd w:val="clear" w:color="auto" w:fill="auto"/>
            <w:vAlign w:val="center"/>
          </w:tcPr>
          <w:p w14:paraId="747D269B">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5576</w:t>
            </w:r>
          </w:p>
        </w:tc>
        <w:tc>
          <w:tcPr>
            <w:tcW w:w="600" w:type="pct"/>
            <w:shd w:val="clear" w:color="auto" w:fill="auto"/>
            <w:vAlign w:val="center"/>
          </w:tcPr>
          <w:p w14:paraId="5390E4D0">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2244</w:t>
            </w:r>
          </w:p>
        </w:tc>
        <w:tc>
          <w:tcPr>
            <w:tcW w:w="500" w:type="pct"/>
            <w:shd w:val="clear" w:color="auto" w:fill="auto"/>
            <w:vAlign w:val="center"/>
          </w:tcPr>
          <w:p w14:paraId="337C213E">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净水站运行保障</w:t>
            </w:r>
          </w:p>
        </w:tc>
        <w:tc>
          <w:tcPr>
            <w:tcW w:w="350" w:type="pct"/>
            <w:shd w:val="clear" w:color="auto" w:fill="auto"/>
            <w:vAlign w:val="center"/>
          </w:tcPr>
          <w:p w14:paraId="6DC3BCA4">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5FC68BDD">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50887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289" w:type="pct"/>
            <w:shd w:val="clear" w:color="auto" w:fill="auto"/>
            <w:vAlign w:val="center"/>
          </w:tcPr>
          <w:p w14:paraId="4B01E248">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2</w:t>
            </w:r>
          </w:p>
        </w:tc>
        <w:tc>
          <w:tcPr>
            <w:tcW w:w="1300" w:type="pct"/>
            <w:shd w:val="clear" w:color="auto" w:fill="auto"/>
            <w:vAlign w:val="center"/>
          </w:tcPr>
          <w:p w14:paraId="4124F6E9">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东白菜园、西八府塘、朝天宫西街、鼎新路、双桥门街、养虎巷、来燕路、三元巷、育仁南路、石榴新村、晨光大道、窨子山路、五福巷、贡院街等污水管道建设工程</w:t>
            </w:r>
          </w:p>
        </w:tc>
        <w:tc>
          <w:tcPr>
            <w:tcW w:w="400" w:type="pct"/>
            <w:shd w:val="clear" w:color="auto" w:fill="auto"/>
            <w:vAlign w:val="center"/>
          </w:tcPr>
          <w:p w14:paraId="4D3F7F90">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8460</w:t>
            </w:r>
          </w:p>
        </w:tc>
        <w:tc>
          <w:tcPr>
            <w:tcW w:w="449" w:type="pct"/>
            <w:shd w:val="clear" w:color="auto" w:fill="auto"/>
            <w:vAlign w:val="center"/>
          </w:tcPr>
          <w:p w14:paraId="3BC2560E">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6520</w:t>
            </w:r>
          </w:p>
        </w:tc>
        <w:tc>
          <w:tcPr>
            <w:tcW w:w="600" w:type="pct"/>
            <w:shd w:val="clear" w:color="auto" w:fill="auto"/>
            <w:vAlign w:val="center"/>
          </w:tcPr>
          <w:p w14:paraId="4EB6129F">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1940</w:t>
            </w:r>
          </w:p>
        </w:tc>
        <w:tc>
          <w:tcPr>
            <w:tcW w:w="600" w:type="pct"/>
            <w:shd w:val="clear" w:color="auto" w:fill="auto"/>
            <w:vAlign w:val="center"/>
          </w:tcPr>
          <w:p w14:paraId="775986A2">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00" w:type="pct"/>
            <w:vMerge w:val="restart"/>
            <w:shd w:val="clear" w:color="auto" w:fill="auto"/>
            <w:vAlign w:val="center"/>
          </w:tcPr>
          <w:p w14:paraId="212B5A91">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污水管网系统建设工程</w:t>
            </w:r>
          </w:p>
        </w:tc>
        <w:tc>
          <w:tcPr>
            <w:tcW w:w="350" w:type="pct"/>
            <w:shd w:val="clear" w:color="auto" w:fill="auto"/>
            <w:vAlign w:val="center"/>
          </w:tcPr>
          <w:p w14:paraId="2923D969">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4F36C7F9">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484F0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89" w:type="pct"/>
            <w:shd w:val="clear" w:color="auto" w:fill="auto"/>
            <w:vAlign w:val="center"/>
          </w:tcPr>
          <w:p w14:paraId="47DB1209">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3</w:t>
            </w:r>
          </w:p>
        </w:tc>
        <w:tc>
          <w:tcPr>
            <w:tcW w:w="1300" w:type="pct"/>
            <w:shd w:val="clear" w:color="auto" w:fill="auto"/>
            <w:vAlign w:val="center"/>
          </w:tcPr>
          <w:p w14:paraId="2B3A4279">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明御河截流沟改造工程</w:t>
            </w:r>
          </w:p>
        </w:tc>
        <w:tc>
          <w:tcPr>
            <w:tcW w:w="400" w:type="pct"/>
            <w:shd w:val="clear" w:color="auto" w:fill="auto"/>
            <w:vAlign w:val="center"/>
          </w:tcPr>
          <w:p w14:paraId="55218108">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2000</w:t>
            </w:r>
          </w:p>
        </w:tc>
        <w:tc>
          <w:tcPr>
            <w:tcW w:w="449" w:type="pct"/>
            <w:shd w:val="clear" w:color="auto" w:fill="auto"/>
            <w:vAlign w:val="center"/>
          </w:tcPr>
          <w:p w14:paraId="1ACE0B9E">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7F8227AA">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7DC00BE8">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2000</w:t>
            </w:r>
          </w:p>
        </w:tc>
        <w:tc>
          <w:tcPr>
            <w:tcW w:w="500" w:type="pct"/>
            <w:vMerge w:val="continue"/>
            <w:vAlign w:val="center"/>
          </w:tcPr>
          <w:p w14:paraId="3A5C5D1B">
            <w:pPr>
              <w:widowControl/>
              <w:jc w:val="left"/>
              <w:rPr>
                <w:rFonts w:cs="Times New Roman" w:eastAsiaTheme="minorEastAsia"/>
                <w:color w:val="000000"/>
                <w:kern w:val="0"/>
                <w:sz w:val="20"/>
                <w:szCs w:val="20"/>
              </w:rPr>
            </w:pPr>
          </w:p>
        </w:tc>
        <w:tc>
          <w:tcPr>
            <w:tcW w:w="350" w:type="pct"/>
            <w:shd w:val="clear" w:color="auto" w:fill="auto"/>
            <w:vAlign w:val="center"/>
          </w:tcPr>
          <w:p w14:paraId="721921E6">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7108FB3E">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项目储备，待条件具备按批实施</w:t>
            </w:r>
          </w:p>
        </w:tc>
      </w:tr>
      <w:tr w14:paraId="2B8D8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89" w:type="pct"/>
            <w:shd w:val="clear" w:color="auto" w:fill="auto"/>
            <w:vAlign w:val="center"/>
          </w:tcPr>
          <w:p w14:paraId="60E3FD3C">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4</w:t>
            </w:r>
          </w:p>
        </w:tc>
        <w:tc>
          <w:tcPr>
            <w:tcW w:w="1300" w:type="pct"/>
            <w:shd w:val="clear" w:color="auto" w:fill="auto"/>
            <w:vAlign w:val="center"/>
          </w:tcPr>
          <w:p w14:paraId="00839B2B">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党家巷等街巷污水管道建设工程</w:t>
            </w:r>
          </w:p>
        </w:tc>
        <w:tc>
          <w:tcPr>
            <w:tcW w:w="400" w:type="pct"/>
            <w:shd w:val="clear" w:color="auto" w:fill="auto"/>
            <w:vAlign w:val="center"/>
          </w:tcPr>
          <w:p w14:paraId="187620E0">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5000</w:t>
            </w:r>
          </w:p>
        </w:tc>
        <w:tc>
          <w:tcPr>
            <w:tcW w:w="449" w:type="pct"/>
            <w:shd w:val="clear" w:color="auto" w:fill="auto"/>
            <w:vAlign w:val="center"/>
          </w:tcPr>
          <w:p w14:paraId="09B33B39">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13B49FC5">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113D85AE">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5000</w:t>
            </w:r>
          </w:p>
        </w:tc>
        <w:tc>
          <w:tcPr>
            <w:tcW w:w="500" w:type="pct"/>
            <w:vMerge w:val="continue"/>
            <w:vAlign w:val="center"/>
          </w:tcPr>
          <w:p w14:paraId="4B70E6DB">
            <w:pPr>
              <w:widowControl/>
              <w:jc w:val="left"/>
              <w:rPr>
                <w:rFonts w:cs="Times New Roman" w:eastAsiaTheme="minorEastAsia"/>
                <w:color w:val="000000"/>
                <w:kern w:val="0"/>
                <w:sz w:val="20"/>
                <w:szCs w:val="20"/>
              </w:rPr>
            </w:pPr>
          </w:p>
        </w:tc>
        <w:tc>
          <w:tcPr>
            <w:tcW w:w="350" w:type="pct"/>
            <w:shd w:val="clear" w:color="auto" w:fill="auto"/>
            <w:vAlign w:val="center"/>
          </w:tcPr>
          <w:p w14:paraId="49F8C5AF">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0D705010">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项目储备，待条件具备按批实施</w:t>
            </w:r>
          </w:p>
        </w:tc>
      </w:tr>
      <w:tr w14:paraId="4772F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89" w:type="pct"/>
            <w:shd w:val="clear" w:color="auto" w:fill="auto"/>
            <w:vAlign w:val="center"/>
          </w:tcPr>
          <w:p w14:paraId="1422F326">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5</w:t>
            </w:r>
          </w:p>
        </w:tc>
        <w:tc>
          <w:tcPr>
            <w:tcW w:w="1300" w:type="pct"/>
            <w:shd w:val="clear" w:color="auto" w:fill="auto"/>
            <w:vAlign w:val="center"/>
          </w:tcPr>
          <w:p w14:paraId="1852DC39">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李府街污水管道建设工程</w:t>
            </w:r>
          </w:p>
        </w:tc>
        <w:tc>
          <w:tcPr>
            <w:tcW w:w="400" w:type="pct"/>
            <w:shd w:val="clear" w:color="auto" w:fill="auto"/>
            <w:vAlign w:val="center"/>
          </w:tcPr>
          <w:p w14:paraId="28FAE3E2">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1210</w:t>
            </w:r>
          </w:p>
        </w:tc>
        <w:tc>
          <w:tcPr>
            <w:tcW w:w="449" w:type="pct"/>
            <w:shd w:val="clear" w:color="auto" w:fill="auto"/>
            <w:vAlign w:val="center"/>
          </w:tcPr>
          <w:p w14:paraId="6B8E8DA1">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3CE6223A">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1210</w:t>
            </w:r>
          </w:p>
        </w:tc>
        <w:tc>
          <w:tcPr>
            <w:tcW w:w="600" w:type="pct"/>
            <w:shd w:val="clear" w:color="auto" w:fill="auto"/>
            <w:vAlign w:val="center"/>
          </w:tcPr>
          <w:p w14:paraId="4C487771">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00" w:type="pct"/>
            <w:vMerge w:val="continue"/>
            <w:vAlign w:val="center"/>
          </w:tcPr>
          <w:p w14:paraId="4A7E0C19">
            <w:pPr>
              <w:widowControl/>
              <w:jc w:val="left"/>
              <w:rPr>
                <w:rFonts w:cs="Times New Roman" w:eastAsiaTheme="minorEastAsia"/>
                <w:color w:val="000000"/>
                <w:kern w:val="0"/>
                <w:sz w:val="20"/>
                <w:szCs w:val="20"/>
              </w:rPr>
            </w:pPr>
          </w:p>
        </w:tc>
        <w:tc>
          <w:tcPr>
            <w:tcW w:w="350" w:type="pct"/>
            <w:shd w:val="clear" w:color="auto" w:fill="auto"/>
            <w:vAlign w:val="center"/>
          </w:tcPr>
          <w:p w14:paraId="3C8A7674">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4B91254C">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622A2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89" w:type="pct"/>
            <w:shd w:val="clear" w:color="auto" w:fill="auto"/>
            <w:vAlign w:val="center"/>
          </w:tcPr>
          <w:p w14:paraId="1B39C865">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6</w:t>
            </w:r>
          </w:p>
        </w:tc>
        <w:tc>
          <w:tcPr>
            <w:tcW w:w="1300" w:type="pct"/>
            <w:shd w:val="clear" w:color="auto" w:fill="auto"/>
            <w:vAlign w:val="center"/>
          </w:tcPr>
          <w:p w14:paraId="764E54AB">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西华东巷（中山东路-龙蟠路）污水管道建设工程</w:t>
            </w:r>
          </w:p>
        </w:tc>
        <w:tc>
          <w:tcPr>
            <w:tcW w:w="400" w:type="pct"/>
            <w:shd w:val="clear" w:color="auto" w:fill="auto"/>
            <w:vAlign w:val="center"/>
          </w:tcPr>
          <w:p w14:paraId="42FC745D">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700</w:t>
            </w:r>
          </w:p>
        </w:tc>
        <w:tc>
          <w:tcPr>
            <w:tcW w:w="449" w:type="pct"/>
            <w:shd w:val="clear" w:color="auto" w:fill="auto"/>
            <w:vAlign w:val="center"/>
          </w:tcPr>
          <w:p w14:paraId="225246F0">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3AB4D004">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700</w:t>
            </w:r>
          </w:p>
        </w:tc>
        <w:tc>
          <w:tcPr>
            <w:tcW w:w="600" w:type="pct"/>
            <w:shd w:val="clear" w:color="auto" w:fill="auto"/>
            <w:vAlign w:val="center"/>
          </w:tcPr>
          <w:p w14:paraId="36FB8B76">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00" w:type="pct"/>
            <w:vMerge w:val="continue"/>
            <w:vAlign w:val="center"/>
          </w:tcPr>
          <w:p w14:paraId="1DC9221E">
            <w:pPr>
              <w:widowControl/>
              <w:jc w:val="left"/>
              <w:rPr>
                <w:rFonts w:cs="Times New Roman" w:eastAsiaTheme="minorEastAsia"/>
                <w:color w:val="000000"/>
                <w:kern w:val="0"/>
                <w:sz w:val="20"/>
                <w:szCs w:val="20"/>
              </w:rPr>
            </w:pPr>
          </w:p>
        </w:tc>
        <w:tc>
          <w:tcPr>
            <w:tcW w:w="350" w:type="pct"/>
            <w:shd w:val="clear" w:color="auto" w:fill="auto"/>
            <w:vAlign w:val="center"/>
          </w:tcPr>
          <w:p w14:paraId="58418067">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521CBF79">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6F4BD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89" w:type="pct"/>
            <w:shd w:val="clear" w:color="auto" w:fill="auto"/>
            <w:vAlign w:val="center"/>
          </w:tcPr>
          <w:p w14:paraId="198A1536">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7</w:t>
            </w:r>
          </w:p>
        </w:tc>
        <w:tc>
          <w:tcPr>
            <w:tcW w:w="1300" w:type="pct"/>
            <w:shd w:val="clear" w:color="auto" w:fill="auto"/>
            <w:vAlign w:val="center"/>
          </w:tcPr>
          <w:p w14:paraId="6FF245A7">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申家巷、二条巷、棉鞋营等污水管道建设工程</w:t>
            </w:r>
          </w:p>
        </w:tc>
        <w:tc>
          <w:tcPr>
            <w:tcW w:w="400" w:type="pct"/>
            <w:shd w:val="clear" w:color="auto" w:fill="auto"/>
            <w:vAlign w:val="center"/>
          </w:tcPr>
          <w:p w14:paraId="147354E4">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900</w:t>
            </w:r>
          </w:p>
        </w:tc>
        <w:tc>
          <w:tcPr>
            <w:tcW w:w="449" w:type="pct"/>
            <w:shd w:val="clear" w:color="auto" w:fill="auto"/>
            <w:vAlign w:val="center"/>
          </w:tcPr>
          <w:p w14:paraId="0A8F5C53">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36BBDEAB">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900</w:t>
            </w:r>
          </w:p>
        </w:tc>
        <w:tc>
          <w:tcPr>
            <w:tcW w:w="600" w:type="pct"/>
            <w:shd w:val="clear" w:color="auto" w:fill="auto"/>
            <w:vAlign w:val="center"/>
          </w:tcPr>
          <w:p w14:paraId="1A335CA7">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00" w:type="pct"/>
            <w:vMerge w:val="continue"/>
            <w:vAlign w:val="center"/>
          </w:tcPr>
          <w:p w14:paraId="019D6A97">
            <w:pPr>
              <w:widowControl/>
              <w:jc w:val="left"/>
              <w:rPr>
                <w:rFonts w:cs="Times New Roman" w:eastAsiaTheme="minorEastAsia"/>
                <w:color w:val="000000"/>
                <w:kern w:val="0"/>
                <w:sz w:val="20"/>
                <w:szCs w:val="20"/>
              </w:rPr>
            </w:pPr>
          </w:p>
        </w:tc>
        <w:tc>
          <w:tcPr>
            <w:tcW w:w="350" w:type="pct"/>
            <w:shd w:val="clear" w:color="auto" w:fill="auto"/>
            <w:vAlign w:val="center"/>
          </w:tcPr>
          <w:p w14:paraId="05C9143F">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79C85A1C">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2AF08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289" w:type="pct"/>
            <w:shd w:val="clear" w:color="auto" w:fill="auto"/>
            <w:vAlign w:val="center"/>
          </w:tcPr>
          <w:p w14:paraId="5C6F24CE">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8</w:t>
            </w:r>
          </w:p>
        </w:tc>
        <w:tc>
          <w:tcPr>
            <w:tcW w:w="1300" w:type="pct"/>
            <w:shd w:val="clear" w:color="auto" w:fill="auto"/>
            <w:vAlign w:val="center"/>
          </w:tcPr>
          <w:p w14:paraId="64C3D2EC">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凤游寺路污水管道建设工程</w:t>
            </w:r>
          </w:p>
        </w:tc>
        <w:tc>
          <w:tcPr>
            <w:tcW w:w="400" w:type="pct"/>
            <w:shd w:val="clear" w:color="auto" w:fill="auto"/>
            <w:vAlign w:val="center"/>
          </w:tcPr>
          <w:p w14:paraId="149F902C">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2100</w:t>
            </w:r>
          </w:p>
        </w:tc>
        <w:tc>
          <w:tcPr>
            <w:tcW w:w="449" w:type="pct"/>
            <w:shd w:val="clear" w:color="auto" w:fill="auto"/>
            <w:vAlign w:val="center"/>
          </w:tcPr>
          <w:p w14:paraId="7D9F5CAC">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21235EEB">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2100</w:t>
            </w:r>
          </w:p>
        </w:tc>
        <w:tc>
          <w:tcPr>
            <w:tcW w:w="600" w:type="pct"/>
            <w:shd w:val="clear" w:color="auto" w:fill="auto"/>
            <w:vAlign w:val="center"/>
          </w:tcPr>
          <w:p w14:paraId="0A67B0D9">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00" w:type="pct"/>
            <w:vMerge w:val="continue"/>
            <w:vAlign w:val="center"/>
          </w:tcPr>
          <w:p w14:paraId="435326F1">
            <w:pPr>
              <w:widowControl/>
              <w:jc w:val="left"/>
              <w:rPr>
                <w:rFonts w:cs="Times New Roman" w:eastAsiaTheme="minorEastAsia"/>
                <w:color w:val="000000"/>
                <w:kern w:val="0"/>
                <w:sz w:val="20"/>
                <w:szCs w:val="20"/>
              </w:rPr>
            </w:pPr>
          </w:p>
        </w:tc>
        <w:tc>
          <w:tcPr>
            <w:tcW w:w="350" w:type="pct"/>
            <w:shd w:val="clear" w:color="auto" w:fill="auto"/>
            <w:vAlign w:val="center"/>
          </w:tcPr>
          <w:p w14:paraId="1053F32A">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29727448">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7711C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289" w:type="pct"/>
            <w:shd w:val="clear" w:color="auto" w:fill="auto"/>
            <w:vAlign w:val="center"/>
          </w:tcPr>
          <w:p w14:paraId="54C5046B">
            <w:pPr>
              <w:widowControl/>
              <w:jc w:val="center"/>
              <w:rPr>
                <w:rFonts w:cs="Times New Roman" w:eastAsiaTheme="minorEastAsia"/>
                <w:b/>
                <w:bCs/>
                <w:color w:val="000000"/>
                <w:kern w:val="0"/>
                <w:sz w:val="20"/>
                <w:szCs w:val="20"/>
              </w:rPr>
            </w:pPr>
            <w:r>
              <w:rPr>
                <w:rFonts w:cs="Times New Roman" w:eastAsiaTheme="minorEastAsia"/>
                <w:b/>
                <w:bCs/>
                <w:color w:val="000000"/>
                <w:kern w:val="0"/>
                <w:sz w:val="20"/>
                <w:szCs w:val="20"/>
              </w:rPr>
              <w:t>10</w:t>
            </w:r>
          </w:p>
        </w:tc>
        <w:tc>
          <w:tcPr>
            <w:tcW w:w="1300" w:type="pct"/>
            <w:shd w:val="clear" w:color="auto" w:fill="auto"/>
            <w:vAlign w:val="center"/>
          </w:tcPr>
          <w:p w14:paraId="0BEB35EC">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胜华路污水管道建设工程</w:t>
            </w:r>
          </w:p>
        </w:tc>
        <w:tc>
          <w:tcPr>
            <w:tcW w:w="400" w:type="pct"/>
            <w:shd w:val="clear" w:color="auto" w:fill="auto"/>
            <w:vAlign w:val="center"/>
          </w:tcPr>
          <w:p w14:paraId="418B389F">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300</w:t>
            </w:r>
          </w:p>
        </w:tc>
        <w:tc>
          <w:tcPr>
            <w:tcW w:w="449" w:type="pct"/>
            <w:shd w:val="clear" w:color="auto" w:fill="auto"/>
            <w:vAlign w:val="center"/>
          </w:tcPr>
          <w:p w14:paraId="03673D81">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1104DABD">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300</w:t>
            </w:r>
          </w:p>
        </w:tc>
        <w:tc>
          <w:tcPr>
            <w:tcW w:w="600" w:type="pct"/>
            <w:shd w:val="clear" w:color="auto" w:fill="auto"/>
            <w:vAlign w:val="center"/>
          </w:tcPr>
          <w:p w14:paraId="54F5579B">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00" w:type="pct"/>
            <w:vMerge w:val="continue"/>
            <w:vAlign w:val="center"/>
          </w:tcPr>
          <w:p w14:paraId="69C0C064">
            <w:pPr>
              <w:widowControl/>
              <w:jc w:val="left"/>
              <w:rPr>
                <w:rFonts w:cs="Times New Roman" w:eastAsiaTheme="minorEastAsia"/>
                <w:color w:val="000000"/>
                <w:kern w:val="0"/>
                <w:sz w:val="20"/>
                <w:szCs w:val="20"/>
              </w:rPr>
            </w:pPr>
          </w:p>
        </w:tc>
        <w:tc>
          <w:tcPr>
            <w:tcW w:w="350" w:type="pct"/>
            <w:shd w:val="clear" w:color="auto" w:fill="auto"/>
            <w:vAlign w:val="center"/>
          </w:tcPr>
          <w:p w14:paraId="7C30E8E2">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6E13511D">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24BE5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89" w:type="pct"/>
            <w:shd w:val="clear" w:color="auto" w:fill="auto"/>
            <w:vAlign w:val="center"/>
          </w:tcPr>
          <w:p w14:paraId="3AD8C663">
            <w:pPr>
              <w:widowControl/>
              <w:jc w:val="center"/>
              <w:rPr>
                <w:rFonts w:cs="Times New Roman" w:eastAsiaTheme="minorEastAsia"/>
                <w:b/>
                <w:bCs/>
                <w:color w:val="000000"/>
                <w:kern w:val="0"/>
                <w:sz w:val="20"/>
                <w:szCs w:val="20"/>
              </w:rPr>
            </w:pPr>
            <w:r>
              <w:rPr>
                <w:rFonts w:cs="Times New Roman" w:eastAsiaTheme="minorEastAsia"/>
                <w:b/>
                <w:bCs/>
                <w:color w:val="000000"/>
                <w:kern w:val="0"/>
                <w:sz w:val="20"/>
                <w:szCs w:val="20"/>
              </w:rPr>
              <w:t>11</w:t>
            </w:r>
          </w:p>
        </w:tc>
        <w:tc>
          <w:tcPr>
            <w:tcW w:w="1300" w:type="pct"/>
            <w:shd w:val="clear" w:color="auto" w:fill="auto"/>
            <w:vAlign w:val="center"/>
          </w:tcPr>
          <w:p w14:paraId="2AE1BB2A">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应天大街等街巷污水管道建设工程</w:t>
            </w:r>
          </w:p>
        </w:tc>
        <w:tc>
          <w:tcPr>
            <w:tcW w:w="400" w:type="pct"/>
            <w:shd w:val="clear" w:color="auto" w:fill="auto"/>
            <w:vAlign w:val="center"/>
          </w:tcPr>
          <w:p w14:paraId="0E11BDF9">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4000</w:t>
            </w:r>
          </w:p>
        </w:tc>
        <w:tc>
          <w:tcPr>
            <w:tcW w:w="449" w:type="pct"/>
            <w:shd w:val="clear" w:color="auto" w:fill="auto"/>
            <w:vAlign w:val="center"/>
          </w:tcPr>
          <w:p w14:paraId="5D46E7CF">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1523B422">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52B5671B">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4000</w:t>
            </w:r>
          </w:p>
        </w:tc>
        <w:tc>
          <w:tcPr>
            <w:tcW w:w="500" w:type="pct"/>
            <w:vMerge w:val="continue"/>
            <w:vAlign w:val="center"/>
          </w:tcPr>
          <w:p w14:paraId="5020DAC9">
            <w:pPr>
              <w:widowControl/>
              <w:jc w:val="left"/>
              <w:rPr>
                <w:rFonts w:cs="Times New Roman" w:eastAsiaTheme="minorEastAsia"/>
                <w:color w:val="000000"/>
                <w:kern w:val="0"/>
                <w:sz w:val="20"/>
                <w:szCs w:val="20"/>
              </w:rPr>
            </w:pPr>
          </w:p>
        </w:tc>
        <w:tc>
          <w:tcPr>
            <w:tcW w:w="350" w:type="pct"/>
            <w:shd w:val="clear" w:color="auto" w:fill="auto"/>
            <w:vAlign w:val="center"/>
          </w:tcPr>
          <w:p w14:paraId="393966AF">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116A14B0">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401AC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289" w:type="pct"/>
            <w:shd w:val="clear" w:color="auto" w:fill="auto"/>
            <w:vAlign w:val="center"/>
          </w:tcPr>
          <w:p w14:paraId="1FF0F16A">
            <w:pPr>
              <w:widowControl/>
              <w:jc w:val="center"/>
              <w:rPr>
                <w:rFonts w:cs="Times New Roman" w:eastAsiaTheme="minorEastAsia"/>
                <w:b/>
                <w:bCs/>
                <w:color w:val="000000"/>
                <w:kern w:val="0"/>
                <w:sz w:val="20"/>
                <w:szCs w:val="20"/>
              </w:rPr>
            </w:pPr>
            <w:r>
              <w:rPr>
                <w:rFonts w:cs="Times New Roman" w:eastAsiaTheme="minorEastAsia"/>
                <w:b/>
                <w:bCs/>
                <w:color w:val="000000"/>
                <w:kern w:val="0"/>
                <w:sz w:val="20"/>
                <w:szCs w:val="20"/>
              </w:rPr>
              <w:t>12</w:t>
            </w:r>
          </w:p>
        </w:tc>
        <w:tc>
          <w:tcPr>
            <w:tcW w:w="1300" w:type="pct"/>
            <w:shd w:val="clear" w:color="auto" w:fill="auto"/>
            <w:vAlign w:val="center"/>
          </w:tcPr>
          <w:p w14:paraId="22CFD079">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秦淮区污水处理提质增效达标区建设工程</w:t>
            </w:r>
          </w:p>
        </w:tc>
        <w:tc>
          <w:tcPr>
            <w:tcW w:w="400" w:type="pct"/>
            <w:shd w:val="clear" w:color="auto" w:fill="auto"/>
            <w:vAlign w:val="center"/>
          </w:tcPr>
          <w:p w14:paraId="4676734C">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2000</w:t>
            </w:r>
          </w:p>
        </w:tc>
        <w:tc>
          <w:tcPr>
            <w:tcW w:w="449" w:type="pct"/>
            <w:shd w:val="clear" w:color="auto" w:fill="auto"/>
            <w:vAlign w:val="center"/>
          </w:tcPr>
          <w:p w14:paraId="068BA0E2">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771A49AD">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2000</w:t>
            </w:r>
          </w:p>
        </w:tc>
        <w:tc>
          <w:tcPr>
            <w:tcW w:w="600" w:type="pct"/>
            <w:shd w:val="clear" w:color="auto" w:fill="auto"/>
            <w:vAlign w:val="center"/>
          </w:tcPr>
          <w:p w14:paraId="57503DEB">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00" w:type="pct"/>
            <w:shd w:val="clear" w:color="auto" w:fill="auto"/>
            <w:vAlign w:val="center"/>
          </w:tcPr>
          <w:p w14:paraId="18151165">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污水收集处理系统提质增效集成示范区</w:t>
            </w:r>
          </w:p>
        </w:tc>
        <w:tc>
          <w:tcPr>
            <w:tcW w:w="350" w:type="pct"/>
            <w:shd w:val="clear" w:color="auto" w:fill="auto"/>
            <w:vAlign w:val="center"/>
          </w:tcPr>
          <w:p w14:paraId="60FBB4C5">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26553FE6">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12389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9" w:type="pct"/>
            <w:shd w:val="clear" w:color="auto" w:fill="auto"/>
            <w:vAlign w:val="center"/>
          </w:tcPr>
          <w:p w14:paraId="23B6CA90">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合计：</w:t>
            </w:r>
          </w:p>
        </w:tc>
        <w:tc>
          <w:tcPr>
            <w:tcW w:w="1300" w:type="pct"/>
            <w:shd w:val="clear" w:color="auto" w:fill="auto"/>
            <w:vAlign w:val="center"/>
          </w:tcPr>
          <w:p w14:paraId="641C4E43">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400" w:type="pct"/>
            <w:shd w:val="clear" w:color="auto" w:fill="auto"/>
            <w:vAlign w:val="center"/>
          </w:tcPr>
          <w:p w14:paraId="75B6649D">
            <w:pPr>
              <w:widowControl/>
              <w:jc w:val="center"/>
              <w:rPr>
                <w:rFonts w:cs="Times New Roman" w:eastAsiaTheme="minorEastAsia"/>
                <w:b/>
                <w:bCs/>
                <w:color w:val="000000"/>
                <w:kern w:val="0"/>
                <w:sz w:val="20"/>
                <w:szCs w:val="20"/>
              </w:rPr>
            </w:pPr>
            <w:r>
              <w:rPr>
                <w:rFonts w:cs="Times New Roman" w:eastAsiaTheme="minorEastAsia"/>
                <w:b/>
                <w:bCs/>
                <w:color w:val="000000"/>
                <w:kern w:val="0"/>
                <w:sz w:val="20"/>
                <w:szCs w:val="20"/>
              </w:rPr>
              <w:t>37755</w:t>
            </w:r>
          </w:p>
        </w:tc>
        <w:tc>
          <w:tcPr>
            <w:tcW w:w="449" w:type="pct"/>
            <w:shd w:val="clear" w:color="auto" w:fill="auto"/>
            <w:vAlign w:val="center"/>
          </w:tcPr>
          <w:p w14:paraId="3E09FBBF">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2009CEAF">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55940BE6">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00" w:type="pct"/>
            <w:shd w:val="clear" w:color="auto" w:fill="auto"/>
            <w:vAlign w:val="center"/>
          </w:tcPr>
          <w:p w14:paraId="5B4ECFA4">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350" w:type="pct"/>
            <w:shd w:val="clear" w:color="auto" w:fill="auto"/>
            <w:vAlign w:val="center"/>
          </w:tcPr>
          <w:p w14:paraId="09B35C23">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68CE6D3D">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0487C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289" w:type="pct"/>
            <w:shd w:val="clear" w:color="auto" w:fill="auto"/>
            <w:vAlign w:val="center"/>
          </w:tcPr>
          <w:p w14:paraId="79058C7F">
            <w:pPr>
              <w:widowControl/>
              <w:jc w:val="center"/>
              <w:rPr>
                <w:rFonts w:cs="Times New Roman" w:eastAsiaTheme="minorEastAsia"/>
                <w:b/>
                <w:bCs/>
                <w:color w:val="000000"/>
                <w:kern w:val="0"/>
                <w:sz w:val="20"/>
                <w:szCs w:val="20"/>
              </w:rPr>
            </w:pPr>
            <w:r>
              <w:rPr>
                <w:rFonts w:cs="Times New Roman" w:eastAsiaTheme="minorEastAsia"/>
                <w:b/>
                <w:bCs/>
                <w:color w:val="000000"/>
                <w:kern w:val="0"/>
                <w:sz w:val="20"/>
                <w:szCs w:val="20"/>
              </w:rPr>
              <w:t>（三）</w:t>
            </w:r>
          </w:p>
        </w:tc>
        <w:tc>
          <w:tcPr>
            <w:tcW w:w="1300" w:type="pct"/>
            <w:shd w:val="clear" w:color="auto" w:fill="auto"/>
            <w:vAlign w:val="center"/>
          </w:tcPr>
          <w:p w14:paraId="7EA1792F">
            <w:pPr>
              <w:widowControl/>
              <w:jc w:val="center"/>
              <w:rPr>
                <w:rFonts w:cs="Times New Roman" w:eastAsiaTheme="minorEastAsia"/>
                <w:b/>
                <w:bCs/>
                <w:color w:val="000000"/>
                <w:kern w:val="0"/>
                <w:sz w:val="20"/>
                <w:szCs w:val="20"/>
              </w:rPr>
            </w:pPr>
            <w:r>
              <w:rPr>
                <w:rFonts w:cs="Times New Roman" w:eastAsiaTheme="minorEastAsia"/>
                <w:b/>
                <w:bCs/>
                <w:color w:val="000000"/>
                <w:kern w:val="0"/>
                <w:sz w:val="20"/>
                <w:szCs w:val="20"/>
              </w:rPr>
              <w:t>排水管网治理工程</w:t>
            </w:r>
          </w:p>
        </w:tc>
        <w:tc>
          <w:tcPr>
            <w:tcW w:w="400" w:type="pct"/>
            <w:shd w:val="clear" w:color="auto" w:fill="auto"/>
            <w:vAlign w:val="center"/>
          </w:tcPr>
          <w:p w14:paraId="1C134E64">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449" w:type="pct"/>
            <w:shd w:val="clear" w:color="auto" w:fill="auto"/>
            <w:vAlign w:val="center"/>
          </w:tcPr>
          <w:p w14:paraId="02EDBF9C">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4CAB70E3">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295D36B1">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00" w:type="pct"/>
            <w:shd w:val="clear" w:color="auto" w:fill="auto"/>
            <w:vAlign w:val="center"/>
          </w:tcPr>
          <w:p w14:paraId="60A1D470">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350" w:type="pct"/>
            <w:shd w:val="clear" w:color="auto" w:fill="auto"/>
            <w:vAlign w:val="center"/>
          </w:tcPr>
          <w:p w14:paraId="7C3437A2">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04792936">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7BF52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289" w:type="pct"/>
            <w:shd w:val="clear" w:color="auto" w:fill="auto"/>
            <w:vAlign w:val="center"/>
          </w:tcPr>
          <w:p w14:paraId="1610FAF9">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1</w:t>
            </w:r>
          </w:p>
        </w:tc>
        <w:tc>
          <w:tcPr>
            <w:tcW w:w="1300" w:type="pct"/>
            <w:shd w:val="clear" w:color="auto" w:fill="auto"/>
            <w:vAlign w:val="center"/>
          </w:tcPr>
          <w:p w14:paraId="3BC4AF13">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秦淮区内秦淮河东段、中段流域第三批雨污水管网清疏修缮工程</w:t>
            </w:r>
          </w:p>
        </w:tc>
        <w:tc>
          <w:tcPr>
            <w:tcW w:w="400" w:type="pct"/>
            <w:shd w:val="clear" w:color="auto" w:fill="auto"/>
            <w:vAlign w:val="center"/>
          </w:tcPr>
          <w:p w14:paraId="6A6630AD">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7000</w:t>
            </w:r>
          </w:p>
        </w:tc>
        <w:tc>
          <w:tcPr>
            <w:tcW w:w="449" w:type="pct"/>
            <w:shd w:val="clear" w:color="auto" w:fill="auto"/>
            <w:vAlign w:val="center"/>
          </w:tcPr>
          <w:p w14:paraId="355024A1">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3500</w:t>
            </w:r>
          </w:p>
        </w:tc>
        <w:tc>
          <w:tcPr>
            <w:tcW w:w="600" w:type="pct"/>
            <w:shd w:val="clear" w:color="auto" w:fill="auto"/>
            <w:vAlign w:val="center"/>
          </w:tcPr>
          <w:p w14:paraId="109707A9">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3500</w:t>
            </w:r>
          </w:p>
        </w:tc>
        <w:tc>
          <w:tcPr>
            <w:tcW w:w="600" w:type="pct"/>
            <w:shd w:val="clear" w:color="auto" w:fill="auto"/>
            <w:vAlign w:val="center"/>
          </w:tcPr>
          <w:p w14:paraId="0EEFE4FC">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00" w:type="pct"/>
            <w:shd w:val="clear" w:color="auto" w:fill="auto"/>
            <w:vAlign w:val="center"/>
          </w:tcPr>
          <w:p w14:paraId="566507FF">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350" w:type="pct"/>
            <w:shd w:val="clear" w:color="auto" w:fill="auto"/>
            <w:vAlign w:val="center"/>
          </w:tcPr>
          <w:p w14:paraId="76A3E10C">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38785835">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06CAB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89" w:type="pct"/>
            <w:shd w:val="clear" w:color="auto" w:fill="auto"/>
            <w:vAlign w:val="center"/>
          </w:tcPr>
          <w:p w14:paraId="7895D47B">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2</w:t>
            </w:r>
          </w:p>
        </w:tc>
        <w:tc>
          <w:tcPr>
            <w:tcW w:w="1300" w:type="pct"/>
            <w:shd w:val="clear" w:color="auto" w:fill="auto"/>
            <w:vAlign w:val="center"/>
          </w:tcPr>
          <w:p w14:paraId="1F17144B">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秦淮区内秦淮河东段、中段流域第四批雨污水管网清疏修缮工程</w:t>
            </w:r>
          </w:p>
        </w:tc>
        <w:tc>
          <w:tcPr>
            <w:tcW w:w="400" w:type="pct"/>
            <w:shd w:val="clear" w:color="auto" w:fill="auto"/>
            <w:vAlign w:val="center"/>
          </w:tcPr>
          <w:p w14:paraId="7CDF51A3">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7800</w:t>
            </w:r>
          </w:p>
        </w:tc>
        <w:tc>
          <w:tcPr>
            <w:tcW w:w="449" w:type="pct"/>
            <w:shd w:val="clear" w:color="auto" w:fill="auto"/>
            <w:vAlign w:val="center"/>
          </w:tcPr>
          <w:p w14:paraId="0E8D4A2E">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3900</w:t>
            </w:r>
          </w:p>
        </w:tc>
        <w:tc>
          <w:tcPr>
            <w:tcW w:w="600" w:type="pct"/>
            <w:shd w:val="clear" w:color="auto" w:fill="auto"/>
            <w:vAlign w:val="center"/>
          </w:tcPr>
          <w:p w14:paraId="1A3556B9">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3900</w:t>
            </w:r>
          </w:p>
        </w:tc>
        <w:tc>
          <w:tcPr>
            <w:tcW w:w="600" w:type="pct"/>
            <w:shd w:val="clear" w:color="auto" w:fill="auto"/>
            <w:vAlign w:val="center"/>
          </w:tcPr>
          <w:p w14:paraId="1DAC448C">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00" w:type="pct"/>
            <w:shd w:val="clear" w:color="auto" w:fill="auto"/>
            <w:vAlign w:val="center"/>
          </w:tcPr>
          <w:p w14:paraId="43890193">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350" w:type="pct"/>
            <w:shd w:val="clear" w:color="auto" w:fill="auto"/>
            <w:vAlign w:val="center"/>
          </w:tcPr>
          <w:p w14:paraId="5A6BE4E3">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1CC155E4">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06CBB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289" w:type="pct"/>
            <w:shd w:val="clear" w:color="auto" w:fill="auto"/>
            <w:vAlign w:val="center"/>
          </w:tcPr>
          <w:p w14:paraId="3E87B777">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3</w:t>
            </w:r>
          </w:p>
        </w:tc>
        <w:tc>
          <w:tcPr>
            <w:tcW w:w="1300" w:type="pct"/>
            <w:shd w:val="clear" w:color="auto" w:fill="auto"/>
            <w:vAlign w:val="center"/>
          </w:tcPr>
          <w:p w14:paraId="123054D6">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秦淮区内秦淮河东段、中段流域第五批雨污水管网清疏修缮工程</w:t>
            </w:r>
          </w:p>
        </w:tc>
        <w:tc>
          <w:tcPr>
            <w:tcW w:w="400" w:type="pct"/>
            <w:shd w:val="clear" w:color="auto" w:fill="auto"/>
            <w:vAlign w:val="center"/>
          </w:tcPr>
          <w:p w14:paraId="31487439">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7600</w:t>
            </w:r>
          </w:p>
        </w:tc>
        <w:tc>
          <w:tcPr>
            <w:tcW w:w="449" w:type="pct"/>
            <w:shd w:val="clear" w:color="auto" w:fill="auto"/>
            <w:vAlign w:val="center"/>
          </w:tcPr>
          <w:p w14:paraId="2397D3E0">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3500</w:t>
            </w:r>
          </w:p>
        </w:tc>
        <w:tc>
          <w:tcPr>
            <w:tcW w:w="600" w:type="pct"/>
            <w:shd w:val="clear" w:color="auto" w:fill="auto"/>
            <w:vAlign w:val="center"/>
          </w:tcPr>
          <w:p w14:paraId="13335AD1">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4100</w:t>
            </w:r>
          </w:p>
        </w:tc>
        <w:tc>
          <w:tcPr>
            <w:tcW w:w="600" w:type="pct"/>
            <w:shd w:val="clear" w:color="auto" w:fill="auto"/>
            <w:vAlign w:val="center"/>
          </w:tcPr>
          <w:p w14:paraId="11F7D64C">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00" w:type="pct"/>
            <w:shd w:val="clear" w:color="auto" w:fill="auto"/>
            <w:vAlign w:val="center"/>
          </w:tcPr>
          <w:p w14:paraId="4FFE6F3B">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350" w:type="pct"/>
            <w:shd w:val="clear" w:color="auto" w:fill="auto"/>
            <w:vAlign w:val="center"/>
          </w:tcPr>
          <w:p w14:paraId="67B2A9B3">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4C11C88C">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73B42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89" w:type="pct"/>
            <w:shd w:val="clear" w:color="auto" w:fill="auto"/>
            <w:vAlign w:val="center"/>
          </w:tcPr>
          <w:p w14:paraId="4755EBD8">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4</w:t>
            </w:r>
          </w:p>
        </w:tc>
        <w:tc>
          <w:tcPr>
            <w:tcW w:w="1300" w:type="pct"/>
            <w:shd w:val="clear" w:color="auto" w:fill="auto"/>
            <w:vAlign w:val="center"/>
          </w:tcPr>
          <w:p w14:paraId="4203B22A">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秦淮区内秦淮河中段、南段及明御河流域雨污水管网清疏修缮工程</w:t>
            </w:r>
          </w:p>
        </w:tc>
        <w:tc>
          <w:tcPr>
            <w:tcW w:w="400" w:type="pct"/>
            <w:shd w:val="clear" w:color="auto" w:fill="auto"/>
            <w:vAlign w:val="center"/>
          </w:tcPr>
          <w:p w14:paraId="4C2833FD">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300</w:t>
            </w:r>
          </w:p>
        </w:tc>
        <w:tc>
          <w:tcPr>
            <w:tcW w:w="449" w:type="pct"/>
            <w:shd w:val="clear" w:color="auto" w:fill="auto"/>
            <w:vAlign w:val="center"/>
          </w:tcPr>
          <w:p w14:paraId="45E271D8">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300</w:t>
            </w:r>
          </w:p>
        </w:tc>
        <w:tc>
          <w:tcPr>
            <w:tcW w:w="600" w:type="pct"/>
            <w:shd w:val="clear" w:color="auto" w:fill="auto"/>
            <w:vAlign w:val="center"/>
          </w:tcPr>
          <w:p w14:paraId="3523A7F8">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19834553">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00" w:type="pct"/>
            <w:shd w:val="clear" w:color="auto" w:fill="auto"/>
            <w:vAlign w:val="center"/>
          </w:tcPr>
          <w:p w14:paraId="30C7AD47">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350" w:type="pct"/>
            <w:shd w:val="clear" w:color="auto" w:fill="auto"/>
            <w:vAlign w:val="center"/>
          </w:tcPr>
          <w:p w14:paraId="46184380">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69BBD6AE">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77038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289" w:type="pct"/>
            <w:shd w:val="clear" w:color="auto" w:fill="auto"/>
            <w:vAlign w:val="center"/>
          </w:tcPr>
          <w:p w14:paraId="6631668D">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5</w:t>
            </w:r>
          </w:p>
        </w:tc>
        <w:tc>
          <w:tcPr>
            <w:tcW w:w="1300" w:type="pct"/>
            <w:shd w:val="clear" w:color="auto" w:fill="auto"/>
            <w:vAlign w:val="center"/>
          </w:tcPr>
          <w:p w14:paraId="453F53DA">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汇景家园片区管网清疏修缮工程</w:t>
            </w:r>
          </w:p>
        </w:tc>
        <w:tc>
          <w:tcPr>
            <w:tcW w:w="400" w:type="pct"/>
            <w:shd w:val="clear" w:color="auto" w:fill="auto"/>
            <w:vAlign w:val="center"/>
          </w:tcPr>
          <w:p w14:paraId="53096F5C">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6100</w:t>
            </w:r>
          </w:p>
        </w:tc>
        <w:tc>
          <w:tcPr>
            <w:tcW w:w="449" w:type="pct"/>
            <w:shd w:val="clear" w:color="auto" w:fill="auto"/>
            <w:vAlign w:val="center"/>
          </w:tcPr>
          <w:p w14:paraId="7D5F066B">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6100</w:t>
            </w:r>
          </w:p>
        </w:tc>
        <w:tc>
          <w:tcPr>
            <w:tcW w:w="600" w:type="pct"/>
            <w:shd w:val="clear" w:color="auto" w:fill="auto"/>
            <w:vAlign w:val="center"/>
          </w:tcPr>
          <w:p w14:paraId="0146A5A1">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0283990F">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00" w:type="pct"/>
            <w:vMerge w:val="restart"/>
            <w:shd w:val="clear" w:color="auto" w:fill="auto"/>
            <w:vAlign w:val="center"/>
          </w:tcPr>
          <w:p w14:paraId="60D9C3B6">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管网清疏修缮、排查整改　</w:t>
            </w:r>
          </w:p>
        </w:tc>
        <w:tc>
          <w:tcPr>
            <w:tcW w:w="350" w:type="pct"/>
            <w:shd w:val="clear" w:color="auto" w:fill="auto"/>
            <w:vAlign w:val="center"/>
          </w:tcPr>
          <w:p w14:paraId="06754192">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692EA40B">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6BCFF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89" w:type="pct"/>
            <w:shd w:val="clear" w:color="auto" w:fill="auto"/>
            <w:vAlign w:val="center"/>
          </w:tcPr>
          <w:p w14:paraId="5126DC15">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6</w:t>
            </w:r>
          </w:p>
        </w:tc>
        <w:tc>
          <w:tcPr>
            <w:tcW w:w="1300" w:type="pct"/>
            <w:shd w:val="clear" w:color="auto" w:fill="auto"/>
            <w:vAlign w:val="center"/>
          </w:tcPr>
          <w:p w14:paraId="694FD292">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汇景和园片区管网清疏修缮工程</w:t>
            </w:r>
          </w:p>
        </w:tc>
        <w:tc>
          <w:tcPr>
            <w:tcW w:w="400" w:type="pct"/>
            <w:shd w:val="clear" w:color="auto" w:fill="auto"/>
            <w:vAlign w:val="center"/>
          </w:tcPr>
          <w:p w14:paraId="71F9FF2F">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600</w:t>
            </w:r>
          </w:p>
        </w:tc>
        <w:tc>
          <w:tcPr>
            <w:tcW w:w="449" w:type="pct"/>
            <w:shd w:val="clear" w:color="auto" w:fill="auto"/>
            <w:vAlign w:val="center"/>
          </w:tcPr>
          <w:p w14:paraId="413EBE8A">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600</w:t>
            </w:r>
          </w:p>
        </w:tc>
        <w:tc>
          <w:tcPr>
            <w:tcW w:w="600" w:type="pct"/>
            <w:shd w:val="clear" w:color="auto" w:fill="auto"/>
            <w:vAlign w:val="center"/>
          </w:tcPr>
          <w:p w14:paraId="354D97B0">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655360D0">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00" w:type="pct"/>
            <w:vMerge w:val="continue"/>
            <w:shd w:val="clear" w:color="auto" w:fill="auto"/>
            <w:vAlign w:val="center"/>
          </w:tcPr>
          <w:p w14:paraId="1B92D9AA">
            <w:pPr>
              <w:jc w:val="left"/>
              <w:rPr>
                <w:rFonts w:cs="Times New Roman" w:eastAsiaTheme="minorEastAsia"/>
                <w:color w:val="000000"/>
                <w:kern w:val="0"/>
                <w:sz w:val="20"/>
                <w:szCs w:val="20"/>
              </w:rPr>
            </w:pPr>
          </w:p>
        </w:tc>
        <w:tc>
          <w:tcPr>
            <w:tcW w:w="350" w:type="pct"/>
            <w:shd w:val="clear" w:color="auto" w:fill="auto"/>
            <w:vAlign w:val="center"/>
          </w:tcPr>
          <w:p w14:paraId="364628FB">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681DA8AC">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0FF2A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89" w:type="pct"/>
            <w:shd w:val="clear" w:color="auto" w:fill="auto"/>
            <w:vAlign w:val="center"/>
          </w:tcPr>
          <w:p w14:paraId="1B9A4A03">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7</w:t>
            </w:r>
          </w:p>
        </w:tc>
        <w:tc>
          <w:tcPr>
            <w:tcW w:w="1300" w:type="pct"/>
            <w:shd w:val="clear" w:color="auto" w:fill="auto"/>
            <w:vAlign w:val="center"/>
          </w:tcPr>
          <w:p w14:paraId="387376B7">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银龙鑫苑片区管网清疏修缮工程</w:t>
            </w:r>
          </w:p>
        </w:tc>
        <w:tc>
          <w:tcPr>
            <w:tcW w:w="400" w:type="pct"/>
            <w:shd w:val="clear" w:color="auto" w:fill="auto"/>
            <w:vAlign w:val="center"/>
          </w:tcPr>
          <w:p w14:paraId="1B23DE7F">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1700</w:t>
            </w:r>
          </w:p>
        </w:tc>
        <w:tc>
          <w:tcPr>
            <w:tcW w:w="449" w:type="pct"/>
            <w:shd w:val="clear" w:color="auto" w:fill="auto"/>
            <w:vAlign w:val="center"/>
          </w:tcPr>
          <w:p w14:paraId="1126EDEE">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1CA4C6B2">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1700</w:t>
            </w:r>
          </w:p>
        </w:tc>
        <w:tc>
          <w:tcPr>
            <w:tcW w:w="600" w:type="pct"/>
            <w:shd w:val="clear" w:color="auto" w:fill="auto"/>
            <w:vAlign w:val="center"/>
          </w:tcPr>
          <w:p w14:paraId="38E75693">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00" w:type="pct"/>
            <w:vMerge w:val="continue"/>
            <w:shd w:val="clear" w:color="auto" w:fill="auto"/>
            <w:vAlign w:val="center"/>
          </w:tcPr>
          <w:p w14:paraId="0575EF84">
            <w:pPr>
              <w:jc w:val="left"/>
              <w:rPr>
                <w:rFonts w:cs="Times New Roman" w:eastAsiaTheme="minorEastAsia"/>
                <w:color w:val="000000"/>
                <w:kern w:val="0"/>
                <w:sz w:val="20"/>
                <w:szCs w:val="20"/>
              </w:rPr>
            </w:pPr>
          </w:p>
        </w:tc>
        <w:tc>
          <w:tcPr>
            <w:tcW w:w="350" w:type="pct"/>
            <w:shd w:val="clear" w:color="auto" w:fill="auto"/>
            <w:vAlign w:val="center"/>
          </w:tcPr>
          <w:p w14:paraId="5DE3DDA1">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630689E2">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3009E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289" w:type="pct"/>
            <w:shd w:val="clear" w:color="auto" w:fill="auto"/>
            <w:vAlign w:val="center"/>
          </w:tcPr>
          <w:p w14:paraId="623CB9F8">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8</w:t>
            </w:r>
          </w:p>
        </w:tc>
        <w:tc>
          <w:tcPr>
            <w:tcW w:w="1300" w:type="pct"/>
            <w:shd w:val="clear" w:color="auto" w:fill="auto"/>
            <w:vAlign w:val="center"/>
          </w:tcPr>
          <w:p w14:paraId="334F3068">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清水塘及外秦淮河流域管网清疏修缮工程</w:t>
            </w:r>
          </w:p>
        </w:tc>
        <w:tc>
          <w:tcPr>
            <w:tcW w:w="400" w:type="pct"/>
            <w:shd w:val="clear" w:color="auto" w:fill="auto"/>
            <w:vAlign w:val="center"/>
          </w:tcPr>
          <w:p w14:paraId="5674D32B">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6800</w:t>
            </w:r>
          </w:p>
        </w:tc>
        <w:tc>
          <w:tcPr>
            <w:tcW w:w="449" w:type="pct"/>
            <w:shd w:val="clear" w:color="auto" w:fill="auto"/>
            <w:vAlign w:val="center"/>
          </w:tcPr>
          <w:p w14:paraId="6A140706">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3400</w:t>
            </w:r>
          </w:p>
        </w:tc>
        <w:tc>
          <w:tcPr>
            <w:tcW w:w="600" w:type="pct"/>
            <w:shd w:val="clear" w:color="auto" w:fill="auto"/>
            <w:vAlign w:val="center"/>
          </w:tcPr>
          <w:p w14:paraId="4DFF7C33">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3400</w:t>
            </w:r>
          </w:p>
        </w:tc>
        <w:tc>
          <w:tcPr>
            <w:tcW w:w="600" w:type="pct"/>
            <w:shd w:val="clear" w:color="auto" w:fill="auto"/>
            <w:vAlign w:val="center"/>
          </w:tcPr>
          <w:p w14:paraId="740C369C">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00" w:type="pct"/>
            <w:vMerge w:val="continue"/>
            <w:shd w:val="clear" w:color="auto" w:fill="auto"/>
            <w:vAlign w:val="center"/>
          </w:tcPr>
          <w:p w14:paraId="67FB14A2">
            <w:pPr>
              <w:jc w:val="left"/>
              <w:rPr>
                <w:rFonts w:cs="Times New Roman" w:eastAsiaTheme="minorEastAsia"/>
                <w:color w:val="000000"/>
                <w:kern w:val="0"/>
                <w:sz w:val="20"/>
                <w:szCs w:val="20"/>
              </w:rPr>
            </w:pPr>
          </w:p>
        </w:tc>
        <w:tc>
          <w:tcPr>
            <w:tcW w:w="350" w:type="pct"/>
            <w:shd w:val="clear" w:color="auto" w:fill="auto"/>
            <w:vAlign w:val="center"/>
          </w:tcPr>
          <w:p w14:paraId="771BC1D7">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7DB5F534">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6DA47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89" w:type="pct"/>
            <w:shd w:val="clear" w:color="auto" w:fill="auto"/>
            <w:vAlign w:val="center"/>
          </w:tcPr>
          <w:p w14:paraId="2105D1C2">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9</w:t>
            </w:r>
          </w:p>
        </w:tc>
        <w:tc>
          <w:tcPr>
            <w:tcW w:w="1300" w:type="pct"/>
            <w:shd w:val="clear" w:color="auto" w:fill="auto"/>
            <w:vAlign w:val="center"/>
          </w:tcPr>
          <w:p w14:paraId="3B93D59B">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秦淮区棚户区管网清疏修缮</w:t>
            </w:r>
          </w:p>
        </w:tc>
        <w:tc>
          <w:tcPr>
            <w:tcW w:w="400" w:type="pct"/>
            <w:shd w:val="clear" w:color="auto" w:fill="auto"/>
            <w:vAlign w:val="center"/>
          </w:tcPr>
          <w:p w14:paraId="52B4DB03">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8000</w:t>
            </w:r>
          </w:p>
        </w:tc>
        <w:tc>
          <w:tcPr>
            <w:tcW w:w="449" w:type="pct"/>
            <w:shd w:val="clear" w:color="auto" w:fill="auto"/>
            <w:vAlign w:val="center"/>
          </w:tcPr>
          <w:p w14:paraId="5ED1775C">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273E2C5F">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287B0DA1">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8000</w:t>
            </w:r>
          </w:p>
        </w:tc>
        <w:tc>
          <w:tcPr>
            <w:tcW w:w="500" w:type="pct"/>
            <w:vMerge w:val="continue"/>
            <w:shd w:val="clear" w:color="auto" w:fill="auto"/>
            <w:vAlign w:val="center"/>
          </w:tcPr>
          <w:p w14:paraId="374BF9E1">
            <w:pPr>
              <w:jc w:val="left"/>
              <w:rPr>
                <w:rFonts w:cs="Times New Roman" w:eastAsiaTheme="minorEastAsia"/>
                <w:color w:val="000000"/>
                <w:kern w:val="0"/>
                <w:sz w:val="20"/>
                <w:szCs w:val="20"/>
              </w:rPr>
            </w:pPr>
          </w:p>
        </w:tc>
        <w:tc>
          <w:tcPr>
            <w:tcW w:w="350" w:type="pct"/>
            <w:shd w:val="clear" w:color="auto" w:fill="auto"/>
            <w:vAlign w:val="center"/>
          </w:tcPr>
          <w:p w14:paraId="788001B7">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2BECEAD3">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项目储备，待条件具备按批实施</w:t>
            </w:r>
          </w:p>
        </w:tc>
      </w:tr>
      <w:tr w14:paraId="6588B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89" w:type="pct"/>
            <w:shd w:val="clear" w:color="auto" w:fill="auto"/>
            <w:vAlign w:val="center"/>
          </w:tcPr>
          <w:p w14:paraId="18F570F8">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10</w:t>
            </w:r>
          </w:p>
        </w:tc>
        <w:tc>
          <w:tcPr>
            <w:tcW w:w="1300" w:type="pct"/>
            <w:shd w:val="clear" w:color="auto" w:fill="auto"/>
            <w:vAlign w:val="center"/>
          </w:tcPr>
          <w:p w14:paraId="3F5C9C8C">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秦淮区内秦淮河东段、中段第六批雨污水管网清疏修缮工程</w:t>
            </w:r>
          </w:p>
        </w:tc>
        <w:tc>
          <w:tcPr>
            <w:tcW w:w="400" w:type="pct"/>
            <w:shd w:val="clear" w:color="auto" w:fill="auto"/>
            <w:vAlign w:val="center"/>
          </w:tcPr>
          <w:p w14:paraId="6B7DBB05">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4700</w:t>
            </w:r>
          </w:p>
        </w:tc>
        <w:tc>
          <w:tcPr>
            <w:tcW w:w="449" w:type="pct"/>
            <w:shd w:val="clear" w:color="auto" w:fill="auto"/>
            <w:vAlign w:val="center"/>
          </w:tcPr>
          <w:p w14:paraId="68B6AE64">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6F58B14A">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4700</w:t>
            </w:r>
          </w:p>
        </w:tc>
        <w:tc>
          <w:tcPr>
            <w:tcW w:w="600" w:type="pct"/>
            <w:shd w:val="clear" w:color="auto" w:fill="auto"/>
            <w:vAlign w:val="center"/>
          </w:tcPr>
          <w:p w14:paraId="570A7A7C">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00" w:type="pct"/>
            <w:vMerge w:val="continue"/>
            <w:shd w:val="clear" w:color="auto" w:fill="auto"/>
            <w:vAlign w:val="center"/>
          </w:tcPr>
          <w:p w14:paraId="51415B5D">
            <w:pPr>
              <w:jc w:val="left"/>
              <w:rPr>
                <w:rFonts w:cs="Times New Roman" w:eastAsiaTheme="minorEastAsia"/>
                <w:color w:val="000000"/>
                <w:kern w:val="0"/>
                <w:sz w:val="20"/>
                <w:szCs w:val="20"/>
              </w:rPr>
            </w:pPr>
          </w:p>
        </w:tc>
        <w:tc>
          <w:tcPr>
            <w:tcW w:w="350" w:type="pct"/>
            <w:shd w:val="clear" w:color="auto" w:fill="auto"/>
            <w:vAlign w:val="center"/>
          </w:tcPr>
          <w:p w14:paraId="0D07EFE3">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6889F10A">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172E2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289" w:type="pct"/>
            <w:shd w:val="clear" w:color="auto" w:fill="auto"/>
            <w:vAlign w:val="center"/>
          </w:tcPr>
          <w:p w14:paraId="117D98F3">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11</w:t>
            </w:r>
          </w:p>
        </w:tc>
        <w:tc>
          <w:tcPr>
            <w:tcW w:w="1300" w:type="pct"/>
            <w:shd w:val="clear" w:color="auto" w:fill="auto"/>
            <w:vAlign w:val="center"/>
          </w:tcPr>
          <w:p w14:paraId="6A72E939">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秦淮区内秦淮河东段、中段第七批雨污水管网清疏修缮工程</w:t>
            </w:r>
          </w:p>
        </w:tc>
        <w:tc>
          <w:tcPr>
            <w:tcW w:w="400" w:type="pct"/>
            <w:shd w:val="clear" w:color="auto" w:fill="auto"/>
            <w:vAlign w:val="center"/>
          </w:tcPr>
          <w:p w14:paraId="4B34B3A2">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5700</w:t>
            </w:r>
          </w:p>
        </w:tc>
        <w:tc>
          <w:tcPr>
            <w:tcW w:w="449" w:type="pct"/>
            <w:shd w:val="clear" w:color="auto" w:fill="auto"/>
            <w:vAlign w:val="center"/>
          </w:tcPr>
          <w:p w14:paraId="51B217C2">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77573B80">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5700</w:t>
            </w:r>
          </w:p>
        </w:tc>
        <w:tc>
          <w:tcPr>
            <w:tcW w:w="600" w:type="pct"/>
            <w:shd w:val="clear" w:color="auto" w:fill="auto"/>
            <w:vAlign w:val="center"/>
          </w:tcPr>
          <w:p w14:paraId="774410D8">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00" w:type="pct"/>
            <w:vMerge w:val="continue"/>
            <w:shd w:val="clear" w:color="auto" w:fill="auto"/>
            <w:vAlign w:val="center"/>
          </w:tcPr>
          <w:p w14:paraId="4A35D5D8">
            <w:pPr>
              <w:widowControl/>
              <w:jc w:val="left"/>
              <w:rPr>
                <w:rFonts w:cs="Times New Roman" w:eastAsiaTheme="minorEastAsia"/>
                <w:color w:val="000000"/>
                <w:kern w:val="0"/>
                <w:sz w:val="20"/>
                <w:szCs w:val="20"/>
              </w:rPr>
            </w:pPr>
          </w:p>
        </w:tc>
        <w:tc>
          <w:tcPr>
            <w:tcW w:w="350" w:type="pct"/>
            <w:shd w:val="clear" w:color="auto" w:fill="auto"/>
            <w:vAlign w:val="center"/>
          </w:tcPr>
          <w:p w14:paraId="2D19A937">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64903CE5">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0AE68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89" w:type="pct"/>
            <w:shd w:val="clear" w:color="auto" w:fill="auto"/>
            <w:vAlign w:val="center"/>
          </w:tcPr>
          <w:p w14:paraId="52CDB889">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12</w:t>
            </w:r>
          </w:p>
        </w:tc>
        <w:tc>
          <w:tcPr>
            <w:tcW w:w="1300" w:type="pct"/>
            <w:shd w:val="clear" w:color="auto" w:fill="auto"/>
            <w:vAlign w:val="center"/>
          </w:tcPr>
          <w:p w14:paraId="28577477">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城市水务设施应急抢修抢险工程</w:t>
            </w:r>
          </w:p>
        </w:tc>
        <w:tc>
          <w:tcPr>
            <w:tcW w:w="400" w:type="pct"/>
            <w:shd w:val="clear" w:color="auto" w:fill="auto"/>
            <w:vAlign w:val="center"/>
          </w:tcPr>
          <w:p w14:paraId="316C39EC">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1200</w:t>
            </w:r>
          </w:p>
        </w:tc>
        <w:tc>
          <w:tcPr>
            <w:tcW w:w="449" w:type="pct"/>
            <w:shd w:val="clear" w:color="auto" w:fill="auto"/>
            <w:vAlign w:val="center"/>
          </w:tcPr>
          <w:p w14:paraId="204D6F2A">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3A88537A">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600</w:t>
            </w:r>
          </w:p>
        </w:tc>
        <w:tc>
          <w:tcPr>
            <w:tcW w:w="600" w:type="pct"/>
            <w:shd w:val="clear" w:color="auto" w:fill="auto"/>
            <w:vAlign w:val="center"/>
          </w:tcPr>
          <w:p w14:paraId="54098B7B">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600</w:t>
            </w:r>
          </w:p>
        </w:tc>
        <w:tc>
          <w:tcPr>
            <w:tcW w:w="500" w:type="pct"/>
            <w:shd w:val="clear" w:color="auto" w:fill="auto"/>
            <w:vAlign w:val="center"/>
          </w:tcPr>
          <w:p w14:paraId="11A1A9EE">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应急抢险</w:t>
            </w:r>
          </w:p>
        </w:tc>
        <w:tc>
          <w:tcPr>
            <w:tcW w:w="350" w:type="pct"/>
            <w:shd w:val="clear" w:color="auto" w:fill="auto"/>
            <w:vAlign w:val="center"/>
          </w:tcPr>
          <w:p w14:paraId="66E096EC">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7A7A65AB">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6CC62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9" w:type="pct"/>
            <w:shd w:val="clear" w:color="auto" w:fill="auto"/>
            <w:vAlign w:val="center"/>
          </w:tcPr>
          <w:p w14:paraId="7134FF48">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合计：</w:t>
            </w:r>
          </w:p>
        </w:tc>
        <w:tc>
          <w:tcPr>
            <w:tcW w:w="1300" w:type="pct"/>
            <w:shd w:val="clear" w:color="auto" w:fill="auto"/>
            <w:vAlign w:val="center"/>
          </w:tcPr>
          <w:p w14:paraId="4E2C0596">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400" w:type="pct"/>
            <w:shd w:val="clear" w:color="auto" w:fill="auto"/>
            <w:vAlign w:val="center"/>
          </w:tcPr>
          <w:p w14:paraId="673D4B39">
            <w:pPr>
              <w:widowControl/>
              <w:jc w:val="center"/>
              <w:rPr>
                <w:rFonts w:cs="Times New Roman" w:eastAsiaTheme="minorEastAsia"/>
                <w:b/>
                <w:bCs/>
                <w:color w:val="000000"/>
                <w:kern w:val="0"/>
                <w:sz w:val="20"/>
                <w:szCs w:val="20"/>
              </w:rPr>
            </w:pPr>
            <w:r>
              <w:rPr>
                <w:rFonts w:cs="Times New Roman" w:eastAsiaTheme="minorEastAsia"/>
                <w:b/>
                <w:bCs/>
                <w:color w:val="000000"/>
                <w:kern w:val="0"/>
                <w:sz w:val="20"/>
                <w:szCs w:val="20"/>
              </w:rPr>
              <w:t>57500</w:t>
            </w:r>
          </w:p>
        </w:tc>
        <w:tc>
          <w:tcPr>
            <w:tcW w:w="449" w:type="pct"/>
            <w:shd w:val="clear" w:color="auto" w:fill="auto"/>
            <w:vAlign w:val="center"/>
          </w:tcPr>
          <w:p w14:paraId="68A575FA">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01B5E982">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3382AB9A">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00" w:type="pct"/>
            <w:shd w:val="clear" w:color="auto" w:fill="auto"/>
            <w:vAlign w:val="center"/>
          </w:tcPr>
          <w:p w14:paraId="1FB7F06F">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350" w:type="pct"/>
            <w:shd w:val="clear" w:color="auto" w:fill="auto"/>
            <w:vAlign w:val="center"/>
          </w:tcPr>
          <w:p w14:paraId="32AF4BA6">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66DC8A28">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435B7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89" w:type="pct"/>
            <w:shd w:val="clear" w:color="auto" w:fill="auto"/>
            <w:vAlign w:val="center"/>
          </w:tcPr>
          <w:p w14:paraId="4F9FCA13">
            <w:pPr>
              <w:widowControl/>
              <w:jc w:val="center"/>
              <w:rPr>
                <w:rFonts w:cs="Times New Roman" w:eastAsiaTheme="minorEastAsia"/>
                <w:b/>
                <w:bCs/>
                <w:color w:val="000000"/>
                <w:kern w:val="0"/>
                <w:sz w:val="20"/>
                <w:szCs w:val="20"/>
              </w:rPr>
            </w:pPr>
            <w:r>
              <w:rPr>
                <w:rFonts w:cs="Times New Roman" w:eastAsiaTheme="minorEastAsia"/>
                <w:b/>
                <w:bCs/>
                <w:color w:val="000000"/>
                <w:kern w:val="0"/>
                <w:sz w:val="20"/>
                <w:szCs w:val="20"/>
              </w:rPr>
              <w:t>四</w:t>
            </w:r>
          </w:p>
        </w:tc>
        <w:tc>
          <w:tcPr>
            <w:tcW w:w="1300" w:type="pct"/>
            <w:shd w:val="clear" w:color="auto" w:fill="auto"/>
            <w:vAlign w:val="center"/>
          </w:tcPr>
          <w:p w14:paraId="04239EA8">
            <w:pPr>
              <w:widowControl/>
              <w:jc w:val="center"/>
              <w:rPr>
                <w:rFonts w:cs="Times New Roman" w:eastAsiaTheme="minorEastAsia"/>
                <w:b/>
                <w:bCs/>
                <w:color w:val="000000"/>
                <w:kern w:val="0"/>
                <w:sz w:val="20"/>
                <w:szCs w:val="20"/>
              </w:rPr>
            </w:pPr>
            <w:r>
              <w:rPr>
                <w:rFonts w:cs="Times New Roman" w:eastAsiaTheme="minorEastAsia"/>
                <w:b/>
                <w:bCs/>
                <w:color w:val="000000"/>
                <w:kern w:val="0"/>
                <w:sz w:val="20"/>
                <w:szCs w:val="20"/>
              </w:rPr>
              <w:t>河湖水生态保护修复工程</w:t>
            </w:r>
          </w:p>
        </w:tc>
        <w:tc>
          <w:tcPr>
            <w:tcW w:w="400" w:type="pct"/>
            <w:shd w:val="clear" w:color="auto" w:fill="auto"/>
            <w:vAlign w:val="center"/>
          </w:tcPr>
          <w:p w14:paraId="1E52368C">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449" w:type="pct"/>
            <w:shd w:val="clear" w:color="auto" w:fill="auto"/>
            <w:vAlign w:val="center"/>
          </w:tcPr>
          <w:p w14:paraId="41054869">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128793ED">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1F4D993D">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00" w:type="pct"/>
            <w:shd w:val="clear" w:color="auto" w:fill="auto"/>
            <w:vAlign w:val="center"/>
          </w:tcPr>
          <w:p w14:paraId="05FE095A">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350" w:type="pct"/>
            <w:shd w:val="clear" w:color="auto" w:fill="auto"/>
            <w:vAlign w:val="center"/>
          </w:tcPr>
          <w:p w14:paraId="75C0F066">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0A674312">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6D3A2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89" w:type="pct"/>
            <w:shd w:val="clear" w:color="auto" w:fill="auto"/>
            <w:vAlign w:val="center"/>
          </w:tcPr>
          <w:p w14:paraId="6C8512B0">
            <w:pPr>
              <w:widowControl/>
              <w:jc w:val="center"/>
              <w:rPr>
                <w:rFonts w:cs="Times New Roman" w:eastAsiaTheme="minorEastAsia"/>
                <w:b/>
                <w:bCs/>
                <w:color w:val="000000"/>
                <w:kern w:val="0"/>
                <w:sz w:val="20"/>
                <w:szCs w:val="20"/>
              </w:rPr>
            </w:pPr>
            <w:r>
              <w:rPr>
                <w:rFonts w:cs="Times New Roman" w:eastAsiaTheme="minorEastAsia"/>
                <w:b/>
                <w:bCs/>
                <w:color w:val="000000"/>
                <w:kern w:val="0"/>
                <w:sz w:val="20"/>
                <w:szCs w:val="20"/>
              </w:rPr>
              <w:t>（一）</w:t>
            </w:r>
          </w:p>
        </w:tc>
        <w:tc>
          <w:tcPr>
            <w:tcW w:w="1300" w:type="pct"/>
            <w:shd w:val="clear" w:color="auto" w:fill="auto"/>
            <w:vAlign w:val="center"/>
          </w:tcPr>
          <w:p w14:paraId="617C0141">
            <w:pPr>
              <w:widowControl/>
              <w:jc w:val="center"/>
              <w:rPr>
                <w:rFonts w:cs="Times New Roman" w:eastAsiaTheme="minorEastAsia"/>
                <w:b/>
                <w:bCs/>
                <w:color w:val="000000"/>
                <w:kern w:val="0"/>
                <w:sz w:val="20"/>
                <w:szCs w:val="20"/>
              </w:rPr>
            </w:pPr>
            <w:r>
              <w:rPr>
                <w:rFonts w:cs="Times New Roman" w:eastAsiaTheme="minorEastAsia"/>
                <w:b/>
                <w:bCs/>
                <w:color w:val="000000"/>
                <w:kern w:val="0"/>
                <w:sz w:val="20"/>
                <w:szCs w:val="20"/>
              </w:rPr>
              <w:t>河湖生态修复</w:t>
            </w:r>
          </w:p>
        </w:tc>
        <w:tc>
          <w:tcPr>
            <w:tcW w:w="400" w:type="pct"/>
            <w:shd w:val="clear" w:color="auto" w:fill="auto"/>
            <w:vAlign w:val="center"/>
          </w:tcPr>
          <w:p w14:paraId="1CD4D07B">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449" w:type="pct"/>
            <w:shd w:val="clear" w:color="auto" w:fill="auto"/>
            <w:vAlign w:val="center"/>
          </w:tcPr>
          <w:p w14:paraId="29928B52">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0D7CF1AE">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2A1F12D5">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00" w:type="pct"/>
            <w:shd w:val="clear" w:color="auto" w:fill="auto"/>
            <w:vAlign w:val="center"/>
          </w:tcPr>
          <w:p w14:paraId="06FC02C3">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350" w:type="pct"/>
            <w:shd w:val="clear" w:color="auto" w:fill="auto"/>
            <w:vAlign w:val="center"/>
          </w:tcPr>
          <w:p w14:paraId="4217FE04">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3740A09E">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09DF8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89" w:type="pct"/>
            <w:shd w:val="clear" w:color="000000" w:fill="FFFFFF"/>
            <w:vAlign w:val="center"/>
          </w:tcPr>
          <w:p w14:paraId="7249454C">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1</w:t>
            </w:r>
          </w:p>
        </w:tc>
        <w:tc>
          <w:tcPr>
            <w:tcW w:w="1300" w:type="pct"/>
            <w:shd w:val="clear" w:color="000000" w:fill="FFFFFF"/>
            <w:vAlign w:val="center"/>
          </w:tcPr>
          <w:p w14:paraId="45731D12">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开展重点河湖生态水位与水量评估工作</w:t>
            </w:r>
          </w:p>
        </w:tc>
        <w:tc>
          <w:tcPr>
            <w:tcW w:w="400" w:type="pct"/>
            <w:shd w:val="clear" w:color="000000" w:fill="FFFFFF"/>
            <w:vAlign w:val="center"/>
          </w:tcPr>
          <w:p w14:paraId="34633F95">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100</w:t>
            </w:r>
          </w:p>
        </w:tc>
        <w:tc>
          <w:tcPr>
            <w:tcW w:w="449" w:type="pct"/>
            <w:shd w:val="clear" w:color="000000" w:fill="FFFFFF"/>
            <w:vAlign w:val="center"/>
          </w:tcPr>
          <w:p w14:paraId="20C40064">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000000" w:fill="FFFFFF"/>
            <w:vAlign w:val="center"/>
          </w:tcPr>
          <w:p w14:paraId="569465D9">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000000" w:fill="FFFFFF"/>
            <w:vAlign w:val="center"/>
          </w:tcPr>
          <w:p w14:paraId="73EEA789">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100</w:t>
            </w:r>
          </w:p>
        </w:tc>
        <w:tc>
          <w:tcPr>
            <w:tcW w:w="500" w:type="pct"/>
            <w:shd w:val="clear" w:color="000000" w:fill="FFFFFF"/>
            <w:vAlign w:val="center"/>
          </w:tcPr>
          <w:p w14:paraId="42D19E70">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生态水位流量评估　</w:t>
            </w:r>
          </w:p>
        </w:tc>
        <w:tc>
          <w:tcPr>
            <w:tcW w:w="350" w:type="pct"/>
            <w:shd w:val="clear" w:color="000000" w:fill="FFFFFF"/>
            <w:vAlign w:val="center"/>
          </w:tcPr>
          <w:p w14:paraId="28F7FE60">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000000" w:fill="FFFFFF"/>
            <w:vAlign w:val="center"/>
          </w:tcPr>
          <w:p w14:paraId="6785693A">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0DFAB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89" w:type="pct"/>
            <w:shd w:val="clear" w:color="auto" w:fill="auto"/>
            <w:vAlign w:val="center"/>
          </w:tcPr>
          <w:p w14:paraId="5C6C14B2">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2</w:t>
            </w:r>
          </w:p>
        </w:tc>
        <w:tc>
          <w:tcPr>
            <w:tcW w:w="1300" w:type="pct"/>
            <w:shd w:val="clear" w:color="auto" w:fill="auto"/>
            <w:vAlign w:val="center"/>
          </w:tcPr>
          <w:p w14:paraId="5A88D819">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推进河湖健康评估工作（内秦淮河中段、友谊河、十字河、青年河、红花河等）</w:t>
            </w:r>
          </w:p>
        </w:tc>
        <w:tc>
          <w:tcPr>
            <w:tcW w:w="400" w:type="pct"/>
            <w:shd w:val="clear" w:color="auto" w:fill="auto"/>
            <w:vAlign w:val="center"/>
          </w:tcPr>
          <w:p w14:paraId="5A43247B">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200</w:t>
            </w:r>
          </w:p>
        </w:tc>
        <w:tc>
          <w:tcPr>
            <w:tcW w:w="449" w:type="pct"/>
            <w:shd w:val="clear" w:color="auto" w:fill="auto"/>
            <w:vAlign w:val="center"/>
          </w:tcPr>
          <w:p w14:paraId="78ACC3B8">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50</w:t>
            </w:r>
          </w:p>
        </w:tc>
        <w:tc>
          <w:tcPr>
            <w:tcW w:w="600" w:type="pct"/>
            <w:shd w:val="clear" w:color="auto" w:fill="auto"/>
            <w:vAlign w:val="center"/>
          </w:tcPr>
          <w:p w14:paraId="11F4A434">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50</w:t>
            </w:r>
          </w:p>
        </w:tc>
        <w:tc>
          <w:tcPr>
            <w:tcW w:w="600" w:type="pct"/>
            <w:shd w:val="clear" w:color="auto" w:fill="auto"/>
            <w:vAlign w:val="center"/>
          </w:tcPr>
          <w:p w14:paraId="69256634">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100</w:t>
            </w:r>
          </w:p>
        </w:tc>
        <w:tc>
          <w:tcPr>
            <w:tcW w:w="500" w:type="pct"/>
            <w:shd w:val="clear" w:color="auto" w:fill="auto"/>
            <w:vAlign w:val="center"/>
          </w:tcPr>
          <w:p w14:paraId="5A33B955">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河湖健康评估</w:t>
            </w:r>
          </w:p>
        </w:tc>
        <w:tc>
          <w:tcPr>
            <w:tcW w:w="350" w:type="pct"/>
            <w:shd w:val="clear" w:color="auto" w:fill="auto"/>
            <w:vAlign w:val="center"/>
          </w:tcPr>
          <w:p w14:paraId="03BB9FAB">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5DAF284D">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0E489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9" w:type="pct"/>
            <w:shd w:val="clear" w:color="auto" w:fill="auto"/>
            <w:vAlign w:val="center"/>
          </w:tcPr>
          <w:p w14:paraId="478E6A79">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合计：</w:t>
            </w:r>
          </w:p>
        </w:tc>
        <w:tc>
          <w:tcPr>
            <w:tcW w:w="1300" w:type="pct"/>
            <w:shd w:val="clear" w:color="auto" w:fill="auto"/>
            <w:vAlign w:val="center"/>
          </w:tcPr>
          <w:p w14:paraId="6F73F6C5">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400" w:type="pct"/>
            <w:shd w:val="clear" w:color="auto" w:fill="auto"/>
            <w:vAlign w:val="center"/>
          </w:tcPr>
          <w:p w14:paraId="70936465">
            <w:pPr>
              <w:widowControl/>
              <w:jc w:val="center"/>
              <w:rPr>
                <w:rFonts w:cs="Times New Roman" w:eastAsiaTheme="minorEastAsia"/>
                <w:b/>
                <w:bCs/>
                <w:color w:val="000000"/>
                <w:kern w:val="0"/>
                <w:sz w:val="20"/>
                <w:szCs w:val="20"/>
              </w:rPr>
            </w:pPr>
            <w:r>
              <w:rPr>
                <w:rFonts w:cs="Times New Roman" w:eastAsiaTheme="minorEastAsia"/>
                <w:b/>
                <w:bCs/>
                <w:color w:val="000000"/>
                <w:kern w:val="0"/>
                <w:sz w:val="20"/>
                <w:szCs w:val="20"/>
              </w:rPr>
              <w:t>300</w:t>
            </w:r>
          </w:p>
        </w:tc>
        <w:tc>
          <w:tcPr>
            <w:tcW w:w="449" w:type="pct"/>
            <w:shd w:val="clear" w:color="auto" w:fill="auto"/>
            <w:vAlign w:val="center"/>
          </w:tcPr>
          <w:p w14:paraId="1C10BCAF">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766599EF">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712BF96B">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00" w:type="pct"/>
            <w:shd w:val="clear" w:color="auto" w:fill="auto"/>
            <w:vAlign w:val="center"/>
          </w:tcPr>
          <w:p w14:paraId="5E0D93FB">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350" w:type="pct"/>
            <w:shd w:val="clear" w:color="auto" w:fill="auto"/>
            <w:vAlign w:val="center"/>
          </w:tcPr>
          <w:p w14:paraId="4A1BE09B">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6F4174BE">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37662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89" w:type="pct"/>
            <w:shd w:val="clear" w:color="auto" w:fill="auto"/>
            <w:vAlign w:val="center"/>
          </w:tcPr>
          <w:p w14:paraId="6113597A">
            <w:pPr>
              <w:widowControl/>
              <w:jc w:val="center"/>
              <w:rPr>
                <w:rFonts w:cs="Times New Roman" w:eastAsiaTheme="minorEastAsia"/>
                <w:b/>
                <w:bCs/>
                <w:color w:val="000000"/>
                <w:kern w:val="0"/>
                <w:sz w:val="20"/>
                <w:szCs w:val="20"/>
              </w:rPr>
            </w:pPr>
            <w:r>
              <w:rPr>
                <w:rFonts w:cs="Times New Roman" w:eastAsiaTheme="minorEastAsia"/>
                <w:b/>
                <w:bCs/>
                <w:color w:val="000000"/>
                <w:kern w:val="0"/>
                <w:sz w:val="20"/>
                <w:szCs w:val="20"/>
              </w:rPr>
              <w:t>（二）</w:t>
            </w:r>
          </w:p>
        </w:tc>
        <w:tc>
          <w:tcPr>
            <w:tcW w:w="1300" w:type="pct"/>
            <w:shd w:val="clear" w:color="auto" w:fill="auto"/>
            <w:vAlign w:val="center"/>
          </w:tcPr>
          <w:p w14:paraId="2A0B70C7">
            <w:pPr>
              <w:widowControl/>
              <w:jc w:val="center"/>
              <w:rPr>
                <w:rFonts w:cs="Times New Roman" w:eastAsiaTheme="minorEastAsia"/>
                <w:b/>
                <w:bCs/>
                <w:color w:val="000000"/>
                <w:kern w:val="0"/>
                <w:sz w:val="20"/>
                <w:szCs w:val="20"/>
              </w:rPr>
            </w:pPr>
            <w:r>
              <w:rPr>
                <w:rFonts w:cs="Times New Roman" w:eastAsiaTheme="minorEastAsia"/>
                <w:b/>
                <w:bCs/>
                <w:color w:val="000000"/>
                <w:kern w:val="0"/>
                <w:sz w:val="20"/>
                <w:szCs w:val="20"/>
              </w:rPr>
              <w:t>美丽幸福河湖建设</w:t>
            </w:r>
          </w:p>
        </w:tc>
        <w:tc>
          <w:tcPr>
            <w:tcW w:w="400" w:type="pct"/>
            <w:shd w:val="clear" w:color="auto" w:fill="auto"/>
            <w:vAlign w:val="center"/>
          </w:tcPr>
          <w:p w14:paraId="7CFA1DC9">
            <w:pPr>
              <w:widowControl/>
              <w:jc w:val="center"/>
              <w:rPr>
                <w:rFonts w:cs="Times New Roman" w:eastAsiaTheme="minorEastAsia"/>
                <w:b/>
                <w:bCs/>
                <w:color w:val="000000"/>
                <w:kern w:val="0"/>
                <w:sz w:val="20"/>
                <w:szCs w:val="20"/>
              </w:rPr>
            </w:pPr>
            <w:r>
              <w:rPr>
                <w:rFonts w:cs="Times New Roman" w:eastAsiaTheme="minorEastAsia"/>
                <w:b/>
                <w:bCs/>
                <w:color w:val="000000"/>
                <w:kern w:val="0"/>
                <w:sz w:val="20"/>
                <w:szCs w:val="20"/>
              </w:rPr>
              <w:t>　</w:t>
            </w:r>
          </w:p>
        </w:tc>
        <w:tc>
          <w:tcPr>
            <w:tcW w:w="449" w:type="pct"/>
            <w:shd w:val="clear" w:color="auto" w:fill="auto"/>
            <w:vAlign w:val="center"/>
          </w:tcPr>
          <w:p w14:paraId="7657E715">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1C5D469A">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5A833435">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00" w:type="pct"/>
            <w:shd w:val="clear" w:color="auto" w:fill="auto"/>
            <w:vAlign w:val="center"/>
          </w:tcPr>
          <w:p w14:paraId="70A08B6A">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350" w:type="pct"/>
            <w:shd w:val="clear" w:color="auto" w:fill="auto"/>
            <w:vAlign w:val="center"/>
          </w:tcPr>
          <w:p w14:paraId="252F999C">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0480258F">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30A5F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289" w:type="pct"/>
            <w:shd w:val="clear" w:color="auto" w:fill="auto"/>
            <w:vAlign w:val="center"/>
          </w:tcPr>
          <w:p w14:paraId="280F6569">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1</w:t>
            </w:r>
          </w:p>
        </w:tc>
        <w:tc>
          <w:tcPr>
            <w:tcW w:w="1300" w:type="pct"/>
            <w:shd w:val="clear" w:color="auto" w:fill="auto"/>
            <w:vAlign w:val="center"/>
          </w:tcPr>
          <w:p w14:paraId="017290F1">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打造月牙湖、红花河、西玉带河（秦淮段）、外秦淮河七里街、外秦淮河副支幸福河湖样板</w:t>
            </w:r>
          </w:p>
        </w:tc>
        <w:tc>
          <w:tcPr>
            <w:tcW w:w="400" w:type="pct"/>
            <w:shd w:val="clear" w:color="auto" w:fill="auto"/>
            <w:vAlign w:val="center"/>
          </w:tcPr>
          <w:p w14:paraId="540F1BB6">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4250</w:t>
            </w:r>
          </w:p>
        </w:tc>
        <w:tc>
          <w:tcPr>
            <w:tcW w:w="449" w:type="pct"/>
            <w:shd w:val="clear" w:color="auto" w:fill="auto"/>
            <w:vAlign w:val="center"/>
          </w:tcPr>
          <w:p w14:paraId="5A9B22DD">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66D735C6">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3000</w:t>
            </w:r>
          </w:p>
        </w:tc>
        <w:tc>
          <w:tcPr>
            <w:tcW w:w="600" w:type="pct"/>
            <w:shd w:val="clear" w:color="auto" w:fill="auto"/>
            <w:vAlign w:val="center"/>
          </w:tcPr>
          <w:p w14:paraId="245A109D">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1250</w:t>
            </w:r>
          </w:p>
        </w:tc>
        <w:tc>
          <w:tcPr>
            <w:tcW w:w="500" w:type="pct"/>
            <w:shd w:val="clear" w:color="auto" w:fill="auto"/>
            <w:vAlign w:val="center"/>
          </w:tcPr>
          <w:p w14:paraId="5CCA0239">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xml:space="preserve"> 治理建设类</w:t>
            </w:r>
          </w:p>
        </w:tc>
        <w:tc>
          <w:tcPr>
            <w:tcW w:w="350" w:type="pct"/>
            <w:shd w:val="clear" w:color="auto" w:fill="auto"/>
            <w:vAlign w:val="center"/>
          </w:tcPr>
          <w:p w14:paraId="6F8AC40D">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404EF26A">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结合河长制公园创建</w:t>
            </w:r>
          </w:p>
        </w:tc>
      </w:tr>
      <w:tr w14:paraId="63111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289" w:type="pct"/>
            <w:shd w:val="clear" w:color="auto" w:fill="auto"/>
            <w:vAlign w:val="center"/>
          </w:tcPr>
          <w:p w14:paraId="40FC8F6D">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2</w:t>
            </w:r>
          </w:p>
        </w:tc>
        <w:tc>
          <w:tcPr>
            <w:tcW w:w="1300" w:type="pct"/>
            <w:shd w:val="clear" w:color="auto" w:fill="auto"/>
            <w:vAlign w:val="center"/>
          </w:tcPr>
          <w:p w14:paraId="4EA58593">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内秦淮河南段、内秦淮河中段、内秦淮河东段、运粮河、友谊河（秦淮段）、明御河、东玉带河（秦淮段）、响水河、清水塘、撇洪沟（秦淮段）、南部新城水系等幸福河湖创建</w:t>
            </w:r>
          </w:p>
        </w:tc>
        <w:tc>
          <w:tcPr>
            <w:tcW w:w="400" w:type="pct"/>
            <w:shd w:val="clear" w:color="auto" w:fill="auto"/>
            <w:vAlign w:val="center"/>
          </w:tcPr>
          <w:p w14:paraId="60E1550E">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300</w:t>
            </w:r>
          </w:p>
        </w:tc>
        <w:tc>
          <w:tcPr>
            <w:tcW w:w="449" w:type="pct"/>
            <w:shd w:val="clear" w:color="auto" w:fill="auto"/>
            <w:vAlign w:val="center"/>
          </w:tcPr>
          <w:p w14:paraId="4957DD17">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7E456AC7">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200</w:t>
            </w:r>
          </w:p>
        </w:tc>
        <w:tc>
          <w:tcPr>
            <w:tcW w:w="600" w:type="pct"/>
            <w:shd w:val="clear" w:color="auto" w:fill="auto"/>
            <w:vAlign w:val="center"/>
          </w:tcPr>
          <w:p w14:paraId="51B6CB8E">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100</w:t>
            </w:r>
          </w:p>
        </w:tc>
        <w:tc>
          <w:tcPr>
            <w:tcW w:w="500" w:type="pct"/>
            <w:shd w:val="clear" w:color="auto" w:fill="auto"/>
            <w:vAlign w:val="center"/>
          </w:tcPr>
          <w:p w14:paraId="7A34989B">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管理提升类</w:t>
            </w:r>
          </w:p>
        </w:tc>
        <w:tc>
          <w:tcPr>
            <w:tcW w:w="350" w:type="pct"/>
            <w:shd w:val="clear" w:color="auto" w:fill="auto"/>
            <w:vAlign w:val="center"/>
          </w:tcPr>
          <w:p w14:paraId="1A6C3FC1">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44675441">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结合河长制公园创建</w:t>
            </w:r>
          </w:p>
        </w:tc>
      </w:tr>
      <w:tr w14:paraId="5A21D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9" w:type="pct"/>
            <w:shd w:val="clear" w:color="auto" w:fill="auto"/>
            <w:vAlign w:val="center"/>
          </w:tcPr>
          <w:p w14:paraId="74537F4B">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合计：</w:t>
            </w:r>
          </w:p>
        </w:tc>
        <w:tc>
          <w:tcPr>
            <w:tcW w:w="1300" w:type="pct"/>
            <w:shd w:val="clear" w:color="auto" w:fill="auto"/>
            <w:vAlign w:val="center"/>
          </w:tcPr>
          <w:p w14:paraId="3968202F">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400" w:type="pct"/>
            <w:shd w:val="clear" w:color="auto" w:fill="auto"/>
            <w:vAlign w:val="center"/>
          </w:tcPr>
          <w:p w14:paraId="6124C8B3">
            <w:pPr>
              <w:widowControl/>
              <w:jc w:val="center"/>
              <w:rPr>
                <w:rFonts w:cs="Times New Roman" w:eastAsiaTheme="minorEastAsia"/>
                <w:b/>
                <w:bCs/>
                <w:color w:val="000000"/>
                <w:kern w:val="0"/>
                <w:sz w:val="20"/>
                <w:szCs w:val="20"/>
              </w:rPr>
            </w:pPr>
            <w:r>
              <w:rPr>
                <w:rFonts w:cs="Times New Roman" w:eastAsiaTheme="minorEastAsia"/>
                <w:b/>
                <w:bCs/>
                <w:color w:val="000000"/>
                <w:kern w:val="0"/>
                <w:sz w:val="20"/>
                <w:szCs w:val="20"/>
              </w:rPr>
              <w:t>4550</w:t>
            </w:r>
          </w:p>
        </w:tc>
        <w:tc>
          <w:tcPr>
            <w:tcW w:w="449" w:type="pct"/>
            <w:shd w:val="clear" w:color="auto" w:fill="auto"/>
            <w:vAlign w:val="center"/>
          </w:tcPr>
          <w:p w14:paraId="6E25040C">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5923EDD4">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4A99F5AC">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00" w:type="pct"/>
            <w:shd w:val="clear" w:color="auto" w:fill="auto"/>
            <w:vAlign w:val="center"/>
          </w:tcPr>
          <w:p w14:paraId="163B864D">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350" w:type="pct"/>
            <w:shd w:val="clear" w:color="auto" w:fill="auto"/>
            <w:vAlign w:val="center"/>
          </w:tcPr>
          <w:p w14:paraId="1E8DE235">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10362FFD">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76A87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89" w:type="pct"/>
            <w:shd w:val="clear" w:color="auto" w:fill="auto"/>
            <w:vAlign w:val="center"/>
          </w:tcPr>
          <w:p w14:paraId="4BEDB949">
            <w:pPr>
              <w:widowControl/>
              <w:jc w:val="center"/>
              <w:rPr>
                <w:rFonts w:cs="Times New Roman" w:eastAsiaTheme="minorEastAsia"/>
                <w:b/>
                <w:bCs/>
                <w:color w:val="000000"/>
                <w:kern w:val="0"/>
                <w:sz w:val="20"/>
                <w:szCs w:val="20"/>
              </w:rPr>
            </w:pPr>
            <w:r>
              <w:rPr>
                <w:rFonts w:cs="Times New Roman" w:eastAsiaTheme="minorEastAsia"/>
                <w:b/>
                <w:bCs/>
                <w:color w:val="000000"/>
                <w:kern w:val="0"/>
                <w:sz w:val="20"/>
                <w:szCs w:val="20"/>
              </w:rPr>
              <w:t>（三）</w:t>
            </w:r>
          </w:p>
        </w:tc>
        <w:tc>
          <w:tcPr>
            <w:tcW w:w="1300" w:type="pct"/>
            <w:shd w:val="clear" w:color="auto" w:fill="auto"/>
            <w:vAlign w:val="center"/>
          </w:tcPr>
          <w:p w14:paraId="28CA87D3">
            <w:pPr>
              <w:widowControl/>
              <w:jc w:val="center"/>
              <w:rPr>
                <w:rFonts w:cs="Times New Roman" w:eastAsiaTheme="minorEastAsia"/>
                <w:b/>
                <w:bCs/>
                <w:color w:val="000000"/>
                <w:kern w:val="0"/>
                <w:sz w:val="20"/>
                <w:szCs w:val="20"/>
              </w:rPr>
            </w:pPr>
            <w:r>
              <w:rPr>
                <w:rFonts w:cs="Times New Roman" w:eastAsiaTheme="minorEastAsia"/>
                <w:b/>
                <w:bCs/>
                <w:color w:val="000000"/>
                <w:kern w:val="0"/>
                <w:sz w:val="20"/>
                <w:szCs w:val="20"/>
              </w:rPr>
              <w:t>水土保持工作</w:t>
            </w:r>
          </w:p>
        </w:tc>
        <w:tc>
          <w:tcPr>
            <w:tcW w:w="400" w:type="pct"/>
            <w:shd w:val="clear" w:color="auto" w:fill="auto"/>
            <w:vAlign w:val="center"/>
          </w:tcPr>
          <w:p w14:paraId="269334E3">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449" w:type="pct"/>
            <w:shd w:val="clear" w:color="auto" w:fill="auto"/>
            <w:vAlign w:val="center"/>
          </w:tcPr>
          <w:p w14:paraId="66A88266">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776F38B4">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6A57B03B">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00" w:type="pct"/>
            <w:shd w:val="clear" w:color="auto" w:fill="auto"/>
            <w:vAlign w:val="center"/>
          </w:tcPr>
          <w:p w14:paraId="409B13C9">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350" w:type="pct"/>
            <w:shd w:val="clear" w:color="auto" w:fill="auto"/>
            <w:vAlign w:val="center"/>
          </w:tcPr>
          <w:p w14:paraId="17A57AE9">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0E2AED80">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333F2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289" w:type="pct"/>
            <w:vMerge w:val="restart"/>
            <w:shd w:val="clear" w:color="auto" w:fill="auto"/>
            <w:vAlign w:val="center"/>
          </w:tcPr>
          <w:p w14:paraId="20D28662">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1</w:t>
            </w:r>
          </w:p>
        </w:tc>
        <w:tc>
          <w:tcPr>
            <w:tcW w:w="1300" w:type="pct"/>
            <w:shd w:val="clear" w:color="auto" w:fill="auto"/>
            <w:vAlign w:val="center"/>
          </w:tcPr>
          <w:p w14:paraId="5DC735E3">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水土保持监管制度体系完善</w:t>
            </w:r>
          </w:p>
        </w:tc>
        <w:tc>
          <w:tcPr>
            <w:tcW w:w="400" w:type="pct"/>
            <w:vMerge w:val="restart"/>
            <w:shd w:val="clear" w:color="auto" w:fill="auto"/>
            <w:vAlign w:val="center"/>
          </w:tcPr>
          <w:p w14:paraId="3953A5F6">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1000</w:t>
            </w:r>
          </w:p>
        </w:tc>
        <w:tc>
          <w:tcPr>
            <w:tcW w:w="449" w:type="pct"/>
            <w:vMerge w:val="restart"/>
            <w:shd w:val="clear" w:color="auto" w:fill="auto"/>
            <w:vAlign w:val="center"/>
          </w:tcPr>
          <w:p w14:paraId="46206A25">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vMerge w:val="restart"/>
            <w:shd w:val="clear" w:color="auto" w:fill="auto"/>
            <w:vAlign w:val="center"/>
          </w:tcPr>
          <w:p w14:paraId="115FA21E">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vMerge w:val="restart"/>
            <w:shd w:val="clear" w:color="auto" w:fill="auto"/>
            <w:vAlign w:val="center"/>
          </w:tcPr>
          <w:p w14:paraId="2AA1B2A0">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1000</w:t>
            </w:r>
          </w:p>
        </w:tc>
        <w:tc>
          <w:tcPr>
            <w:tcW w:w="500" w:type="pct"/>
            <w:vMerge w:val="restart"/>
            <w:shd w:val="clear" w:color="auto" w:fill="auto"/>
            <w:vAlign w:val="center"/>
          </w:tcPr>
          <w:p w14:paraId="35F48240">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p w14:paraId="24F08AD8">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水土保持监管</w:t>
            </w:r>
          </w:p>
          <w:p w14:paraId="3184C37A">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p w14:paraId="6021FD57">
            <w:pPr>
              <w:jc w:val="left"/>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350" w:type="pct"/>
            <w:vMerge w:val="restart"/>
            <w:shd w:val="clear" w:color="auto" w:fill="auto"/>
            <w:vAlign w:val="center"/>
          </w:tcPr>
          <w:p w14:paraId="131869D7">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4A61D799">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7715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289" w:type="pct"/>
            <w:vMerge w:val="continue"/>
            <w:vAlign w:val="center"/>
          </w:tcPr>
          <w:p w14:paraId="461CF078">
            <w:pPr>
              <w:widowControl/>
              <w:jc w:val="left"/>
              <w:rPr>
                <w:rFonts w:cs="Times New Roman" w:eastAsiaTheme="minorEastAsia"/>
                <w:color w:val="000000"/>
                <w:kern w:val="0"/>
                <w:sz w:val="20"/>
                <w:szCs w:val="20"/>
              </w:rPr>
            </w:pPr>
          </w:p>
        </w:tc>
        <w:tc>
          <w:tcPr>
            <w:tcW w:w="1300" w:type="pct"/>
            <w:shd w:val="clear" w:color="auto" w:fill="auto"/>
            <w:vAlign w:val="center"/>
          </w:tcPr>
          <w:p w14:paraId="28AAB3E3">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生产建设项目全过程监管</w:t>
            </w:r>
          </w:p>
        </w:tc>
        <w:tc>
          <w:tcPr>
            <w:tcW w:w="400" w:type="pct"/>
            <w:vMerge w:val="continue"/>
            <w:vAlign w:val="center"/>
          </w:tcPr>
          <w:p w14:paraId="54E6F59E">
            <w:pPr>
              <w:widowControl/>
              <w:jc w:val="left"/>
              <w:rPr>
                <w:rFonts w:cs="Times New Roman" w:eastAsiaTheme="minorEastAsia"/>
                <w:color w:val="000000"/>
                <w:kern w:val="0"/>
                <w:sz w:val="20"/>
                <w:szCs w:val="20"/>
              </w:rPr>
            </w:pPr>
          </w:p>
        </w:tc>
        <w:tc>
          <w:tcPr>
            <w:tcW w:w="449" w:type="pct"/>
            <w:vMerge w:val="continue"/>
            <w:vAlign w:val="center"/>
          </w:tcPr>
          <w:p w14:paraId="79F48D55">
            <w:pPr>
              <w:widowControl/>
              <w:jc w:val="left"/>
              <w:rPr>
                <w:rFonts w:cs="Times New Roman" w:eastAsiaTheme="minorEastAsia"/>
                <w:color w:val="000000"/>
                <w:kern w:val="0"/>
                <w:sz w:val="20"/>
                <w:szCs w:val="20"/>
              </w:rPr>
            </w:pPr>
          </w:p>
        </w:tc>
        <w:tc>
          <w:tcPr>
            <w:tcW w:w="600" w:type="pct"/>
            <w:vMerge w:val="continue"/>
            <w:vAlign w:val="center"/>
          </w:tcPr>
          <w:p w14:paraId="6B412FC3">
            <w:pPr>
              <w:widowControl/>
              <w:jc w:val="left"/>
              <w:rPr>
                <w:rFonts w:cs="Times New Roman" w:eastAsiaTheme="minorEastAsia"/>
                <w:color w:val="000000"/>
                <w:kern w:val="0"/>
                <w:sz w:val="20"/>
                <w:szCs w:val="20"/>
              </w:rPr>
            </w:pPr>
          </w:p>
        </w:tc>
        <w:tc>
          <w:tcPr>
            <w:tcW w:w="600" w:type="pct"/>
            <w:vMerge w:val="continue"/>
            <w:vAlign w:val="center"/>
          </w:tcPr>
          <w:p w14:paraId="0BED7CC5">
            <w:pPr>
              <w:widowControl/>
              <w:jc w:val="left"/>
              <w:rPr>
                <w:rFonts w:cs="Times New Roman" w:eastAsiaTheme="minorEastAsia"/>
                <w:color w:val="000000"/>
                <w:kern w:val="0"/>
                <w:sz w:val="20"/>
                <w:szCs w:val="20"/>
              </w:rPr>
            </w:pPr>
          </w:p>
        </w:tc>
        <w:tc>
          <w:tcPr>
            <w:tcW w:w="500" w:type="pct"/>
            <w:vMerge w:val="continue"/>
            <w:shd w:val="clear" w:color="auto" w:fill="auto"/>
            <w:vAlign w:val="center"/>
          </w:tcPr>
          <w:p w14:paraId="1E4FF87D">
            <w:pPr>
              <w:jc w:val="left"/>
              <w:rPr>
                <w:rFonts w:cs="Times New Roman" w:eastAsiaTheme="minorEastAsia"/>
                <w:color w:val="000000"/>
                <w:kern w:val="0"/>
                <w:sz w:val="20"/>
                <w:szCs w:val="20"/>
              </w:rPr>
            </w:pPr>
          </w:p>
        </w:tc>
        <w:tc>
          <w:tcPr>
            <w:tcW w:w="350" w:type="pct"/>
            <w:vMerge w:val="continue"/>
            <w:vAlign w:val="center"/>
          </w:tcPr>
          <w:p w14:paraId="338E2BAA">
            <w:pPr>
              <w:widowControl/>
              <w:jc w:val="left"/>
              <w:rPr>
                <w:rFonts w:cs="Times New Roman" w:eastAsiaTheme="minorEastAsia"/>
                <w:color w:val="000000"/>
                <w:kern w:val="0"/>
                <w:sz w:val="20"/>
                <w:szCs w:val="20"/>
              </w:rPr>
            </w:pPr>
          </w:p>
        </w:tc>
        <w:tc>
          <w:tcPr>
            <w:tcW w:w="511" w:type="pct"/>
            <w:shd w:val="clear" w:color="auto" w:fill="auto"/>
            <w:vAlign w:val="center"/>
          </w:tcPr>
          <w:p w14:paraId="363710AC">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2A350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89" w:type="pct"/>
            <w:vMerge w:val="continue"/>
            <w:vAlign w:val="center"/>
          </w:tcPr>
          <w:p w14:paraId="4C7D0EC9">
            <w:pPr>
              <w:widowControl/>
              <w:jc w:val="left"/>
              <w:rPr>
                <w:rFonts w:cs="Times New Roman" w:eastAsiaTheme="minorEastAsia"/>
                <w:color w:val="000000"/>
                <w:kern w:val="0"/>
                <w:sz w:val="20"/>
                <w:szCs w:val="20"/>
              </w:rPr>
            </w:pPr>
          </w:p>
        </w:tc>
        <w:tc>
          <w:tcPr>
            <w:tcW w:w="1300" w:type="pct"/>
            <w:shd w:val="clear" w:color="auto" w:fill="auto"/>
            <w:vAlign w:val="center"/>
          </w:tcPr>
          <w:p w14:paraId="3D68CC49">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水土保持市场主体监管</w:t>
            </w:r>
          </w:p>
        </w:tc>
        <w:tc>
          <w:tcPr>
            <w:tcW w:w="400" w:type="pct"/>
            <w:vMerge w:val="continue"/>
            <w:vAlign w:val="center"/>
          </w:tcPr>
          <w:p w14:paraId="112B8774">
            <w:pPr>
              <w:widowControl/>
              <w:jc w:val="left"/>
              <w:rPr>
                <w:rFonts w:cs="Times New Roman" w:eastAsiaTheme="minorEastAsia"/>
                <w:color w:val="000000"/>
                <w:kern w:val="0"/>
                <w:sz w:val="20"/>
                <w:szCs w:val="20"/>
              </w:rPr>
            </w:pPr>
          </w:p>
        </w:tc>
        <w:tc>
          <w:tcPr>
            <w:tcW w:w="449" w:type="pct"/>
            <w:vMerge w:val="continue"/>
            <w:vAlign w:val="center"/>
          </w:tcPr>
          <w:p w14:paraId="5E7FC250">
            <w:pPr>
              <w:widowControl/>
              <w:jc w:val="left"/>
              <w:rPr>
                <w:rFonts w:cs="Times New Roman" w:eastAsiaTheme="minorEastAsia"/>
                <w:color w:val="000000"/>
                <w:kern w:val="0"/>
                <w:sz w:val="20"/>
                <w:szCs w:val="20"/>
              </w:rPr>
            </w:pPr>
          </w:p>
        </w:tc>
        <w:tc>
          <w:tcPr>
            <w:tcW w:w="600" w:type="pct"/>
            <w:vMerge w:val="continue"/>
            <w:vAlign w:val="center"/>
          </w:tcPr>
          <w:p w14:paraId="110E7EA9">
            <w:pPr>
              <w:widowControl/>
              <w:jc w:val="left"/>
              <w:rPr>
                <w:rFonts w:cs="Times New Roman" w:eastAsiaTheme="minorEastAsia"/>
                <w:color w:val="000000"/>
                <w:kern w:val="0"/>
                <w:sz w:val="20"/>
                <w:szCs w:val="20"/>
              </w:rPr>
            </w:pPr>
          </w:p>
        </w:tc>
        <w:tc>
          <w:tcPr>
            <w:tcW w:w="600" w:type="pct"/>
            <w:vMerge w:val="continue"/>
            <w:vAlign w:val="center"/>
          </w:tcPr>
          <w:p w14:paraId="2E228EF8">
            <w:pPr>
              <w:widowControl/>
              <w:jc w:val="left"/>
              <w:rPr>
                <w:rFonts w:cs="Times New Roman" w:eastAsiaTheme="minorEastAsia"/>
                <w:color w:val="000000"/>
                <w:kern w:val="0"/>
                <w:sz w:val="20"/>
                <w:szCs w:val="20"/>
              </w:rPr>
            </w:pPr>
          </w:p>
        </w:tc>
        <w:tc>
          <w:tcPr>
            <w:tcW w:w="500" w:type="pct"/>
            <w:vMerge w:val="continue"/>
            <w:shd w:val="clear" w:color="auto" w:fill="auto"/>
            <w:vAlign w:val="center"/>
          </w:tcPr>
          <w:p w14:paraId="49E0E7C4">
            <w:pPr>
              <w:jc w:val="left"/>
              <w:rPr>
                <w:rFonts w:cs="Times New Roman" w:eastAsiaTheme="minorEastAsia"/>
                <w:color w:val="000000"/>
                <w:kern w:val="0"/>
                <w:sz w:val="20"/>
                <w:szCs w:val="20"/>
              </w:rPr>
            </w:pPr>
          </w:p>
        </w:tc>
        <w:tc>
          <w:tcPr>
            <w:tcW w:w="350" w:type="pct"/>
            <w:vMerge w:val="continue"/>
            <w:vAlign w:val="center"/>
          </w:tcPr>
          <w:p w14:paraId="7539CBDE">
            <w:pPr>
              <w:widowControl/>
              <w:jc w:val="left"/>
              <w:rPr>
                <w:rFonts w:cs="Times New Roman" w:eastAsiaTheme="minorEastAsia"/>
                <w:color w:val="000000"/>
                <w:kern w:val="0"/>
                <w:sz w:val="20"/>
                <w:szCs w:val="20"/>
              </w:rPr>
            </w:pPr>
          </w:p>
        </w:tc>
        <w:tc>
          <w:tcPr>
            <w:tcW w:w="511" w:type="pct"/>
            <w:shd w:val="clear" w:color="auto" w:fill="auto"/>
            <w:vAlign w:val="center"/>
          </w:tcPr>
          <w:p w14:paraId="2812DFA5">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032F0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89" w:type="pct"/>
            <w:vMerge w:val="continue"/>
            <w:vAlign w:val="center"/>
          </w:tcPr>
          <w:p w14:paraId="3C4E7407">
            <w:pPr>
              <w:widowControl/>
              <w:jc w:val="left"/>
              <w:rPr>
                <w:rFonts w:cs="Times New Roman" w:eastAsiaTheme="minorEastAsia"/>
                <w:color w:val="000000"/>
                <w:kern w:val="0"/>
                <w:sz w:val="20"/>
                <w:szCs w:val="20"/>
              </w:rPr>
            </w:pPr>
          </w:p>
        </w:tc>
        <w:tc>
          <w:tcPr>
            <w:tcW w:w="1300" w:type="pct"/>
            <w:shd w:val="clear" w:color="auto" w:fill="auto"/>
            <w:vAlign w:val="center"/>
          </w:tcPr>
          <w:p w14:paraId="2D4CE716">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水土保持监管服务能力提升</w:t>
            </w:r>
          </w:p>
        </w:tc>
        <w:tc>
          <w:tcPr>
            <w:tcW w:w="400" w:type="pct"/>
            <w:vMerge w:val="continue"/>
            <w:vAlign w:val="center"/>
          </w:tcPr>
          <w:p w14:paraId="1CAB39D6">
            <w:pPr>
              <w:widowControl/>
              <w:jc w:val="left"/>
              <w:rPr>
                <w:rFonts w:cs="Times New Roman" w:eastAsiaTheme="minorEastAsia"/>
                <w:color w:val="000000"/>
                <w:kern w:val="0"/>
                <w:sz w:val="20"/>
                <w:szCs w:val="20"/>
              </w:rPr>
            </w:pPr>
          </w:p>
        </w:tc>
        <w:tc>
          <w:tcPr>
            <w:tcW w:w="449" w:type="pct"/>
            <w:vMerge w:val="continue"/>
            <w:vAlign w:val="center"/>
          </w:tcPr>
          <w:p w14:paraId="2124851C">
            <w:pPr>
              <w:widowControl/>
              <w:jc w:val="left"/>
              <w:rPr>
                <w:rFonts w:cs="Times New Roman" w:eastAsiaTheme="minorEastAsia"/>
                <w:color w:val="000000"/>
                <w:kern w:val="0"/>
                <w:sz w:val="20"/>
                <w:szCs w:val="20"/>
              </w:rPr>
            </w:pPr>
          </w:p>
        </w:tc>
        <w:tc>
          <w:tcPr>
            <w:tcW w:w="600" w:type="pct"/>
            <w:vMerge w:val="continue"/>
            <w:vAlign w:val="center"/>
          </w:tcPr>
          <w:p w14:paraId="15E763E8">
            <w:pPr>
              <w:widowControl/>
              <w:jc w:val="left"/>
              <w:rPr>
                <w:rFonts w:cs="Times New Roman" w:eastAsiaTheme="minorEastAsia"/>
                <w:color w:val="000000"/>
                <w:kern w:val="0"/>
                <w:sz w:val="20"/>
                <w:szCs w:val="20"/>
              </w:rPr>
            </w:pPr>
          </w:p>
        </w:tc>
        <w:tc>
          <w:tcPr>
            <w:tcW w:w="600" w:type="pct"/>
            <w:vMerge w:val="continue"/>
            <w:vAlign w:val="center"/>
          </w:tcPr>
          <w:p w14:paraId="735981FC">
            <w:pPr>
              <w:widowControl/>
              <w:jc w:val="left"/>
              <w:rPr>
                <w:rFonts w:cs="Times New Roman" w:eastAsiaTheme="minorEastAsia"/>
                <w:color w:val="000000"/>
                <w:kern w:val="0"/>
                <w:sz w:val="20"/>
                <w:szCs w:val="20"/>
              </w:rPr>
            </w:pPr>
          </w:p>
        </w:tc>
        <w:tc>
          <w:tcPr>
            <w:tcW w:w="500" w:type="pct"/>
            <w:vMerge w:val="continue"/>
            <w:shd w:val="clear" w:color="auto" w:fill="auto"/>
            <w:vAlign w:val="center"/>
          </w:tcPr>
          <w:p w14:paraId="3BB485FB">
            <w:pPr>
              <w:widowControl/>
              <w:jc w:val="left"/>
              <w:rPr>
                <w:rFonts w:cs="Times New Roman" w:eastAsiaTheme="minorEastAsia"/>
                <w:color w:val="000000"/>
                <w:kern w:val="0"/>
                <w:sz w:val="20"/>
                <w:szCs w:val="20"/>
              </w:rPr>
            </w:pPr>
          </w:p>
        </w:tc>
        <w:tc>
          <w:tcPr>
            <w:tcW w:w="350" w:type="pct"/>
            <w:vMerge w:val="continue"/>
            <w:vAlign w:val="center"/>
          </w:tcPr>
          <w:p w14:paraId="3E6C429A">
            <w:pPr>
              <w:widowControl/>
              <w:jc w:val="left"/>
              <w:rPr>
                <w:rFonts w:cs="Times New Roman" w:eastAsiaTheme="minorEastAsia"/>
                <w:color w:val="000000"/>
                <w:kern w:val="0"/>
                <w:sz w:val="20"/>
                <w:szCs w:val="20"/>
              </w:rPr>
            </w:pPr>
          </w:p>
        </w:tc>
        <w:tc>
          <w:tcPr>
            <w:tcW w:w="511" w:type="pct"/>
            <w:shd w:val="clear" w:color="auto" w:fill="auto"/>
            <w:vAlign w:val="center"/>
          </w:tcPr>
          <w:p w14:paraId="2170B1A0">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744F3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89" w:type="pct"/>
            <w:vMerge w:val="restart"/>
            <w:shd w:val="clear" w:color="auto" w:fill="auto"/>
            <w:vAlign w:val="center"/>
          </w:tcPr>
          <w:p w14:paraId="415A3230">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2</w:t>
            </w:r>
          </w:p>
        </w:tc>
        <w:tc>
          <w:tcPr>
            <w:tcW w:w="1300" w:type="pct"/>
            <w:shd w:val="clear" w:color="auto" w:fill="auto"/>
            <w:vAlign w:val="center"/>
          </w:tcPr>
          <w:p w14:paraId="06930989">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全区水土流失预防保护全覆盖</w:t>
            </w:r>
          </w:p>
        </w:tc>
        <w:tc>
          <w:tcPr>
            <w:tcW w:w="400" w:type="pct"/>
            <w:vMerge w:val="restart"/>
            <w:shd w:val="clear" w:color="auto" w:fill="auto"/>
            <w:vAlign w:val="center"/>
          </w:tcPr>
          <w:p w14:paraId="06ACD40A">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4900</w:t>
            </w:r>
          </w:p>
        </w:tc>
        <w:tc>
          <w:tcPr>
            <w:tcW w:w="449" w:type="pct"/>
            <w:vMerge w:val="restart"/>
            <w:shd w:val="clear" w:color="auto" w:fill="auto"/>
            <w:vAlign w:val="center"/>
          </w:tcPr>
          <w:p w14:paraId="3B9F6668">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vMerge w:val="restart"/>
            <w:shd w:val="clear" w:color="auto" w:fill="auto"/>
            <w:vAlign w:val="center"/>
          </w:tcPr>
          <w:p w14:paraId="0C4764C2">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vMerge w:val="restart"/>
            <w:shd w:val="clear" w:color="auto" w:fill="auto"/>
            <w:vAlign w:val="center"/>
          </w:tcPr>
          <w:p w14:paraId="4C938C68">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4900</w:t>
            </w:r>
          </w:p>
        </w:tc>
        <w:tc>
          <w:tcPr>
            <w:tcW w:w="500" w:type="pct"/>
            <w:vMerge w:val="restart"/>
            <w:shd w:val="clear" w:color="auto" w:fill="auto"/>
            <w:vAlign w:val="center"/>
          </w:tcPr>
          <w:p w14:paraId="4C277DD6">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水土流失预防保护</w:t>
            </w:r>
          </w:p>
        </w:tc>
        <w:tc>
          <w:tcPr>
            <w:tcW w:w="350" w:type="pct"/>
            <w:vMerge w:val="restart"/>
            <w:shd w:val="clear" w:color="auto" w:fill="auto"/>
            <w:vAlign w:val="center"/>
          </w:tcPr>
          <w:p w14:paraId="69DFEA2E">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54566C60">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2F9B6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89" w:type="pct"/>
            <w:vMerge w:val="continue"/>
            <w:vAlign w:val="center"/>
          </w:tcPr>
          <w:p w14:paraId="6282C719">
            <w:pPr>
              <w:widowControl/>
              <w:jc w:val="left"/>
              <w:rPr>
                <w:rFonts w:cs="Times New Roman" w:eastAsiaTheme="minorEastAsia"/>
                <w:color w:val="000000"/>
                <w:kern w:val="0"/>
                <w:sz w:val="20"/>
                <w:szCs w:val="20"/>
              </w:rPr>
            </w:pPr>
          </w:p>
        </w:tc>
        <w:tc>
          <w:tcPr>
            <w:tcW w:w="1300" w:type="pct"/>
            <w:shd w:val="clear" w:color="auto" w:fill="auto"/>
            <w:vAlign w:val="center"/>
          </w:tcPr>
          <w:p w14:paraId="0187A27A">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河道重点预防项目</w:t>
            </w:r>
          </w:p>
        </w:tc>
        <w:tc>
          <w:tcPr>
            <w:tcW w:w="400" w:type="pct"/>
            <w:vMerge w:val="continue"/>
            <w:vAlign w:val="center"/>
          </w:tcPr>
          <w:p w14:paraId="2B124981">
            <w:pPr>
              <w:widowControl/>
              <w:jc w:val="left"/>
              <w:rPr>
                <w:rFonts w:cs="Times New Roman" w:eastAsiaTheme="minorEastAsia"/>
                <w:color w:val="000000"/>
                <w:kern w:val="0"/>
                <w:sz w:val="20"/>
                <w:szCs w:val="20"/>
              </w:rPr>
            </w:pPr>
          </w:p>
        </w:tc>
        <w:tc>
          <w:tcPr>
            <w:tcW w:w="449" w:type="pct"/>
            <w:vMerge w:val="continue"/>
            <w:vAlign w:val="center"/>
          </w:tcPr>
          <w:p w14:paraId="6C9C269E">
            <w:pPr>
              <w:widowControl/>
              <w:jc w:val="left"/>
              <w:rPr>
                <w:rFonts w:cs="Times New Roman" w:eastAsiaTheme="minorEastAsia"/>
                <w:color w:val="000000"/>
                <w:kern w:val="0"/>
                <w:sz w:val="20"/>
                <w:szCs w:val="20"/>
              </w:rPr>
            </w:pPr>
          </w:p>
        </w:tc>
        <w:tc>
          <w:tcPr>
            <w:tcW w:w="600" w:type="pct"/>
            <w:vMerge w:val="continue"/>
            <w:vAlign w:val="center"/>
          </w:tcPr>
          <w:p w14:paraId="29FE301E">
            <w:pPr>
              <w:widowControl/>
              <w:jc w:val="left"/>
              <w:rPr>
                <w:rFonts w:cs="Times New Roman" w:eastAsiaTheme="minorEastAsia"/>
                <w:color w:val="000000"/>
                <w:kern w:val="0"/>
                <w:sz w:val="20"/>
                <w:szCs w:val="20"/>
              </w:rPr>
            </w:pPr>
          </w:p>
        </w:tc>
        <w:tc>
          <w:tcPr>
            <w:tcW w:w="600" w:type="pct"/>
            <w:vMerge w:val="continue"/>
            <w:vAlign w:val="center"/>
          </w:tcPr>
          <w:p w14:paraId="5050657B">
            <w:pPr>
              <w:widowControl/>
              <w:jc w:val="left"/>
              <w:rPr>
                <w:rFonts w:cs="Times New Roman" w:eastAsiaTheme="minorEastAsia"/>
                <w:color w:val="000000"/>
                <w:kern w:val="0"/>
                <w:sz w:val="20"/>
                <w:szCs w:val="20"/>
              </w:rPr>
            </w:pPr>
          </w:p>
        </w:tc>
        <w:tc>
          <w:tcPr>
            <w:tcW w:w="500" w:type="pct"/>
            <w:vMerge w:val="continue"/>
            <w:vAlign w:val="center"/>
          </w:tcPr>
          <w:p w14:paraId="07B4D30F">
            <w:pPr>
              <w:widowControl/>
              <w:jc w:val="left"/>
              <w:rPr>
                <w:rFonts w:cs="Times New Roman" w:eastAsiaTheme="minorEastAsia"/>
                <w:color w:val="000000"/>
                <w:kern w:val="0"/>
                <w:sz w:val="20"/>
                <w:szCs w:val="20"/>
              </w:rPr>
            </w:pPr>
          </w:p>
        </w:tc>
        <w:tc>
          <w:tcPr>
            <w:tcW w:w="350" w:type="pct"/>
            <w:vMerge w:val="continue"/>
            <w:vAlign w:val="center"/>
          </w:tcPr>
          <w:p w14:paraId="3B2EA26B">
            <w:pPr>
              <w:widowControl/>
              <w:jc w:val="left"/>
              <w:rPr>
                <w:rFonts w:cs="Times New Roman" w:eastAsiaTheme="minorEastAsia"/>
                <w:color w:val="000000"/>
                <w:kern w:val="0"/>
                <w:sz w:val="20"/>
                <w:szCs w:val="20"/>
              </w:rPr>
            </w:pPr>
          </w:p>
        </w:tc>
        <w:tc>
          <w:tcPr>
            <w:tcW w:w="511" w:type="pct"/>
            <w:shd w:val="clear" w:color="auto" w:fill="auto"/>
            <w:vAlign w:val="center"/>
          </w:tcPr>
          <w:p w14:paraId="16575D47">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32A11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89" w:type="pct"/>
            <w:vMerge w:val="continue"/>
            <w:vAlign w:val="center"/>
          </w:tcPr>
          <w:p w14:paraId="2BD1C8F5">
            <w:pPr>
              <w:widowControl/>
              <w:jc w:val="left"/>
              <w:rPr>
                <w:rFonts w:cs="Times New Roman" w:eastAsiaTheme="minorEastAsia"/>
                <w:color w:val="000000"/>
                <w:kern w:val="0"/>
                <w:sz w:val="20"/>
                <w:szCs w:val="20"/>
              </w:rPr>
            </w:pPr>
          </w:p>
        </w:tc>
        <w:tc>
          <w:tcPr>
            <w:tcW w:w="1300" w:type="pct"/>
            <w:shd w:val="clear" w:color="auto" w:fill="auto"/>
            <w:vAlign w:val="center"/>
          </w:tcPr>
          <w:p w14:paraId="1FBED84C">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生态区预防项目</w:t>
            </w:r>
          </w:p>
        </w:tc>
        <w:tc>
          <w:tcPr>
            <w:tcW w:w="400" w:type="pct"/>
            <w:vMerge w:val="continue"/>
            <w:vAlign w:val="center"/>
          </w:tcPr>
          <w:p w14:paraId="066FC444">
            <w:pPr>
              <w:widowControl/>
              <w:jc w:val="left"/>
              <w:rPr>
                <w:rFonts w:cs="Times New Roman" w:eastAsiaTheme="minorEastAsia"/>
                <w:color w:val="000000"/>
                <w:kern w:val="0"/>
                <w:sz w:val="20"/>
                <w:szCs w:val="20"/>
              </w:rPr>
            </w:pPr>
          </w:p>
        </w:tc>
        <w:tc>
          <w:tcPr>
            <w:tcW w:w="449" w:type="pct"/>
            <w:vMerge w:val="continue"/>
            <w:vAlign w:val="center"/>
          </w:tcPr>
          <w:p w14:paraId="5C82A226">
            <w:pPr>
              <w:widowControl/>
              <w:jc w:val="left"/>
              <w:rPr>
                <w:rFonts w:cs="Times New Roman" w:eastAsiaTheme="minorEastAsia"/>
                <w:color w:val="000000"/>
                <w:kern w:val="0"/>
                <w:sz w:val="20"/>
                <w:szCs w:val="20"/>
              </w:rPr>
            </w:pPr>
          </w:p>
        </w:tc>
        <w:tc>
          <w:tcPr>
            <w:tcW w:w="600" w:type="pct"/>
            <w:vMerge w:val="continue"/>
            <w:vAlign w:val="center"/>
          </w:tcPr>
          <w:p w14:paraId="4AEFE540">
            <w:pPr>
              <w:widowControl/>
              <w:jc w:val="left"/>
              <w:rPr>
                <w:rFonts w:cs="Times New Roman" w:eastAsiaTheme="minorEastAsia"/>
                <w:color w:val="000000"/>
                <w:kern w:val="0"/>
                <w:sz w:val="20"/>
                <w:szCs w:val="20"/>
              </w:rPr>
            </w:pPr>
          </w:p>
        </w:tc>
        <w:tc>
          <w:tcPr>
            <w:tcW w:w="600" w:type="pct"/>
            <w:vMerge w:val="continue"/>
            <w:vAlign w:val="center"/>
          </w:tcPr>
          <w:p w14:paraId="0536D319">
            <w:pPr>
              <w:widowControl/>
              <w:jc w:val="left"/>
              <w:rPr>
                <w:rFonts w:cs="Times New Roman" w:eastAsiaTheme="minorEastAsia"/>
                <w:color w:val="000000"/>
                <w:kern w:val="0"/>
                <w:sz w:val="20"/>
                <w:szCs w:val="20"/>
              </w:rPr>
            </w:pPr>
          </w:p>
        </w:tc>
        <w:tc>
          <w:tcPr>
            <w:tcW w:w="500" w:type="pct"/>
            <w:vMerge w:val="continue"/>
            <w:vAlign w:val="center"/>
          </w:tcPr>
          <w:p w14:paraId="0A57A19C">
            <w:pPr>
              <w:widowControl/>
              <w:jc w:val="left"/>
              <w:rPr>
                <w:rFonts w:cs="Times New Roman" w:eastAsiaTheme="minorEastAsia"/>
                <w:color w:val="000000"/>
                <w:kern w:val="0"/>
                <w:sz w:val="20"/>
                <w:szCs w:val="20"/>
              </w:rPr>
            </w:pPr>
          </w:p>
        </w:tc>
        <w:tc>
          <w:tcPr>
            <w:tcW w:w="350" w:type="pct"/>
            <w:vMerge w:val="continue"/>
            <w:vAlign w:val="center"/>
          </w:tcPr>
          <w:p w14:paraId="09849C1B">
            <w:pPr>
              <w:widowControl/>
              <w:jc w:val="left"/>
              <w:rPr>
                <w:rFonts w:cs="Times New Roman" w:eastAsiaTheme="minorEastAsia"/>
                <w:color w:val="000000"/>
                <w:kern w:val="0"/>
                <w:sz w:val="20"/>
                <w:szCs w:val="20"/>
              </w:rPr>
            </w:pPr>
          </w:p>
        </w:tc>
        <w:tc>
          <w:tcPr>
            <w:tcW w:w="511" w:type="pct"/>
            <w:shd w:val="clear" w:color="auto" w:fill="auto"/>
            <w:vAlign w:val="center"/>
          </w:tcPr>
          <w:p w14:paraId="136EA52F">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30342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89" w:type="pct"/>
            <w:vMerge w:val="restart"/>
            <w:shd w:val="clear" w:color="auto" w:fill="auto"/>
            <w:vAlign w:val="center"/>
          </w:tcPr>
          <w:p w14:paraId="7F3D440A">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3</w:t>
            </w:r>
          </w:p>
        </w:tc>
        <w:tc>
          <w:tcPr>
            <w:tcW w:w="1300" w:type="pct"/>
            <w:shd w:val="clear" w:color="auto" w:fill="auto"/>
            <w:vAlign w:val="center"/>
          </w:tcPr>
          <w:p w14:paraId="5F9C2574">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全区水土流失定期监测调查</w:t>
            </w:r>
          </w:p>
        </w:tc>
        <w:tc>
          <w:tcPr>
            <w:tcW w:w="400" w:type="pct"/>
            <w:vMerge w:val="restart"/>
            <w:shd w:val="clear" w:color="auto" w:fill="auto"/>
            <w:vAlign w:val="center"/>
          </w:tcPr>
          <w:p w14:paraId="243C92F5">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500</w:t>
            </w:r>
          </w:p>
        </w:tc>
        <w:tc>
          <w:tcPr>
            <w:tcW w:w="449" w:type="pct"/>
            <w:vMerge w:val="restart"/>
            <w:shd w:val="clear" w:color="auto" w:fill="auto"/>
            <w:vAlign w:val="center"/>
          </w:tcPr>
          <w:p w14:paraId="158BB7A1">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vMerge w:val="restart"/>
            <w:shd w:val="clear" w:color="auto" w:fill="auto"/>
            <w:vAlign w:val="center"/>
          </w:tcPr>
          <w:p w14:paraId="09797394">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vMerge w:val="restart"/>
            <w:shd w:val="clear" w:color="auto" w:fill="auto"/>
            <w:vAlign w:val="center"/>
          </w:tcPr>
          <w:p w14:paraId="6D31D04C">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500</w:t>
            </w:r>
          </w:p>
        </w:tc>
        <w:tc>
          <w:tcPr>
            <w:tcW w:w="500" w:type="pct"/>
            <w:vMerge w:val="restart"/>
            <w:shd w:val="clear" w:color="auto" w:fill="auto"/>
            <w:vAlign w:val="center"/>
          </w:tcPr>
          <w:p w14:paraId="3A55F05B">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水土保持监测</w:t>
            </w:r>
          </w:p>
        </w:tc>
        <w:tc>
          <w:tcPr>
            <w:tcW w:w="350" w:type="pct"/>
            <w:vMerge w:val="restart"/>
            <w:shd w:val="clear" w:color="auto" w:fill="auto"/>
            <w:vAlign w:val="center"/>
          </w:tcPr>
          <w:p w14:paraId="0B36887B">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6089375F">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47034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289" w:type="pct"/>
            <w:vMerge w:val="continue"/>
            <w:vAlign w:val="center"/>
          </w:tcPr>
          <w:p w14:paraId="2002B839">
            <w:pPr>
              <w:widowControl/>
              <w:jc w:val="left"/>
              <w:rPr>
                <w:rFonts w:cs="Times New Roman" w:eastAsiaTheme="minorEastAsia"/>
                <w:color w:val="000000"/>
                <w:kern w:val="0"/>
                <w:sz w:val="20"/>
                <w:szCs w:val="20"/>
              </w:rPr>
            </w:pPr>
          </w:p>
        </w:tc>
        <w:tc>
          <w:tcPr>
            <w:tcW w:w="1300" w:type="pct"/>
            <w:shd w:val="clear" w:color="auto" w:fill="auto"/>
            <w:vAlign w:val="center"/>
          </w:tcPr>
          <w:p w14:paraId="171C1CA8">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开展1次全区水土保持普查</w:t>
            </w:r>
          </w:p>
        </w:tc>
        <w:tc>
          <w:tcPr>
            <w:tcW w:w="400" w:type="pct"/>
            <w:vMerge w:val="continue"/>
            <w:vAlign w:val="center"/>
          </w:tcPr>
          <w:p w14:paraId="116CCCCF">
            <w:pPr>
              <w:widowControl/>
              <w:jc w:val="left"/>
              <w:rPr>
                <w:rFonts w:cs="Times New Roman" w:eastAsiaTheme="minorEastAsia"/>
                <w:color w:val="000000"/>
                <w:kern w:val="0"/>
                <w:sz w:val="20"/>
                <w:szCs w:val="20"/>
              </w:rPr>
            </w:pPr>
          </w:p>
        </w:tc>
        <w:tc>
          <w:tcPr>
            <w:tcW w:w="449" w:type="pct"/>
            <w:vMerge w:val="continue"/>
            <w:vAlign w:val="center"/>
          </w:tcPr>
          <w:p w14:paraId="48B77935">
            <w:pPr>
              <w:widowControl/>
              <w:jc w:val="left"/>
              <w:rPr>
                <w:rFonts w:cs="Times New Roman" w:eastAsiaTheme="minorEastAsia"/>
                <w:color w:val="000000"/>
                <w:kern w:val="0"/>
                <w:sz w:val="20"/>
                <w:szCs w:val="20"/>
              </w:rPr>
            </w:pPr>
          </w:p>
        </w:tc>
        <w:tc>
          <w:tcPr>
            <w:tcW w:w="600" w:type="pct"/>
            <w:vMerge w:val="continue"/>
            <w:vAlign w:val="center"/>
          </w:tcPr>
          <w:p w14:paraId="57558F40">
            <w:pPr>
              <w:widowControl/>
              <w:jc w:val="left"/>
              <w:rPr>
                <w:rFonts w:cs="Times New Roman" w:eastAsiaTheme="minorEastAsia"/>
                <w:color w:val="000000"/>
                <w:kern w:val="0"/>
                <w:sz w:val="20"/>
                <w:szCs w:val="20"/>
              </w:rPr>
            </w:pPr>
          </w:p>
        </w:tc>
        <w:tc>
          <w:tcPr>
            <w:tcW w:w="600" w:type="pct"/>
            <w:vMerge w:val="continue"/>
            <w:vAlign w:val="center"/>
          </w:tcPr>
          <w:p w14:paraId="44A263C4">
            <w:pPr>
              <w:widowControl/>
              <w:jc w:val="left"/>
              <w:rPr>
                <w:rFonts w:cs="Times New Roman" w:eastAsiaTheme="minorEastAsia"/>
                <w:color w:val="000000"/>
                <w:kern w:val="0"/>
                <w:sz w:val="20"/>
                <w:szCs w:val="20"/>
              </w:rPr>
            </w:pPr>
          </w:p>
        </w:tc>
        <w:tc>
          <w:tcPr>
            <w:tcW w:w="500" w:type="pct"/>
            <w:vMerge w:val="continue"/>
            <w:vAlign w:val="center"/>
          </w:tcPr>
          <w:p w14:paraId="5BA77393">
            <w:pPr>
              <w:widowControl/>
              <w:jc w:val="left"/>
              <w:rPr>
                <w:rFonts w:cs="Times New Roman" w:eastAsiaTheme="minorEastAsia"/>
                <w:color w:val="000000"/>
                <w:kern w:val="0"/>
                <w:sz w:val="20"/>
                <w:szCs w:val="20"/>
              </w:rPr>
            </w:pPr>
          </w:p>
        </w:tc>
        <w:tc>
          <w:tcPr>
            <w:tcW w:w="350" w:type="pct"/>
            <w:vMerge w:val="continue"/>
            <w:vAlign w:val="center"/>
          </w:tcPr>
          <w:p w14:paraId="6DA56443">
            <w:pPr>
              <w:widowControl/>
              <w:jc w:val="left"/>
              <w:rPr>
                <w:rFonts w:cs="Times New Roman" w:eastAsiaTheme="minorEastAsia"/>
                <w:color w:val="000000"/>
                <w:kern w:val="0"/>
                <w:sz w:val="20"/>
                <w:szCs w:val="20"/>
              </w:rPr>
            </w:pPr>
          </w:p>
        </w:tc>
        <w:tc>
          <w:tcPr>
            <w:tcW w:w="511" w:type="pct"/>
            <w:shd w:val="clear" w:color="auto" w:fill="auto"/>
            <w:vAlign w:val="center"/>
          </w:tcPr>
          <w:p w14:paraId="1A025E98">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70129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89" w:type="pct"/>
            <w:vMerge w:val="continue"/>
            <w:vAlign w:val="center"/>
          </w:tcPr>
          <w:p w14:paraId="5195E2D9">
            <w:pPr>
              <w:widowControl/>
              <w:jc w:val="left"/>
              <w:rPr>
                <w:rFonts w:cs="Times New Roman" w:eastAsiaTheme="minorEastAsia"/>
                <w:color w:val="000000"/>
                <w:kern w:val="0"/>
                <w:sz w:val="20"/>
                <w:szCs w:val="20"/>
              </w:rPr>
            </w:pPr>
          </w:p>
        </w:tc>
        <w:tc>
          <w:tcPr>
            <w:tcW w:w="1300" w:type="pct"/>
            <w:shd w:val="clear" w:color="auto" w:fill="auto"/>
            <w:vAlign w:val="center"/>
          </w:tcPr>
          <w:p w14:paraId="14C0D1BE">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生产建设项目水土保持监测管理</w:t>
            </w:r>
          </w:p>
        </w:tc>
        <w:tc>
          <w:tcPr>
            <w:tcW w:w="400" w:type="pct"/>
            <w:vMerge w:val="continue"/>
            <w:vAlign w:val="center"/>
          </w:tcPr>
          <w:p w14:paraId="5BD6F370">
            <w:pPr>
              <w:widowControl/>
              <w:jc w:val="left"/>
              <w:rPr>
                <w:rFonts w:cs="Times New Roman" w:eastAsiaTheme="minorEastAsia"/>
                <w:color w:val="000000"/>
                <w:kern w:val="0"/>
                <w:sz w:val="20"/>
                <w:szCs w:val="20"/>
              </w:rPr>
            </w:pPr>
          </w:p>
        </w:tc>
        <w:tc>
          <w:tcPr>
            <w:tcW w:w="449" w:type="pct"/>
            <w:vMerge w:val="continue"/>
            <w:vAlign w:val="center"/>
          </w:tcPr>
          <w:p w14:paraId="568647AC">
            <w:pPr>
              <w:widowControl/>
              <w:jc w:val="left"/>
              <w:rPr>
                <w:rFonts w:cs="Times New Roman" w:eastAsiaTheme="minorEastAsia"/>
                <w:color w:val="000000"/>
                <w:kern w:val="0"/>
                <w:sz w:val="20"/>
                <w:szCs w:val="20"/>
              </w:rPr>
            </w:pPr>
          </w:p>
        </w:tc>
        <w:tc>
          <w:tcPr>
            <w:tcW w:w="600" w:type="pct"/>
            <w:vMerge w:val="continue"/>
            <w:vAlign w:val="center"/>
          </w:tcPr>
          <w:p w14:paraId="7D16854A">
            <w:pPr>
              <w:widowControl/>
              <w:jc w:val="left"/>
              <w:rPr>
                <w:rFonts w:cs="Times New Roman" w:eastAsiaTheme="minorEastAsia"/>
                <w:color w:val="000000"/>
                <w:kern w:val="0"/>
                <w:sz w:val="20"/>
                <w:szCs w:val="20"/>
              </w:rPr>
            </w:pPr>
          </w:p>
        </w:tc>
        <w:tc>
          <w:tcPr>
            <w:tcW w:w="600" w:type="pct"/>
            <w:vMerge w:val="continue"/>
            <w:vAlign w:val="center"/>
          </w:tcPr>
          <w:p w14:paraId="2E26ABE0">
            <w:pPr>
              <w:widowControl/>
              <w:jc w:val="left"/>
              <w:rPr>
                <w:rFonts w:cs="Times New Roman" w:eastAsiaTheme="minorEastAsia"/>
                <w:color w:val="000000"/>
                <w:kern w:val="0"/>
                <w:sz w:val="20"/>
                <w:szCs w:val="20"/>
              </w:rPr>
            </w:pPr>
          </w:p>
        </w:tc>
        <w:tc>
          <w:tcPr>
            <w:tcW w:w="500" w:type="pct"/>
            <w:vMerge w:val="continue"/>
            <w:vAlign w:val="center"/>
          </w:tcPr>
          <w:p w14:paraId="03B6ACB6">
            <w:pPr>
              <w:widowControl/>
              <w:jc w:val="left"/>
              <w:rPr>
                <w:rFonts w:cs="Times New Roman" w:eastAsiaTheme="minorEastAsia"/>
                <w:color w:val="000000"/>
                <w:kern w:val="0"/>
                <w:sz w:val="20"/>
                <w:szCs w:val="20"/>
              </w:rPr>
            </w:pPr>
          </w:p>
        </w:tc>
        <w:tc>
          <w:tcPr>
            <w:tcW w:w="350" w:type="pct"/>
            <w:vMerge w:val="continue"/>
            <w:vAlign w:val="center"/>
          </w:tcPr>
          <w:p w14:paraId="713D0BA7">
            <w:pPr>
              <w:widowControl/>
              <w:jc w:val="left"/>
              <w:rPr>
                <w:rFonts w:cs="Times New Roman" w:eastAsiaTheme="minorEastAsia"/>
                <w:color w:val="000000"/>
                <w:kern w:val="0"/>
                <w:sz w:val="20"/>
                <w:szCs w:val="20"/>
              </w:rPr>
            </w:pPr>
          </w:p>
        </w:tc>
        <w:tc>
          <w:tcPr>
            <w:tcW w:w="511" w:type="pct"/>
            <w:shd w:val="clear" w:color="auto" w:fill="auto"/>
            <w:vAlign w:val="center"/>
          </w:tcPr>
          <w:p w14:paraId="02F58702">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62765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89" w:type="pct"/>
            <w:vMerge w:val="continue"/>
            <w:vAlign w:val="center"/>
          </w:tcPr>
          <w:p w14:paraId="728C82B2">
            <w:pPr>
              <w:widowControl/>
              <w:jc w:val="left"/>
              <w:rPr>
                <w:rFonts w:cs="Times New Roman" w:eastAsiaTheme="minorEastAsia"/>
                <w:color w:val="000000"/>
                <w:kern w:val="0"/>
                <w:sz w:val="20"/>
                <w:szCs w:val="20"/>
              </w:rPr>
            </w:pPr>
          </w:p>
        </w:tc>
        <w:tc>
          <w:tcPr>
            <w:tcW w:w="1300" w:type="pct"/>
            <w:shd w:val="clear" w:color="auto" w:fill="auto"/>
            <w:vAlign w:val="center"/>
          </w:tcPr>
          <w:p w14:paraId="15183390">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监测成果整编与挖掘应用</w:t>
            </w:r>
          </w:p>
        </w:tc>
        <w:tc>
          <w:tcPr>
            <w:tcW w:w="400" w:type="pct"/>
            <w:vMerge w:val="continue"/>
            <w:vAlign w:val="center"/>
          </w:tcPr>
          <w:p w14:paraId="31F73270">
            <w:pPr>
              <w:widowControl/>
              <w:jc w:val="left"/>
              <w:rPr>
                <w:rFonts w:cs="Times New Roman" w:eastAsiaTheme="minorEastAsia"/>
                <w:color w:val="000000"/>
                <w:kern w:val="0"/>
                <w:sz w:val="20"/>
                <w:szCs w:val="20"/>
              </w:rPr>
            </w:pPr>
          </w:p>
        </w:tc>
        <w:tc>
          <w:tcPr>
            <w:tcW w:w="449" w:type="pct"/>
            <w:vMerge w:val="continue"/>
            <w:vAlign w:val="center"/>
          </w:tcPr>
          <w:p w14:paraId="2014F025">
            <w:pPr>
              <w:widowControl/>
              <w:jc w:val="left"/>
              <w:rPr>
                <w:rFonts w:cs="Times New Roman" w:eastAsiaTheme="minorEastAsia"/>
                <w:color w:val="000000"/>
                <w:kern w:val="0"/>
                <w:sz w:val="20"/>
                <w:szCs w:val="20"/>
              </w:rPr>
            </w:pPr>
          </w:p>
        </w:tc>
        <w:tc>
          <w:tcPr>
            <w:tcW w:w="600" w:type="pct"/>
            <w:vMerge w:val="continue"/>
            <w:vAlign w:val="center"/>
          </w:tcPr>
          <w:p w14:paraId="52879A51">
            <w:pPr>
              <w:widowControl/>
              <w:jc w:val="left"/>
              <w:rPr>
                <w:rFonts w:cs="Times New Roman" w:eastAsiaTheme="minorEastAsia"/>
                <w:color w:val="000000"/>
                <w:kern w:val="0"/>
                <w:sz w:val="20"/>
                <w:szCs w:val="20"/>
              </w:rPr>
            </w:pPr>
          </w:p>
        </w:tc>
        <w:tc>
          <w:tcPr>
            <w:tcW w:w="600" w:type="pct"/>
            <w:vMerge w:val="continue"/>
            <w:vAlign w:val="center"/>
          </w:tcPr>
          <w:p w14:paraId="6DB9EB61">
            <w:pPr>
              <w:widowControl/>
              <w:jc w:val="left"/>
              <w:rPr>
                <w:rFonts w:cs="Times New Roman" w:eastAsiaTheme="minorEastAsia"/>
                <w:color w:val="000000"/>
                <w:kern w:val="0"/>
                <w:sz w:val="20"/>
                <w:szCs w:val="20"/>
              </w:rPr>
            </w:pPr>
          </w:p>
        </w:tc>
        <w:tc>
          <w:tcPr>
            <w:tcW w:w="500" w:type="pct"/>
            <w:vMerge w:val="continue"/>
            <w:vAlign w:val="center"/>
          </w:tcPr>
          <w:p w14:paraId="012E651C">
            <w:pPr>
              <w:widowControl/>
              <w:jc w:val="left"/>
              <w:rPr>
                <w:rFonts w:cs="Times New Roman" w:eastAsiaTheme="minorEastAsia"/>
                <w:color w:val="000000"/>
                <w:kern w:val="0"/>
                <w:sz w:val="20"/>
                <w:szCs w:val="20"/>
              </w:rPr>
            </w:pPr>
          </w:p>
        </w:tc>
        <w:tc>
          <w:tcPr>
            <w:tcW w:w="350" w:type="pct"/>
            <w:vMerge w:val="continue"/>
            <w:vAlign w:val="center"/>
          </w:tcPr>
          <w:p w14:paraId="1D580FBE">
            <w:pPr>
              <w:widowControl/>
              <w:jc w:val="left"/>
              <w:rPr>
                <w:rFonts w:cs="Times New Roman" w:eastAsiaTheme="minorEastAsia"/>
                <w:color w:val="000000"/>
                <w:kern w:val="0"/>
                <w:sz w:val="20"/>
                <w:szCs w:val="20"/>
              </w:rPr>
            </w:pPr>
          </w:p>
        </w:tc>
        <w:tc>
          <w:tcPr>
            <w:tcW w:w="511" w:type="pct"/>
            <w:shd w:val="clear" w:color="auto" w:fill="auto"/>
            <w:vAlign w:val="center"/>
          </w:tcPr>
          <w:p w14:paraId="41E399EB">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50F1E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289" w:type="pct"/>
            <w:vMerge w:val="restart"/>
            <w:shd w:val="clear" w:color="auto" w:fill="auto"/>
            <w:vAlign w:val="center"/>
          </w:tcPr>
          <w:p w14:paraId="7D85BB6F">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4</w:t>
            </w:r>
          </w:p>
        </w:tc>
        <w:tc>
          <w:tcPr>
            <w:tcW w:w="1300" w:type="pct"/>
            <w:shd w:val="clear" w:color="auto" w:fill="auto"/>
            <w:vAlign w:val="center"/>
          </w:tcPr>
          <w:p w14:paraId="776B0D93">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整编水土保持基础数据并建设数据库</w:t>
            </w:r>
          </w:p>
        </w:tc>
        <w:tc>
          <w:tcPr>
            <w:tcW w:w="400" w:type="pct"/>
            <w:vMerge w:val="restart"/>
            <w:shd w:val="clear" w:color="auto" w:fill="auto"/>
            <w:vAlign w:val="center"/>
          </w:tcPr>
          <w:p w14:paraId="55291066">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500</w:t>
            </w:r>
          </w:p>
        </w:tc>
        <w:tc>
          <w:tcPr>
            <w:tcW w:w="449" w:type="pct"/>
            <w:vMerge w:val="restart"/>
            <w:shd w:val="clear" w:color="auto" w:fill="auto"/>
            <w:vAlign w:val="center"/>
          </w:tcPr>
          <w:p w14:paraId="62D81BA8">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vMerge w:val="restart"/>
            <w:shd w:val="clear" w:color="auto" w:fill="auto"/>
            <w:vAlign w:val="center"/>
          </w:tcPr>
          <w:p w14:paraId="3F3F0E21">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vMerge w:val="restart"/>
            <w:shd w:val="clear" w:color="auto" w:fill="auto"/>
            <w:vAlign w:val="center"/>
          </w:tcPr>
          <w:p w14:paraId="03C677BB">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500</w:t>
            </w:r>
          </w:p>
        </w:tc>
        <w:tc>
          <w:tcPr>
            <w:tcW w:w="500" w:type="pct"/>
            <w:vMerge w:val="restart"/>
            <w:shd w:val="clear" w:color="auto" w:fill="auto"/>
            <w:vAlign w:val="center"/>
          </w:tcPr>
          <w:p w14:paraId="7214FDF3">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水土保持信息化</w:t>
            </w:r>
          </w:p>
        </w:tc>
        <w:tc>
          <w:tcPr>
            <w:tcW w:w="350" w:type="pct"/>
            <w:vMerge w:val="restart"/>
            <w:shd w:val="clear" w:color="auto" w:fill="auto"/>
            <w:vAlign w:val="center"/>
          </w:tcPr>
          <w:p w14:paraId="402005E5">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34B78D69">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03E0A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289" w:type="pct"/>
            <w:vMerge w:val="continue"/>
            <w:vAlign w:val="center"/>
          </w:tcPr>
          <w:p w14:paraId="04A9CDB0">
            <w:pPr>
              <w:widowControl/>
              <w:jc w:val="left"/>
              <w:rPr>
                <w:rFonts w:cs="Times New Roman" w:eastAsiaTheme="minorEastAsia"/>
                <w:color w:val="000000"/>
                <w:kern w:val="0"/>
                <w:sz w:val="20"/>
                <w:szCs w:val="20"/>
              </w:rPr>
            </w:pPr>
          </w:p>
        </w:tc>
        <w:tc>
          <w:tcPr>
            <w:tcW w:w="1300" w:type="pct"/>
            <w:shd w:val="clear" w:color="auto" w:fill="auto"/>
            <w:vAlign w:val="center"/>
          </w:tcPr>
          <w:p w14:paraId="4E72BC59">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统筹推进“智慧水保”综合体系建设</w:t>
            </w:r>
          </w:p>
        </w:tc>
        <w:tc>
          <w:tcPr>
            <w:tcW w:w="400" w:type="pct"/>
            <w:vMerge w:val="continue"/>
            <w:vAlign w:val="center"/>
          </w:tcPr>
          <w:p w14:paraId="111B75ED">
            <w:pPr>
              <w:widowControl/>
              <w:jc w:val="left"/>
              <w:rPr>
                <w:rFonts w:cs="Times New Roman" w:eastAsiaTheme="minorEastAsia"/>
                <w:color w:val="000000"/>
                <w:kern w:val="0"/>
                <w:sz w:val="20"/>
                <w:szCs w:val="20"/>
              </w:rPr>
            </w:pPr>
          </w:p>
        </w:tc>
        <w:tc>
          <w:tcPr>
            <w:tcW w:w="449" w:type="pct"/>
            <w:vMerge w:val="continue"/>
            <w:vAlign w:val="center"/>
          </w:tcPr>
          <w:p w14:paraId="06063F49">
            <w:pPr>
              <w:widowControl/>
              <w:jc w:val="left"/>
              <w:rPr>
                <w:rFonts w:cs="Times New Roman" w:eastAsiaTheme="minorEastAsia"/>
                <w:color w:val="000000"/>
                <w:kern w:val="0"/>
                <w:sz w:val="20"/>
                <w:szCs w:val="20"/>
              </w:rPr>
            </w:pPr>
          </w:p>
        </w:tc>
        <w:tc>
          <w:tcPr>
            <w:tcW w:w="600" w:type="pct"/>
            <w:vMerge w:val="continue"/>
            <w:vAlign w:val="center"/>
          </w:tcPr>
          <w:p w14:paraId="4313B6CF">
            <w:pPr>
              <w:widowControl/>
              <w:jc w:val="left"/>
              <w:rPr>
                <w:rFonts w:cs="Times New Roman" w:eastAsiaTheme="minorEastAsia"/>
                <w:color w:val="000000"/>
                <w:kern w:val="0"/>
                <w:sz w:val="20"/>
                <w:szCs w:val="20"/>
              </w:rPr>
            </w:pPr>
          </w:p>
        </w:tc>
        <w:tc>
          <w:tcPr>
            <w:tcW w:w="600" w:type="pct"/>
            <w:vMerge w:val="continue"/>
            <w:vAlign w:val="center"/>
          </w:tcPr>
          <w:p w14:paraId="025ECB0A">
            <w:pPr>
              <w:widowControl/>
              <w:jc w:val="left"/>
              <w:rPr>
                <w:rFonts w:cs="Times New Roman" w:eastAsiaTheme="minorEastAsia"/>
                <w:color w:val="000000"/>
                <w:kern w:val="0"/>
                <w:sz w:val="20"/>
                <w:szCs w:val="20"/>
              </w:rPr>
            </w:pPr>
          </w:p>
        </w:tc>
        <w:tc>
          <w:tcPr>
            <w:tcW w:w="500" w:type="pct"/>
            <w:vMerge w:val="continue"/>
            <w:vAlign w:val="center"/>
          </w:tcPr>
          <w:p w14:paraId="69514036">
            <w:pPr>
              <w:widowControl/>
              <w:jc w:val="left"/>
              <w:rPr>
                <w:rFonts w:cs="Times New Roman" w:eastAsiaTheme="minorEastAsia"/>
                <w:color w:val="000000"/>
                <w:kern w:val="0"/>
                <w:sz w:val="20"/>
                <w:szCs w:val="20"/>
              </w:rPr>
            </w:pPr>
          </w:p>
        </w:tc>
        <w:tc>
          <w:tcPr>
            <w:tcW w:w="350" w:type="pct"/>
            <w:vMerge w:val="continue"/>
            <w:vAlign w:val="center"/>
          </w:tcPr>
          <w:p w14:paraId="760D21B3">
            <w:pPr>
              <w:widowControl/>
              <w:jc w:val="left"/>
              <w:rPr>
                <w:rFonts w:cs="Times New Roman" w:eastAsiaTheme="minorEastAsia"/>
                <w:color w:val="000000"/>
                <w:kern w:val="0"/>
                <w:sz w:val="20"/>
                <w:szCs w:val="20"/>
              </w:rPr>
            </w:pPr>
          </w:p>
        </w:tc>
        <w:tc>
          <w:tcPr>
            <w:tcW w:w="511" w:type="pct"/>
            <w:shd w:val="clear" w:color="auto" w:fill="auto"/>
            <w:vAlign w:val="center"/>
          </w:tcPr>
          <w:p w14:paraId="2C3CE243">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78FC9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89" w:type="pct"/>
            <w:vMerge w:val="continue"/>
            <w:vAlign w:val="center"/>
          </w:tcPr>
          <w:p w14:paraId="0C393464">
            <w:pPr>
              <w:widowControl/>
              <w:jc w:val="left"/>
              <w:rPr>
                <w:rFonts w:cs="Times New Roman" w:eastAsiaTheme="minorEastAsia"/>
                <w:color w:val="000000"/>
                <w:kern w:val="0"/>
                <w:sz w:val="20"/>
                <w:szCs w:val="20"/>
              </w:rPr>
            </w:pPr>
          </w:p>
        </w:tc>
        <w:tc>
          <w:tcPr>
            <w:tcW w:w="1300" w:type="pct"/>
            <w:shd w:val="clear" w:color="auto" w:fill="auto"/>
            <w:vAlign w:val="center"/>
          </w:tcPr>
          <w:p w14:paraId="071C3818">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水土保持新技术推广应用</w:t>
            </w:r>
          </w:p>
        </w:tc>
        <w:tc>
          <w:tcPr>
            <w:tcW w:w="400" w:type="pct"/>
            <w:vMerge w:val="continue"/>
            <w:vAlign w:val="center"/>
          </w:tcPr>
          <w:p w14:paraId="4F270A2E">
            <w:pPr>
              <w:widowControl/>
              <w:jc w:val="left"/>
              <w:rPr>
                <w:rFonts w:cs="Times New Roman" w:eastAsiaTheme="minorEastAsia"/>
                <w:color w:val="000000"/>
                <w:kern w:val="0"/>
                <w:sz w:val="20"/>
                <w:szCs w:val="20"/>
              </w:rPr>
            </w:pPr>
          </w:p>
        </w:tc>
        <w:tc>
          <w:tcPr>
            <w:tcW w:w="449" w:type="pct"/>
            <w:vMerge w:val="continue"/>
            <w:vAlign w:val="center"/>
          </w:tcPr>
          <w:p w14:paraId="2C994127">
            <w:pPr>
              <w:widowControl/>
              <w:jc w:val="left"/>
              <w:rPr>
                <w:rFonts w:cs="Times New Roman" w:eastAsiaTheme="minorEastAsia"/>
                <w:color w:val="000000"/>
                <w:kern w:val="0"/>
                <w:sz w:val="20"/>
                <w:szCs w:val="20"/>
              </w:rPr>
            </w:pPr>
          </w:p>
        </w:tc>
        <w:tc>
          <w:tcPr>
            <w:tcW w:w="600" w:type="pct"/>
            <w:vMerge w:val="continue"/>
            <w:vAlign w:val="center"/>
          </w:tcPr>
          <w:p w14:paraId="00E16FF4">
            <w:pPr>
              <w:widowControl/>
              <w:jc w:val="left"/>
              <w:rPr>
                <w:rFonts w:cs="Times New Roman" w:eastAsiaTheme="minorEastAsia"/>
                <w:color w:val="000000"/>
                <w:kern w:val="0"/>
                <w:sz w:val="20"/>
                <w:szCs w:val="20"/>
              </w:rPr>
            </w:pPr>
          </w:p>
        </w:tc>
        <w:tc>
          <w:tcPr>
            <w:tcW w:w="600" w:type="pct"/>
            <w:vMerge w:val="continue"/>
            <w:vAlign w:val="center"/>
          </w:tcPr>
          <w:p w14:paraId="746265AB">
            <w:pPr>
              <w:widowControl/>
              <w:jc w:val="left"/>
              <w:rPr>
                <w:rFonts w:cs="Times New Roman" w:eastAsiaTheme="minorEastAsia"/>
                <w:color w:val="000000"/>
                <w:kern w:val="0"/>
                <w:sz w:val="20"/>
                <w:szCs w:val="20"/>
              </w:rPr>
            </w:pPr>
          </w:p>
        </w:tc>
        <w:tc>
          <w:tcPr>
            <w:tcW w:w="500" w:type="pct"/>
            <w:vMerge w:val="continue"/>
            <w:vAlign w:val="center"/>
          </w:tcPr>
          <w:p w14:paraId="5C76A210">
            <w:pPr>
              <w:widowControl/>
              <w:jc w:val="left"/>
              <w:rPr>
                <w:rFonts w:cs="Times New Roman" w:eastAsiaTheme="minorEastAsia"/>
                <w:color w:val="000000"/>
                <w:kern w:val="0"/>
                <w:sz w:val="20"/>
                <w:szCs w:val="20"/>
              </w:rPr>
            </w:pPr>
          </w:p>
        </w:tc>
        <w:tc>
          <w:tcPr>
            <w:tcW w:w="350" w:type="pct"/>
            <w:vMerge w:val="continue"/>
            <w:vAlign w:val="center"/>
          </w:tcPr>
          <w:p w14:paraId="13A75004">
            <w:pPr>
              <w:widowControl/>
              <w:jc w:val="left"/>
              <w:rPr>
                <w:rFonts w:cs="Times New Roman" w:eastAsiaTheme="minorEastAsia"/>
                <w:color w:val="000000"/>
                <w:kern w:val="0"/>
                <w:sz w:val="20"/>
                <w:szCs w:val="20"/>
              </w:rPr>
            </w:pPr>
          </w:p>
        </w:tc>
        <w:tc>
          <w:tcPr>
            <w:tcW w:w="511" w:type="pct"/>
            <w:shd w:val="clear" w:color="auto" w:fill="auto"/>
            <w:vAlign w:val="center"/>
          </w:tcPr>
          <w:p w14:paraId="44B85666">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2A61D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9" w:type="pct"/>
            <w:shd w:val="clear" w:color="auto" w:fill="auto"/>
            <w:vAlign w:val="center"/>
          </w:tcPr>
          <w:p w14:paraId="77E77A2D">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合计：</w:t>
            </w:r>
          </w:p>
        </w:tc>
        <w:tc>
          <w:tcPr>
            <w:tcW w:w="1300" w:type="pct"/>
            <w:shd w:val="clear" w:color="auto" w:fill="auto"/>
            <w:vAlign w:val="center"/>
          </w:tcPr>
          <w:p w14:paraId="0B272B3F">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400" w:type="pct"/>
            <w:shd w:val="clear" w:color="auto" w:fill="auto"/>
            <w:vAlign w:val="center"/>
          </w:tcPr>
          <w:p w14:paraId="6ACFAD38">
            <w:pPr>
              <w:widowControl/>
              <w:jc w:val="center"/>
              <w:rPr>
                <w:rFonts w:cs="Times New Roman" w:eastAsiaTheme="minorEastAsia"/>
                <w:b/>
                <w:bCs/>
                <w:color w:val="000000"/>
                <w:kern w:val="0"/>
                <w:sz w:val="20"/>
                <w:szCs w:val="20"/>
              </w:rPr>
            </w:pPr>
            <w:r>
              <w:rPr>
                <w:rFonts w:cs="Times New Roman" w:eastAsiaTheme="minorEastAsia"/>
                <w:b/>
                <w:bCs/>
                <w:color w:val="000000"/>
                <w:kern w:val="0"/>
                <w:sz w:val="20"/>
                <w:szCs w:val="20"/>
              </w:rPr>
              <w:t>6900</w:t>
            </w:r>
          </w:p>
        </w:tc>
        <w:tc>
          <w:tcPr>
            <w:tcW w:w="449" w:type="pct"/>
            <w:shd w:val="clear" w:color="auto" w:fill="auto"/>
            <w:vAlign w:val="center"/>
          </w:tcPr>
          <w:p w14:paraId="590B4054">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3544C5F0">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3E6576E7">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00" w:type="pct"/>
            <w:shd w:val="clear" w:color="auto" w:fill="auto"/>
            <w:vAlign w:val="center"/>
          </w:tcPr>
          <w:p w14:paraId="5C22A82C">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350" w:type="pct"/>
            <w:shd w:val="clear" w:color="auto" w:fill="auto"/>
            <w:vAlign w:val="center"/>
          </w:tcPr>
          <w:p w14:paraId="17F77F32">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782411B2">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44A9C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89" w:type="pct"/>
            <w:shd w:val="clear" w:color="auto" w:fill="auto"/>
            <w:vAlign w:val="center"/>
          </w:tcPr>
          <w:p w14:paraId="488D0026">
            <w:pPr>
              <w:widowControl/>
              <w:jc w:val="center"/>
              <w:rPr>
                <w:rFonts w:cs="Times New Roman" w:eastAsiaTheme="minorEastAsia"/>
                <w:b/>
                <w:bCs/>
                <w:color w:val="000000"/>
                <w:kern w:val="0"/>
                <w:sz w:val="20"/>
                <w:szCs w:val="20"/>
              </w:rPr>
            </w:pPr>
            <w:r>
              <w:rPr>
                <w:rFonts w:cs="Times New Roman" w:eastAsiaTheme="minorEastAsia"/>
                <w:b/>
                <w:bCs/>
                <w:color w:val="000000"/>
                <w:kern w:val="0"/>
                <w:sz w:val="20"/>
                <w:szCs w:val="20"/>
              </w:rPr>
              <w:t>五</w:t>
            </w:r>
          </w:p>
        </w:tc>
        <w:tc>
          <w:tcPr>
            <w:tcW w:w="1300" w:type="pct"/>
            <w:shd w:val="clear" w:color="auto" w:fill="auto"/>
            <w:vAlign w:val="center"/>
          </w:tcPr>
          <w:p w14:paraId="7C55EACD">
            <w:pPr>
              <w:widowControl/>
              <w:jc w:val="center"/>
              <w:rPr>
                <w:rFonts w:cs="Times New Roman" w:eastAsiaTheme="minorEastAsia"/>
                <w:b/>
                <w:bCs/>
                <w:color w:val="000000"/>
                <w:kern w:val="0"/>
                <w:sz w:val="20"/>
                <w:szCs w:val="20"/>
              </w:rPr>
            </w:pPr>
            <w:r>
              <w:rPr>
                <w:rFonts w:cs="Times New Roman" w:eastAsiaTheme="minorEastAsia"/>
                <w:b/>
                <w:bCs/>
                <w:color w:val="000000"/>
                <w:kern w:val="0"/>
                <w:sz w:val="20"/>
                <w:szCs w:val="20"/>
              </w:rPr>
              <w:t>水务管理能力提升</w:t>
            </w:r>
          </w:p>
        </w:tc>
        <w:tc>
          <w:tcPr>
            <w:tcW w:w="400" w:type="pct"/>
            <w:shd w:val="clear" w:color="auto" w:fill="auto"/>
            <w:vAlign w:val="center"/>
          </w:tcPr>
          <w:p w14:paraId="2643E8C6">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449" w:type="pct"/>
            <w:shd w:val="clear" w:color="auto" w:fill="auto"/>
            <w:vAlign w:val="center"/>
          </w:tcPr>
          <w:p w14:paraId="208D21D8">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66579946">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3750AC77">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00" w:type="pct"/>
            <w:shd w:val="clear" w:color="auto" w:fill="auto"/>
            <w:vAlign w:val="center"/>
          </w:tcPr>
          <w:p w14:paraId="56176F3C">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350" w:type="pct"/>
            <w:shd w:val="clear" w:color="auto" w:fill="auto"/>
            <w:vAlign w:val="center"/>
          </w:tcPr>
          <w:p w14:paraId="36897926">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300BB52A">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5F8D3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289" w:type="pct"/>
            <w:shd w:val="clear" w:color="auto" w:fill="auto"/>
            <w:vAlign w:val="center"/>
          </w:tcPr>
          <w:p w14:paraId="597EE010">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1</w:t>
            </w:r>
          </w:p>
        </w:tc>
        <w:tc>
          <w:tcPr>
            <w:tcW w:w="1300" w:type="pct"/>
            <w:shd w:val="clear" w:color="auto" w:fill="auto"/>
            <w:vAlign w:val="center"/>
          </w:tcPr>
          <w:p w14:paraId="6BB1B3E6">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《秦淮区排水防涝专项规划》等专项规划编制，《河道洪水风险图》、《超标准洪水预案》编制</w:t>
            </w:r>
          </w:p>
        </w:tc>
        <w:tc>
          <w:tcPr>
            <w:tcW w:w="400" w:type="pct"/>
            <w:shd w:val="clear" w:color="auto" w:fill="auto"/>
            <w:vAlign w:val="center"/>
          </w:tcPr>
          <w:p w14:paraId="3E556E0E">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200</w:t>
            </w:r>
          </w:p>
        </w:tc>
        <w:tc>
          <w:tcPr>
            <w:tcW w:w="449" w:type="pct"/>
            <w:shd w:val="clear" w:color="auto" w:fill="auto"/>
            <w:vAlign w:val="center"/>
          </w:tcPr>
          <w:p w14:paraId="11E3AF3A">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51D135B2">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200</w:t>
            </w:r>
          </w:p>
        </w:tc>
        <w:tc>
          <w:tcPr>
            <w:tcW w:w="600" w:type="pct"/>
            <w:shd w:val="clear" w:color="auto" w:fill="auto"/>
            <w:vAlign w:val="center"/>
          </w:tcPr>
          <w:p w14:paraId="558B102B">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00" w:type="pct"/>
            <w:shd w:val="clear" w:color="auto" w:fill="auto"/>
            <w:vAlign w:val="center"/>
          </w:tcPr>
          <w:p w14:paraId="38EF066B">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完善防洪治涝规划</w:t>
            </w:r>
          </w:p>
        </w:tc>
        <w:tc>
          <w:tcPr>
            <w:tcW w:w="350" w:type="pct"/>
            <w:shd w:val="clear" w:color="auto" w:fill="auto"/>
            <w:vAlign w:val="center"/>
          </w:tcPr>
          <w:p w14:paraId="127FD4A4">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04758C2C">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3BEF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89" w:type="pct"/>
            <w:shd w:val="clear" w:color="auto" w:fill="auto"/>
            <w:vAlign w:val="center"/>
          </w:tcPr>
          <w:p w14:paraId="6FA3973B">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2</w:t>
            </w:r>
          </w:p>
        </w:tc>
        <w:tc>
          <w:tcPr>
            <w:tcW w:w="1300" w:type="pct"/>
            <w:shd w:val="clear" w:color="auto" w:fill="auto"/>
            <w:vAlign w:val="center"/>
          </w:tcPr>
          <w:p w14:paraId="3E1A26DF">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智慧水务综合管控平台运行管理、GIS库数据更新等</w:t>
            </w:r>
          </w:p>
        </w:tc>
        <w:tc>
          <w:tcPr>
            <w:tcW w:w="400" w:type="pct"/>
            <w:shd w:val="clear" w:color="auto" w:fill="auto"/>
            <w:vAlign w:val="center"/>
          </w:tcPr>
          <w:p w14:paraId="41C9D73D">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1000</w:t>
            </w:r>
          </w:p>
        </w:tc>
        <w:tc>
          <w:tcPr>
            <w:tcW w:w="449" w:type="pct"/>
            <w:shd w:val="clear" w:color="auto" w:fill="auto"/>
            <w:vAlign w:val="center"/>
          </w:tcPr>
          <w:p w14:paraId="55ECEAE6">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200</w:t>
            </w:r>
          </w:p>
        </w:tc>
        <w:tc>
          <w:tcPr>
            <w:tcW w:w="600" w:type="pct"/>
            <w:shd w:val="clear" w:color="auto" w:fill="auto"/>
            <w:vAlign w:val="center"/>
          </w:tcPr>
          <w:p w14:paraId="552DB135">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400</w:t>
            </w:r>
          </w:p>
        </w:tc>
        <w:tc>
          <w:tcPr>
            <w:tcW w:w="600" w:type="pct"/>
            <w:shd w:val="clear" w:color="auto" w:fill="auto"/>
            <w:vAlign w:val="center"/>
          </w:tcPr>
          <w:p w14:paraId="5E3289FA">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400</w:t>
            </w:r>
          </w:p>
        </w:tc>
        <w:tc>
          <w:tcPr>
            <w:tcW w:w="500" w:type="pct"/>
            <w:shd w:val="clear" w:color="auto" w:fill="auto"/>
            <w:vAlign w:val="center"/>
          </w:tcPr>
          <w:p w14:paraId="527A4D08">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智慧水务建设</w:t>
            </w:r>
          </w:p>
        </w:tc>
        <w:tc>
          <w:tcPr>
            <w:tcW w:w="350" w:type="pct"/>
            <w:shd w:val="clear" w:color="auto" w:fill="auto"/>
            <w:vAlign w:val="center"/>
          </w:tcPr>
          <w:p w14:paraId="71CCFD4B">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6B27937D">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740F2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89" w:type="pct"/>
            <w:shd w:val="clear" w:color="auto" w:fill="auto"/>
            <w:vAlign w:val="center"/>
          </w:tcPr>
          <w:p w14:paraId="4674A96E">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3</w:t>
            </w:r>
          </w:p>
        </w:tc>
        <w:tc>
          <w:tcPr>
            <w:tcW w:w="1300" w:type="pct"/>
            <w:shd w:val="clear" w:color="auto" w:fill="auto"/>
            <w:vAlign w:val="center"/>
          </w:tcPr>
          <w:p w14:paraId="0C22D51F">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水环境常态化监测监控</w:t>
            </w:r>
          </w:p>
        </w:tc>
        <w:tc>
          <w:tcPr>
            <w:tcW w:w="400" w:type="pct"/>
            <w:shd w:val="clear" w:color="auto" w:fill="auto"/>
            <w:vAlign w:val="center"/>
          </w:tcPr>
          <w:p w14:paraId="353DABFA">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500</w:t>
            </w:r>
          </w:p>
        </w:tc>
        <w:tc>
          <w:tcPr>
            <w:tcW w:w="449" w:type="pct"/>
            <w:shd w:val="clear" w:color="auto" w:fill="auto"/>
            <w:vAlign w:val="center"/>
          </w:tcPr>
          <w:p w14:paraId="053F718E">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7F565DAF">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500</w:t>
            </w:r>
          </w:p>
        </w:tc>
        <w:tc>
          <w:tcPr>
            <w:tcW w:w="600" w:type="pct"/>
            <w:shd w:val="clear" w:color="auto" w:fill="auto"/>
            <w:vAlign w:val="center"/>
          </w:tcPr>
          <w:p w14:paraId="7A0E11B6">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00" w:type="pct"/>
            <w:shd w:val="clear" w:color="auto" w:fill="auto"/>
            <w:vAlign w:val="center"/>
          </w:tcPr>
          <w:p w14:paraId="7FC68C9A">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350" w:type="pct"/>
            <w:shd w:val="clear" w:color="auto" w:fill="auto"/>
            <w:vAlign w:val="center"/>
          </w:tcPr>
          <w:p w14:paraId="02FFF09D">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6B8C7C17">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1183F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89" w:type="pct"/>
            <w:shd w:val="clear" w:color="auto" w:fill="auto"/>
            <w:vAlign w:val="center"/>
          </w:tcPr>
          <w:p w14:paraId="08DBFAF0">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4</w:t>
            </w:r>
          </w:p>
        </w:tc>
        <w:tc>
          <w:tcPr>
            <w:tcW w:w="1300" w:type="pct"/>
            <w:shd w:val="clear" w:color="auto" w:fill="auto"/>
            <w:vAlign w:val="center"/>
          </w:tcPr>
          <w:p w14:paraId="7C3FF9EE">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河道岸线保护范围划定</w:t>
            </w:r>
          </w:p>
        </w:tc>
        <w:tc>
          <w:tcPr>
            <w:tcW w:w="400" w:type="pct"/>
            <w:shd w:val="clear" w:color="auto" w:fill="auto"/>
            <w:vAlign w:val="center"/>
          </w:tcPr>
          <w:p w14:paraId="16A3F29C">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100</w:t>
            </w:r>
          </w:p>
        </w:tc>
        <w:tc>
          <w:tcPr>
            <w:tcW w:w="449" w:type="pct"/>
            <w:shd w:val="clear" w:color="auto" w:fill="auto"/>
            <w:vAlign w:val="center"/>
          </w:tcPr>
          <w:p w14:paraId="3265E13C">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4F2EDF97">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5B201A1C">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100</w:t>
            </w:r>
          </w:p>
        </w:tc>
        <w:tc>
          <w:tcPr>
            <w:tcW w:w="500" w:type="pct"/>
            <w:shd w:val="clear" w:color="auto" w:fill="auto"/>
            <w:vAlign w:val="center"/>
          </w:tcPr>
          <w:p w14:paraId="7A9F0C39">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河道岸线保护</w:t>
            </w:r>
          </w:p>
        </w:tc>
        <w:tc>
          <w:tcPr>
            <w:tcW w:w="350" w:type="pct"/>
            <w:shd w:val="clear" w:color="auto" w:fill="auto"/>
            <w:vAlign w:val="center"/>
          </w:tcPr>
          <w:p w14:paraId="1C93D204">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223272E5">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59FA2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9" w:type="pct"/>
            <w:shd w:val="clear" w:color="auto" w:fill="auto"/>
            <w:vAlign w:val="center"/>
          </w:tcPr>
          <w:p w14:paraId="2912874D">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合计：</w:t>
            </w:r>
          </w:p>
        </w:tc>
        <w:tc>
          <w:tcPr>
            <w:tcW w:w="1300" w:type="pct"/>
            <w:shd w:val="clear" w:color="auto" w:fill="auto"/>
            <w:vAlign w:val="center"/>
          </w:tcPr>
          <w:p w14:paraId="25CE447D">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400" w:type="pct"/>
            <w:shd w:val="clear" w:color="auto" w:fill="auto"/>
            <w:vAlign w:val="center"/>
          </w:tcPr>
          <w:p w14:paraId="3EC09072">
            <w:pPr>
              <w:widowControl/>
              <w:jc w:val="center"/>
              <w:rPr>
                <w:rFonts w:cs="Times New Roman" w:eastAsiaTheme="minorEastAsia"/>
                <w:b/>
                <w:bCs/>
                <w:color w:val="000000"/>
                <w:kern w:val="0"/>
                <w:sz w:val="20"/>
                <w:szCs w:val="20"/>
              </w:rPr>
            </w:pPr>
            <w:r>
              <w:rPr>
                <w:rFonts w:cs="Times New Roman" w:eastAsiaTheme="minorEastAsia"/>
                <w:b/>
                <w:bCs/>
                <w:color w:val="000000"/>
                <w:kern w:val="0"/>
                <w:sz w:val="20"/>
                <w:szCs w:val="20"/>
              </w:rPr>
              <w:t>1800</w:t>
            </w:r>
          </w:p>
        </w:tc>
        <w:tc>
          <w:tcPr>
            <w:tcW w:w="449" w:type="pct"/>
            <w:shd w:val="clear" w:color="auto" w:fill="auto"/>
            <w:vAlign w:val="center"/>
          </w:tcPr>
          <w:p w14:paraId="5A59E728">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5ED4DD94">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21634556">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00" w:type="pct"/>
            <w:shd w:val="clear" w:color="auto" w:fill="auto"/>
            <w:vAlign w:val="center"/>
          </w:tcPr>
          <w:p w14:paraId="7907A534">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350" w:type="pct"/>
            <w:shd w:val="clear" w:color="auto" w:fill="auto"/>
            <w:vAlign w:val="center"/>
          </w:tcPr>
          <w:p w14:paraId="503E06BF">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248F7694">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12F5F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89" w:type="pct"/>
            <w:shd w:val="clear" w:color="auto" w:fill="auto"/>
            <w:vAlign w:val="center"/>
          </w:tcPr>
          <w:p w14:paraId="14EF1DA9">
            <w:pPr>
              <w:widowControl/>
              <w:jc w:val="center"/>
              <w:rPr>
                <w:rFonts w:cs="Times New Roman" w:eastAsiaTheme="minorEastAsia"/>
                <w:b/>
                <w:bCs/>
                <w:color w:val="000000"/>
                <w:kern w:val="0"/>
                <w:sz w:val="20"/>
                <w:szCs w:val="20"/>
              </w:rPr>
            </w:pPr>
            <w:r>
              <w:rPr>
                <w:rFonts w:cs="Times New Roman" w:eastAsiaTheme="minorEastAsia"/>
                <w:b/>
                <w:bCs/>
                <w:color w:val="000000"/>
                <w:kern w:val="0"/>
                <w:sz w:val="20"/>
                <w:szCs w:val="20"/>
              </w:rPr>
              <w:t>六</w:t>
            </w:r>
          </w:p>
        </w:tc>
        <w:tc>
          <w:tcPr>
            <w:tcW w:w="1300" w:type="pct"/>
            <w:shd w:val="clear" w:color="auto" w:fill="auto"/>
            <w:vAlign w:val="center"/>
          </w:tcPr>
          <w:p w14:paraId="766BC882">
            <w:pPr>
              <w:widowControl/>
              <w:jc w:val="center"/>
              <w:rPr>
                <w:rFonts w:cs="Times New Roman" w:eastAsiaTheme="minorEastAsia"/>
                <w:b/>
                <w:bCs/>
                <w:color w:val="000000"/>
                <w:kern w:val="0"/>
                <w:sz w:val="20"/>
                <w:szCs w:val="20"/>
              </w:rPr>
            </w:pPr>
            <w:r>
              <w:rPr>
                <w:rFonts w:cs="Times New Roman" w:eastAsiaTheme="minorEastAsia"/>
                <w:b/>
                <w:bCs/>
                <w:color w:val="000000"/>
                <w:kern w:val="0"/>
                <w:sz w:val="20"/>
                <w:szCs w:val="20"/>
              </w:rPr>
              <w:t>水文化建设</w:t>
            </w:r>
          </w:p>
        </w:tc>
        <w:tc>
          <w:tcPr>
            <w:tcW w:w="400" w:type="pct"/>
            <w:shd w:val="clear" w:color="auto" w:fill="auto"/>
            <w:vAlign w:val="center"/>
          </w:tcPr>
          <w:p w14:paraId="09472346">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449" w:type="pct"/>
            <w:shd w:val="clear" w:color="auto" w:fill="auto"/>
            <w:vAlign w:val="center"/>
          </w:tcPr>
          <w:p w14:paraId="1C724620">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02C315D6">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043A8EE7">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00" w:type="pct"/>
            <w:shd w:val="clear" w:color="auto" w:fill="auto"/>
            <w:vAlign w:val="center"/>
          </w:tcPr>
          <w:p w14:paraId="35FF055A">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350" w:type="pct"/>
            <w:shd w:val="clear" w:color="auto" w:fill="auto"/>
            <w:vAlign w:val="center"/>
          </w:tcPr>
          <w:p w14:paraId="42D2EA1B">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760865D9">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56C2E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89" w:type="pct"/>
            <w:shd w:val="clear" w:color="auto" w:fill="auto"/>
            <w:vAlign w:val="center"/>
          </w:tcPr>
          <w:p w14:paraId="20147D1F">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1</w:t>
            </w:r>
          </w:p>
        </w:tc>
        <w:tc>
          <w:tcPr>
            <w:tcW w:w="1300" w:type="pct"/>
            <w:shd w:val="clear" w:color="auto" w:fill="auto"/>
            <w:vAlign w:val="center"/>
          </w:tcPr>
          <w:p w14:paraId="48E19B04">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秦淮水文化博物馆建设</w:t>
            </w:r>
          </w:p>
        </w:tc>
        <w:tc>
          <w:tcPr>
            <w:tcW w:w="400" w:type="pct"/>
            <w:shd w:val="clear" w:color="auto" w:fill="auto"/>
            <w:vAlign w:val="center"/>
          </w:tcPr>
          <w:p w14:paraId="09BB8E9F">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500</w:t>
            </w:r>
          </w:p>
        </w:tc>
        <w:tc>
          <w:tcPr>
            <w:tcW w:w="449" w:type="pct"/>
            <w:shd w:val="clear" w:color="auto" w:fill="auto"/>
            <w:vAlign w:val="center"/>
          </w:tcPr>
          <w:p w14:paraId="0D784E67">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09E3A5A0">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500</w:t>
            </w:r>
          </w:p>
        </w:tc>
        <w:tc>
          <w:tcPr>
            <w:tcW w:w="600" w:type="pct"/>
            <w:shd w:val="clear" w:color="auto" w:fill="auto"/>
            <w:vAlign w:val="center"/>
          </w:tcPr>
          <w:p w14:paraId="0AFA3283">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00" w:type="pct"/>
            <w:shd w:val="clear" w:color="auto" w:fill="auto"/>
            <w:vAlign w:val="center"/>
          </w:tcPr>
          <w:p w14:paraId="124BEAC5">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350" w:type="pct"/>
            <w:shd w:val="clear" w:color="auto" w:fill="auto"/>
            <w:vAlign w:val="center"/>
          </w:tcPr>
          <w:p w14:paraId="4D3A8B7E">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0DDD6F30">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5FAF9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89" w:type="pct"/>
            <w:shd w:val="clear" w:color="auto" w:fill="auto"/>
            <w:vAlign w:val="center"/>
          </w:tcPr>
          <w:p w14:paraId="3A956E50">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2</w:t>
            </w:r>
          </w:p>
        </w:tc>
        <w:tc>
          <w:tcPr>
            <w:tcW w:w="1300" w:type="pct"/>
            <w:shd w:val="clear" w:color="auto" w:fill="auto"/>
            <w:vAlign w:val="center"/>
          </w:tcPr>
          <w:p w14:paraId="3744D458">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水文化宣传、竞赛、评比等</w:t>
            </w:r>
          </w:p>
        </w:tc>
        <w:tc>
          <w:tcPr>
            <w:tcW w:w="400" w:type="pct"/>
            <w:shd w:val="clear" w:color="auto" w:fill="auto"/>
            <w:vAlign w:val="center"/>
          </w:tcPr>
          <w:p w14:paraId="491B8249">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200</w:t>
            </w:r>
          </w:p>
        </w:tc>
        <w:tc>
          <w:tcPr>
            <w:tcW w:w="449" w:type="pct"/>
            <w:shd w:val="clear" w:color="auto" w:fill="auto"/>
            <w:vAlign w:val="center"/>
          </w:tcPr>
          <w:p w14:paraId="231A74AB">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68A881E5">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310B6857">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200</w:t>
            </w:r>
          </w:p>
        </w:tc>
        <w:tc>
          <w:tcPr>
            <w:tcW w:w="500" w:type="pct"/>
            <w:shd w:val="clear" w:color="auto" w:fill="auto"/>
            <w:vAlign w:val="center"/>
          </w:tcPr>
          <w:p w14:paraId="5C483A71">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350" w:type="pct"/>
            <w:shd w:val="clear" w:color="auto" w:fill="auto"/>
            <w:vAlign w:val="center"/>
          </w:tcPr>
          <w:p w14:paraId="088E82A5">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5BD10270">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17BDE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 w:hRule="atLeast"/>
        </w:trPr>
        <w:tc>
          <w:tcPr>
            <w:tcW w:w="289" w:type="pct"/>
            <w:shd w:val="clear" w:color="auto" w:fill="auto"/>
            <w:vAlign w:val="center"/>
          </w:tcPr>
          <w:p w14:paraId="11F663D5">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3</w:t>
            </w:r>
          </w:p>
        </w:tc>
        <w:tc>
          <w:tcPr>
            <w:tcW w:w="1300" w:type="pct"/>
            <w:shd w:val="clear" w:color="auto" w:fill="auto"/>
            <w:vAlign w:val="center"/>
          </w:tcPr>
          <w:p w14:paraId="0D571C6C">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月牙湖水利风景区创建、评估</w:t>
            </w:r>
          </w:p>
        </w:tc>
        <w:tc>
          <w:tcPr>
            <w:tcW w:w="400" w:type="pct"/>
            <w:shd w:val="clear" w:color="auto" w:fill="auto"/>
            <w:vAlign w:val="center"/>
          </w:tcPr>
          <w:p w14:paraId="540AFF09">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200</w:t>
            </w:r>
          </w:p>
        </w:tc>
        <w:tc>
          <w:tcPr>
            <w:tcW w:w="449" w:type="pct"/>
            <w:shd w:val="clear" w:color="auto" w:fill="auto"/>
            <w:vAlign w:val="center"/>
          </w:tcPr>
          <w:p w14:paraId="1F12F365">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17056D01">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69AF3019">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200</w:t>
            </w:r>
          </w:p>
        </w:tc>
        <w:tc>
          <w:tcPr>
            <w:tcW w:w="500" w:type="pct"/>
            <w:shd w:val="clear" w:color="auto" w:fill="auto"/>
            <w:vAlign w:val="center"/>
          </w:tcPr>
          <w:p w14:paraId="66ACAD2C">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350" w:type="pct"/>
            <w:shd w:val="clear" w:color="auto" w:fill="auto"/>
            <w:vAlign w:val="center"/>
          </w:tcPr>
          <w:p w14:paraId="423201AF">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3F385F86">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60D47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9" w:type="pct"/>
            <w:shd w:val="clear" w:color="auto" w:fill="auto"/>
            <w:vAlign w:val="center"/>
          </w:tcPr>
          <w:p w14:paraId="1037C0F4">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合计：</w:t>
            </w:r>
          </w:p>
        </w:tc>
        <w:tc>
          <w:tcPr>
            <w:tcW w:w="1300" w:type="pct"/>
            <w:shd w:val="clear" w:color="auto" w:fill="auto"/>
            <w:vAlign w:val="center"/>
          </w:tcPr>
          <w:p w14:paraId="7179C376">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400" w:type="pct"/>
            <w:shd w:val="clear" w:color="auto" w:fill="auto"/>
            <w:vAlign w:val="center"/>
          </w:tcPr>
          <w:p w14:paraId="0A68BB29">
            <w:pPr>
              <w:widowControl/>
              <w:jc w:val="center"/>
              <w:rPr>
                <w:rFonts w:cs="Times New Roman" w:eastAsiaTheme="minorEastAsia"/>
                <w:b/>
                <w:bCs/>
                <w:color w:val="000000"/>
                <w:kern w:val="0"/>
                <w:sz w:val="20"/>
                <w:szCs w:val="20"/>
              </w:rPr>
            </w:pPr>
            <w:r>
              <w:rPr>
                <w:rFonts w:cs="Times New Roman" w:eastAsiaTheme="minorEastAsia"/>
                <w:b/>
                <w:bCs/>
                <w:color w:val="000000"/>
                <w:kern w:val="0"/>
                <w:sz w:val="20"/>
                <w:szCs w:val="20"/>
              </w:rPr>
              <w:t>900</w:t>
            </w:r>
          </w:p>
        </w:tc>
        <w:tc>
          <w:tcPr>
            <w:tcW w:w="449" w:type="pct"/>
            <w:shd w:val="clear" w:color="auto" w:fill="auto"/>
            <w:vAlign w:val="center"/>
          </w:tcPr>
          <w:p w14:paraId="630A8D50">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5A89A504">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3CF01B7D">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00" w:type="pct"/>
            <w:shd w:val="clear" w:color="auto" w:fill="auto"/>
            <w:vAlign w:val="center"/>
          </w:tcPr>
          <w:p w14:paraId="3CC72D61">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350" w:type="pct"/>
            <w:shd w:val="clear" w:color="auto" w:fill="auto"/>
            <w:vAlign w:val="center"/>
          </w:tcPr>
          <w:p w14:paraId="1D2B4F86">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529BF952">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r>
      <w:tr w14:paraId="145FD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9" w:type="pct"/>
            <w:shd w:val="clear" w:color="auto" w:fill="auto"/>
            <w:vAlign w:val="center"/>
          </w:tcPr>
          <w:p w14:paraId="2E69EF7E">
            <w:pPr>
              <w:widowControl/>
              <w:jc w:val="center"/>
              <w:rPr>
                <w:rFonts w:cs="Times New Roman" w:eastAsiaTheme="minorEastAsia"/>
                <w:b/>
                <w:bCs/>
                <w:color w:val="000000"/>
                <w:kern w:val="0"/>
                <w:sz w:val="20"/>
                <w:szCs w:val="20"/>
              </w:rPr>
            </w:pPr>
            <w:r>
              <w:rPr>
                <w:rFonts w:cs="Times New Roman" w:eastAsiaTheme="minorEastAsia"/>
                <w:b/>
                <w:bCs/>
                <w:color w:val="000000"/>
                <w:kern w:val="0"/>
                <w:sz w:val="20"/>
                <w:szCs w:val="20"/>
              </w:rPr>
              <w:t>总计：</w:t>
            </w:r>
          </w:p>
        </w:tc>
        <w:tc>
          <w:tcPr>
            <w:tcW w:w="1300" w:type="pct"/>
            <w:shd w:val="clear" w:color="auto" w:fill="auto"/>
            <w:vAlign w:val="center"/>
          </w:tcPr>
          <w:p w14:paraId="45A34A8C">
            <w:pPr>
              <w:widowControl/>
              <w:jc w:val="left"/>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400" w:type="pct"/>
            <w:shd w:val="clear" w:color="auto" w:fill="auto"/>
            <w:vAlign w:val="center"/>
          </w:tcPr>
          <w:p w14:paraId="1FB390E1">
            <w:pPr>
              <w:widowControl/>
              <w:jc w:val="center"/>
              <w:rPr>
                <w:rFonts w:cs="Times New Roman" w:eastAsiaTheme="minorEastAsia"/>
                <w:b/>
                <w:bCs/>
                <w:color w:val="000000"/>
                <w:kern w:val="0"/>
                <w:sz w:val="20"/>
                <w:szCs w:val="20"/>
              </w:rPr>
            </w:pPr>
            <w:r>
              <w:rPr>
                <w:rFonts w:cs="Times New Roman" w:eastAsiaTheme="minorEastAsia"/>
                <w:b/>
                <w:bCs/>
                <w:color w:val="000000"/>
                <w:kern w:val="0"/>
                <w:sz w:val="20"/>
                <w:szCs w:val="20"/>
              </w:rPr>
              <w:t>175770</w:t>
            </w:r>
          </w:p>
        </w:tc>
        <w:tc>
          <w:tcPr>
            <w:tcW w:w="449" w:type="pct"/>
            <w:shd w:val="clear" w:color="auto" w:fill="auto"/>
            <w:vAlign w:val="center"/>
          </w:tcPr>
          <w:p w14:paraId="4CBD6E16">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10218AD0">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600" w:type="pct"/>
            <w:shd w:val="clear" w:color="auto" w:fill="auto"/>
            <w:vAlign w:val="center"/>
          </w:tcPr>
          <w:p w14:paraId="11E0F067">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00" w:type="pct"/>
            <w:shd w:val="clear" w:color="auto" w:fill="auto"/>
            <w:vAlign w:val="center"/>
          </w:tcPr>
          <w:p w14:paraId="0EA8CCCE">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350" w:type="pct"/>
            <w:shd w:val="clear" w:color="auto" w:fill="auto"/>
            <w:vAlign w:val="center"/>
          </w:tcPr>
          <w:p w14:paraId="039D5349">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c>
          <w:tcPr>
            <w:tcW w:w="511" w:type="pct"/>
            <w:shd w:val="clear" w:color="auto" w:fill="auto"/>
            <w:vAlign w:val="center"/>
          </w:tcPr>
          <w:p w14:paraId="0C3AF252">
            <w:pPr>
              <w:widowControl/>
              <w:jc w:val="center"/>
              <w:rPr>
                <w:rFonts w:cs="Times New Roman" w:eastAsiaTheme="minorEastAsia"/>
                <w:color w:val="000000"/>
                <w:kern w:val="0"/>
                <w:sz w:val="20"/>
                <w:szCs w:val="20"/>
              </w:rPr>
            </w:pPr>
            <w:r>
              <w:rPr>
                <w:rFonts w:cs="Times New Roman" w:eastAsiaTheme="minorEastAsia"/>
                <w:color w:val="000000"/>
                <w:kern w:val="0"/>
                <w:sz w:val="20"/>
                <w:szCs w:val="20"/>
              </w:rPr>
              <w:t>　</w:t>
            </w:r>
          </w:p>
        </w:tc>
      </w:tr>
    </w:tbl>
    <w:p w14:paraId="043126F1"/>
    <w:sectPr>
      <w:pgSz w:w="16839" w:h="11907" w:orient="landscape"/>
      <w:pgMar w:top="993" w:right="1440" w:bottom="70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方正书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BD471">
    <w:pPr>
      <w:pStyle w:val="10"/>
      <w:jc w:val="center"/>
    </w:pPr>
  </w:p>
  <w:p w14:paraId="50090C5A">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1013927"/>
    </w:sdtPr>
    <w:sdtContent>
      <w:p w14:paraId="1C8C1A50">
        <w:pPr>
          <w:pStyle w:val="10"/>
          <w:jc w:val="center"/>
        </w:pPr>
        <w:r>
          <w:fldChar w:fldCharType="begin"/>
        </w:r>
        <w:r>
          <w:instrText xml:space="preserve">PAGE   \* MERGEFORMAT</w:instrText>
        </w:r>
        <w:r>
          <w:fldChar w:fldCharType="separate"/>
        </w:r>
        <w:r>
          <w:rPr>
            <w:lang w:val="zh-CN"/>
          </w:rPr>
          <w:t>28</w:t>
        </w:r>
        <w:r>
          <w:rPr>
            <w:lang w:val="zh-CN"/>
          </w:rPr>
          <w:fldChar w:fldCharType="end"/>
        </w:r>
      </w:p>
    </w:sdtContent>
  </w:sdt>
  <w:p w14:paraId="3F45F25A">
    <w:pPr>
      <w:pStyle w:val="8"/>
      <w:kinsoku w:val="0"/>
      <w:overflowPunct w:val="0"/>
      <w:spacing w:line="14" w:lineRule="auto"/>
      <w:rPr>
        <w:rFonts w:ascii="Times New Roman" w:cs="Times New Roman" w:eastAsiaTheme="minorEastAsia"/>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CE939">
    <w:pPr>
      <w:pStyle w:val="8"/>
      <w:kinsoku w:val="0"/>
      <w:overflowPunct w:val="0"/>
      <w:spacing w:line="14" w:lineRule="auto"/>
      <w:rPr>
        <w:rFonts w:ascii="Times New Roman" w:cs="Times New Roman" w:eastAsiaTheme="minorEastAsia"/>
        <w:sz w:val="20"/>
        <w:szCs w:val="20"/>
      </w:rPr>
    </w:pPr>
    <w:r>
      <mc:AlternateContent>
        <mc:Choice Requires="wps">
          <w:drawing>
            <wp:anchor distT="0" distB="0" distL="114300" distR="114300" simplePos="0" relativeHeight="251659264" behindDoc="1" locked="0" layoutInCell="0" allowOverlap="1">
              <wp:simplePos x="0" y="0"/>
              <wp:positionH relativeFrom="page">
                <wp:posOffset>3596640</wp:posOffset>
              </wp:positionH>
              <wp:positionV relativeFrom="page">
                <wp:posOffset>9966960</wp:posOffset>
              </wp:positionV>
              <wp:extent cx="165100" cy="152400"/>
              <wp:effectExtent l="0" t="0" r="0" b="0"/>
              <wp:wrapNone/>
              <wp:docPr id="6"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65100" cy="152400"/>
                      </a:xfrm>
                      <a:prstGeom prst="rect">
                        <a:avLst/>
                      </a:prstGeom>
                      <a:noFill/>
                      <a:ln>
                        <a:noFill/>
                      </a:ln>
                      <a:effectLst/>
                    </wps:spPr>
                    <wps:txbx>
                      <w:txbxContent>
                        <w:p w14:paraId="76B8EC5A">
                          <w:pPr>
                            <w:pStyle w:val="8"/>
                            <w:kinsoku w:val="0"/>
                            <w:overflowPunct w:val="0"/>
                            <w:spacing w:before="12"/>
                            <w:ind w:left="40"/>
                            <w:rPr>
                              <w:rFonts w:ascii="Times New Roman" w:cs="Times New Roman" w:eastAsiaTheme="minorEastAsia"/>
                              <w:sz w:val="18"/>
                              <w:szCs w:val="18"/>
                            </w:rPr>
                          </w:pPr>
                          <w:r>
                            <w:rPr>
                              <w:rFonts w:ascii="Times New Roman" w:cs="Times New Roman" w:eastAsiaTheme="minorEastAsia"/>
                              <w:sz w:val="18"/>
                              <w:szCs w:val="18"/>
                            </w:rPr>
                            <w:fldChar w:fldCharType="begin"/>
                          </w:r>
                          <w:r>
                            <w:rPr>
                              <w:rFonts w:ascii="Times New Roman" w:cs="Times New Roman" w:eastAsiaTheme="minorEastAsia"/>
                              <w:sz w:val="18"/>
                              <w:szCs w:val="18"/>
                            </w:rPr>
                            <w:instrText xml:space="preserve"> PAGE </w:instrText>
                          </w:r>
                          <w:r>
                            <w:rPr>
                              <w:rFonts w:ascii="Times New Roman" w:cs="Times New Roman" w:eastAsiaTheme="minorEastAsia"/>
                              <w:sz w:val="18"/>
                              <w:szCs w:val="18"/>
                            </w:rPr>
                            <w:fldChar w:fldCharType="separate"/>
                          </w:r>
                          <w:r>
                            <w:rPr>
                              <w:rFonts w:ascii="Times New Roman" w:cs="Times New Roman" w:eastAsiaTheme="minorEastAsia"/>
                              <w:sz w:val="18"/>
                              <w:szCs w:val="18"/>
                            </w:rPr>
                            <w:t>56</w:t>
                          </w:r>
                          <w:r>
                            <w:rPr>
                              <w:rFonts w:ascii="Times New Roman" w:cs="Times New Roman" w:eastAsiaTheme="minorEastAsia"/>
                              <w:sz w:val="18"/>
                              <w:szCs w:val="18"/>
                            </w:rPr>
                            <w:fldChar w:fldCharType="end"/>
                          </w:r>
                        </w:p>
                      </w:txbxContent>
                    </wps:txbx>
                    <wps:bodyPr rot="0" vert="horz" wrap="square" lIns="0" tIns="0" rIns="0" bIns="0" anchor="t" anchorCtr="0" upright="1">
                      <a:noAutofit/>
                    </wps:bodyPr>
                  </wps:wsp>
                </a:graphicData>
              </a:graphic>
            </wp:anchor>
          </w:drawing>
        </mc:Choice>
        <mc:Fallback>
          <w:pict>
            <v:shape id="文本框 7" o:spid="_x0000_s1026" o:spt="202" type="#_x0000_t202" style="position:absolute;left:0pt;margin-left:283.2pt;margin-top:784.8pt;height:12pt;width:13pt;mso-position-horizontal-relative:page;mso-position-vertical-relative:page;z-index:-251657216;mso-width-relative:page;mso-height-relative:page;" filled="f" stroked="f" coordsize="21600,21600" o:allowincell="f" o:gfxdata="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OBMD02QAAAA0BAAAPAAAAAAAAAAEA&#10;IAAAACIAAABkcnMvZG93bnJldi54bWxQSwECFAAUAAAACACHTuJAT4Xy+A4CAAASBAAADgAAAAAA&#10;AAABACAAAAAoAQAAZHJzL2Uyb0RvYy54bWxQSwUGAAAAAAYABgBZAQAAqAUAAAAA&#10;">
              <v:fill on="f" focussize="0,0"/>
              <v:stroke on="f"/>
              <v:imagedata o:title=""/>
              <o:lock v:ext="edit" aspectratio="f"/>
              <v:textbox inset="0mm,0mm,0mm,0mm">
                <w:txbxContent>
                  <w:p w14:paraId="76B8EC5A">
                    <w:pPr>
                      <w:pStyle w:val="8"/>
                      <w:kinsoku w:val="0"/>
                      <w:overflowPunct w:val="0"/>
                      <w:spacing w:before="12"/>
                      <w:ind w:left="40"/>
                      <w:rPr>
                        <w:rFonts w:ascii="Times New Roman" w:cs="Times New Roman" w:eastAsiaTheme="minorEastAsia"/>
                        <w:sz w:val="18"/>
                        <w:szCs w:val="18"/>
                      </w:rPr>
                    </w:pPr>
                    <w:r>
                      <w:rPr>
                        <w:rFonts w:ascii="Times New Roman" w:cs="Times New Roman" w:eastAsiaTheme="minorEastAsia"/>
                        <w:sz w:val="18"/>
                        <w:szCs w:val="18"/>
                      </w:rPr>
                      <w:fldChar w:fldCharType="begin"/>
                    </w:r>
                    <w:r>
                      <w:rPr>
                        <w:rFonts w:ascii="Times New Roman" w:cs="Times New Roman" w:eastAsiaTheme="minorEastAsia"/>
                        <w:sz w:val="18"/>
                        <w:szCs w:val="18"/>
                      </w:rPr>
                      <w:instrText xml:space="preserve"> PAGE </w:instrText>
                    </w:r>
                    <w:r>
                      <w:rPr>
                        <w:rFonts w:ascii="Times New Roman" w:cs="Times New Roman" w:eastAsiaTheme="minorEastAsia"/>
                        <w:sz w:val="18"/>
                        <w:szCs w:val="18"/>
                      </w:rPr>
                      <w:fldChar w:fldCharType="separate"/>
                    </w:r>
                    <w:r>
                      <w:rPr>
                        <w:rFonts w:ascii="Times New Roman" w:cs="Times New Roman" w:eastAsiaTheme="minorEastAsia"/>
                        <w:sz w:val="18"/>
                        <w:szCs w:val="18"/>
                      </w:rPr>
                      <w:t>56</w:t>
                    </w:r>
                    <w:r>
                      <w:rPr>
                        <w:rFonts w:ascii="Times New Roman" w:cs="Times New Roman" w:eastAsiaTheme="minorEastAsia"/>
                        <w:sz w:val="18"/>
                        <w:szCs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86965"/>
    <w:multiLevelType w:val="singleLevel"/>
    <w:tmpl w:val="E308696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57"/>
  <w:drawingGridVerticalSpacing w:val="38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229"/>
    <w:rsid w:val="0000109C"/>
    <w:rsid w:val="00002C5E"/>
    <w:rsid w:val="00016747"/>
    <w:rsid w:val="000236BD"/>
    <w:rsid w:val="000253A5"/>
    <w:rsid w:val="00026C79"/>
    <w:rsid w:val="00031B44"/>
    <w:rsid w:val="00032EFF"/>
    <w:rsid w:val="00032FF7"/>
    <w:rsid w:val="00036510"/>
    <w:rsid w:val="00036628"/>
    <w:rsid w:val="00040E43"/>
    <w:rsid w:val="00046534"/>
    <w:rsid w:val="00051423"/>
    <w:rsid w:val="0005272E"/>
    <w:rsid w:val="00053054"/>
    <w:rsid w:val="00053851"/>
    <w:rsid w:val="00061CA4"/>
    <w:rsid w:val="00062E5A"/>
    <w:rsid w:val="00080017"/>
    <w:rsid w:val="00082402"/>
    <w:rsid w:val="00082582"/>
    <w:rsid w:val="00086DF3"/>
    <w:rsid w:val="00086FAB"/>
    <w:rsid w:val="00087B3E"/>
    <w:rsid w:val="00090782"/>
    <w:rsid w:val="000A17DC"/>
    <w:rsid w:val="000A707D"/>
    <w:rsid w:val="000B0E32"/>
    <w:rsid w:val="000B406E"/>
    <w:rsid w:val="000B5981"/>
    <w:rsid w:val="000C2477"/>
    <w:rsid w:val="000C2852"/>
    <w:rsid w:val="000C3ED7"/>
    <w:rsid w:val="000C7B20"/>
    <w:rsid w:val="000D0413"/>
    <w:rsid w:val="000D4FFB"/>
    <w:rsid w:val="000E339B"/>
    <w:rsid w:val="000E68F9"/>
    <w:rsid w:val="000F191A"/>
    <w:rsid w:val="000F21A8"/>
    <w:rsid w:val="000F3C28"/>
    <w:rsid w:val="000F494E"/>
    <w:rsid w:val="000F5362"/>
    <w:rsid w:val="00101E13"/>
    <w:rsid w:val="001029F5"/>
    <w:rsid w:val="0010554B"/>
    <w:rsid w:val="001142D7"/>
    <w:rsid w:val="00114719"/>
    <w:rsid w:val="00116997"/>
    <w:rsid w:val="00117E7A"/>
    <w:rsid w:val="00120D9D"/>
    <w:rsid w:val="00133374"/>
    <w:rsid w:val="0013482E"/>
    <w:rsid w:val="00135810"/>
    <w:rsid w:val="00135DE4"/>
    <w:rsid w:val="0014025B"/>
    <w:rsid w:val="00144AAD"/>
    <w:rsid w:val="001450B2"/>
    <w:rsid w:val="00146CF1"/>
    <w:rsid w:val="00147E6A"/>
    <w:rsid w:val="00180C3B"/>
    <w:rsid w:val="0018183D"/>
    <w:rsid w:val="001833BE"/>
    <w:rsid w:val="0018509D"/>
    <w:rsid w:val="00185511"/>
    <w:rsid w:val="00185BE9"/>
    <w:rsid w:val="0018742D"/>
    <w:rsid w:val="00191DF8"/>
    <w:rsid w:val="001938DA"/>
    <w:rsid w:val="001977A2"/>
    <w:rsid w:val="001A0A60"/>
    <w:rsid w:val="001A135D"/>
    <w:rsid w:val="001A2885"/>
    <w:rsid w:val="001A6025"/>
    <w:rsid w:val="001B0493"/>
    <w:rsid w:val="001B1170"/>
    <w:rsid w:val="001B2A95"/>
    <w:rsid w:val="001B6BB6"/>
    <w:rsid w:val="001B7241"/>
    <w:rsid w:val="001C1EB5"/>
    <w:rsid w:val="001C34E9"/>
    <w:rsid w:val="001C4142"/>
    <w:rsid w:val="001C568A"/>
    <w:rsid w:val="001C7CD8"/>
    <w:rsid w:val="001D5FFD"/>
    <w:rsid w:val="001D7D37"/>
    <w:rsid w:val="001E12F3"/>
    <w:rsid w:val="001E29D2"/>
    <w:rsid w:val="001E2A92"/>
    <w:rsid w:val="001E44F7"/>
    <w:rsid w:val="001E6EEA"/>
    <w:rsid w:val="001E6FE3"/>
    <w:rsid w:val="001F1B0F"/>
    <w:rsid w:val="001F2EB3"/>
    <w:rsid w:val="001F341D"/>
    <w:rsid w:val="001F5936"/>
    <w:rsid w:val="00202819"/>
    <w:rsid w:val="0020768F"/>
    <w:rsid w:val="00207CD7"/>
    <w:rsid w:val="0022751E"/>
    <w:rsid w:val="00230B2E"/>
    <w:rsid w:val="0023119B"/>
    <w:rsid w:val="00232BDB"/>
    <w:rsid w:val="002422BE"/>
    <w:rsid w:val="00245B13"/>
    <w:rsid w:val="00255069"/>
    <w:rsid w:val="00261F04"/>
    <w:rsid w:val="00271758"/>
    <w:rsid w:val="0027355C"/>
    <w:rsid w:val="00273B51"/>
    <w:rsid w:val="00276499"/>
    <w:rsid w:val="00281231"/>
    <w:rsid w:val="00282474"/>
    <w:rsid w:val="00293996"/>
    <w:rsid w:val="00294A2F"/>
    <w:rsid w:val="00297B5F"/>
    <w:rsid w:val="002A3502"/>
    <w:rsid w:val="002A4276"/>
    <w:rsid w:val="002A6EA9"/>
    <w:rsid w:val="002B24D6"/>
    <w:rsid w:val="002B2CD7"/>
    <w:rsid w:val="002B4336"/>
    <w:rsid w:val="002B53C7"/>
    <w:rsid w:val="002B77E4"/>
    <w:rsid w:val="002C491C"/>
    <w:rsid w:val="002C54AC"/>
    <w:rsid w:val="002C647B"/>
    <w:rsid w:val="002D24C7"/>
    <w:rsid w:val="002D2D90"/>
    <w:rsid w:val="002D39ED"/>
    <w:rsid w:val="002E0F13"/>
    <w:rsid w:val="002E2865"/>
    <w:rsid w:val="002E328F"/>
    <w:rsid w:val="002E7598"/>
    <w:rsid w:val="002F1E00"/>
    <w:rsid w:val="002F3D8C"/>
    <w:rsid w:val="002F5444"/>
    <w:rsid w:val="002F62FC"/>
    <w:rsid w:val="002F7977"/>
    <w:rsid w:val="002F7FFC"/>
    <w:rsid w:val="00310919"/>
    <w:rsid w:val="00312D8E"/>
    <w:rsid w:val="00321FC7"/>
    <w:rsid w:val="003239F5"/>
    <w:rsid w:val="00332DA5"/>
    <w:rsid w:val="003360EA"/>
    <w:rsid w:val="00340E6B"/>
    <w:rsid w:val="003412C0"/>
    <w:rsid w:val="0034203F"/>
    <w:rsid w:val="00342FA5"/>
    <w:rsid w:val="00344F52"/>
    <w:rsid w:val="00345690"/>
    <w:rsid w:val="00347221"/>
    <w:rsid w:val="00347C2D"/>
    <w:rsid w:val="00347E79"/>
    <w:rsid w:val="00356025"/>
    <w:rsid w:val="00360765"/>
    <w:rsid w:val="003628E1"/>
    <w:rsid w:val="0036338C"/>
    <w:rsid w:val="00365388"/>
    <w:rsid w:val="003706B4"/>
    <w:rsid w:val="003722F9"/>
    <w:rsid w:val="00376354"/>
    <w:rsid w:val="0038060E"/>
    <w:rsid w:val="0038223D"/>
    <w:rsid w:val="0038387D"/>
    <w:rsid w:val="0038763C"/>
    <w:rsid w:val="003915C5"/>
    <w:rsid w:val="00397750"/>
    <w:rsid w:val="003A3115"/>
    <w:rsid w:val="003A5510"/>
    <w:rsid w:val="003A6EF4"/>
    <w:rsid w:val="003B0754"/>
    <w:rsid w:val="003C4C4C"/>
    <w:rsid w:val="003D394E"/>
    <w:rsid w:val="003E2D6B"/>
    <w:rsid w:val="003F022B"/>
    <w:rsid w:val="003F03F7"/>
    <w:rsid w:val="003F0ED1"/>
    <w:rsid w:val="003F54BB"/>
    <w:rsid w:val="003F67C3"/>
    <w:rsid w:val="003F688E"/>
    <w:rsid w:val="004034F4"/>
    <w:rsid w:val="00403C4D"/>
    <w:rsid w:val="00406392"/>
    <w:rsid w:val="00406FA3"/>
    <w:rsid w:val="00407752"/>
    <w:rsid w:val="00412EE7"/>
    <w:rsid w:val="00414586"/>
    <w:rsid w:val="00414984"/>
    <w:rsid w:val="00423FC6"/>
    <w:rsid w:val="00424045"/>
    <w:rsid w:val="0042556F"/>
    <w:rsid w:val="004312DD"/>
    <w:rsid w:val="004323BE"/>
    <w:rsid w:val="004346E7"/>
    <w:rsid w:val="00436CE2"/>
    <w:rsid w:val="00440958"/>
    <w:rsid w:val="00441D54"/>
    <w:rsid w:val="004427D5"/>
    <w:rsid w:val="00442AE8"/>
    <w:rsid w:val="004525AD"/>
    <w:rsid w:val="00455B7F"/>
    <w:rsid w:val="00473310"/>
    <w:rsid w:val="00473F24"/>
    <w:rsid w:val="00481131"/>
    <w:rsid w:val="0048274F"/>
    <w:rsid w:val="00484DB8"/>
    <w:rsid w:val="00486D7E"/>
    <w:rsid w:val="00492DA5"/>
    <w:rsid w:val="004952B9"/>
    <w:rsid w:val="004959F0"/>
    <w:rsid w:val="0049663F"/>
    <w:rsid w:val="00496691"/>
    <w:rsid w:val="004971D9"/>
    <w:rsid w:val="004A00E4"/>
    <w:rsid w:val="004A23E6"/>
    <w:rsid w:val="004A423F"/>
    <w:rsid w:val="004A4C76"/>
    <w:rsid w:val="004A5D41"/>
    <w:rsid w:val="004A613A"/>
    <w:rsid w:val="004A7E99"/>
    <w:rsid w:val="004C0E5E"/>
    <w:rsid w:val="004C17A5"/>
    <w:rsid w:val="004C52A5"/>
    <w:rsid w:val="004D2C3C"/>
    <w:rsid w:val="004D2E2A"/>
    <w:rsid w:val="004D4D9B"/>
    <w:rsid w:val="004D4DBA"/>
    <w:rsid w:val="004D7B69"/>
    <w:rsid w:val="004E741C"/>
    <w:rsid w:val="004F4970"/>
    <w:rsid w:val="004F5217"/>
    <w:rsid w:val="004F5F62"/>
    <w:rsid w:val="005021B4"/>
    <w:rsid w:val="00503AE7"/>
    <w:rsid w:val="00504187"/>
    <w:rsid w:val="005049BC"/>
    <w:rsid w:val="00505A4B"/>
    <w:rsid w:val="005109C4"/>
    <w:rsid w:val="00511060"/>
    <w:rsid w:val="0052063C"/>
    <w:rsid w:val="00520CD0"/>
    <w:rsid w:val="00521B11"/>
    <w:rsid w:val="00522CCC"/>
    <w:rsid w:val="0052507A"/>
    <w:rsid w:val="00527D96"/>
    <w:rsid w:val="00532257"/>
    <w:rsid w:val="00535C00"/>
    <w:rsid w:val="00536CC8"/>
    <w:rsid w:val="00536D03"/>
    <w:rsid w:val="00537B66"/>
    <w:rsid w:val="00544FDB"/>
    <w:rsid w:val="00555DF6"/>
    <w:rsid w:val="00557FDB"/>
    <w:rsid w:val="00560998"/>
    <w:rsid w:val="00560E96"/>
    <w:rsid w:val="0056410C"/>
    <w:rsid w:val="00567909"/>
    <w:rsid w:val="00572F2A"/>
    <w:rsid w:val="00576548"/>
    <w:rsid w:val="00576DD6"/>
    <w:rsid w:val="00582FA9"/>
    <w:rsid w:val="005853AE"/>
    <w:rsid w:val="0058594F"/>
    <w:rsid w:val="00591034"/>
    <w:rsid w:val="005950C1"/>
    <w:rsid w:val="005A038F"/>
    <w:rsid w:val="005A310E"/>
    <w:rsid w:val="005A3C58"/>
    <w:rsid w:val="005B01CD"/>
    <w:rsid w:val="005B45F8"/>
    <w:rsid w:val="005B5C98"/>
    <w:rsid w:val="005B6A36"/>
    <w:rsid w:val="005C0503"/>
    <w:rsid w:val="005C0FE8"/>
    <w:rsid w:val="005C7C50"/>
    <w:rsid w:val="005D72CE"/>
    <w:rsid w:val="005E2C9B"/>
    <w:rsid w:val="005E36EA"/>
    <w:rsid w:val="005E742B"/>
    <w:rsid w:val="005F4185"/>
    <w:rsid w:val="005F62D7"/>
    <w:rsid w:val="0060078F"/>
    <w:rsid w:val="0062446F"/>
    <w:rsid w:val="00626793"/>
    <w:rsid w:val="00627887"/>
    <w:rsid w:val="006300C7"/>
    <w:rsid w:val="00635945"/>
    <w:rsid w:val="006367DA"/>
    <w:rsid w:val="0063753D"/>
    <w:rsid w:val="0064015C"/>
    <w:rsid w:val="0064245E"/>
    <w:rsid w:val="006437F0"/>
    <w:rsid w:val="006460B5"/>
    <w:rsid w:val="00650682"/>
    <w:rsid w:val="0065082A"/>
    <w:rsid w:val="00653FA4"/>
    <w:rsid w:val="0065793A"/>
    <w:rsid w:val="00661231"/>
    <w:rsid w:val="0066167A"/>
    <w:rsid w:val="006636E7"/>
    <w:rsid w:val="006641DD"/>
    <w:rsid w:val="00664AD5"/>
    <w:rsid w:val="00667BC6"/>
    <w:rsid w:val="00671267"/>
    <w:rsid w:val="00672DCB"/>
    <w:rsid w:val="00677989"/>
    <w:rsid w:val="00683DBB"/>
    <w:rsid w:val="006902C2"/>
    <w:rsid w:val="00697365"/>
    <w:rsid w:val="006A4DA1"/>
    <w:rsid w:val="006C3753"/>
    <w:rsid w:val="006C58AD"/>
    <w:rsid w:val="006D1753"/>
    <w:rsid w:val="006D4A66"/>
    <w:rsid w:val="006E0C5F"/>
    <w:rsid w:val="006E21FF"/>
    <w:rsid w:val="006F2756"/>
    <w:rsid w:val="006F5DCD"/>
    <w:rsid w:val="006F6472"/>
    <w:rsid w:val="006F7C88"/>
    <w:rsid w:val="0070103A"/>
    <w:rsid w:val="00703202"/>
    <w:rsid w:val="0070490E"/>
    <w:rsid w:val="00707841"/>
    <w:rsid w:val="00712D27"/>
    <w:rsid w:val="00717E05"/>
    <w:rsid w:val="007232B3"/>
    <w:rsid w:val="00727C2E"/>
    <w:rsid w:val="00731CB5"/>
    <w:rsid w:val="00735947"/>
    <w:rsid w:val="00736EF0"/>
    <w:rsid w:val="00737A8C"/>
    <w:rsid w:val="007400D8"/>
    <w:rsid w:val="007453B6"/>
    <w:rsid w:val="00747B3A"/>
    <w:rsid w:val="00752602"/>
    <w:rsid w:val="00760505"/>
    <w:rsid w:val="0076228C"/>
    <w:rsid w:val="0077282A"/>
    <w:rsid w:val="007744CA"/>
    <w:rsid w:val="007747CE"/>
    <w:rsid w:val="00783A3A"/>
    <w:rsid w:val="007841C4"/>
    <w:rsid w:val="00785173"/>
    <w:rsid w:val="0078643D"/>
    <w:rsid w:val="007866C3"/>
    <w:rsid w:val="00787522"/>
    <w:rsid w:val="0078769D"/>
    <w:rsid w:val="007912E3"/>
    <w:rsid w:val="007917D1"/>
    <w:rsid w:val="00792D41"/>
    <w:rsid w:val="007A10D2"/>
    <w:rsid w:val="007A20A3"/>
    <w:rsid w:val="007A5D30"/>
    <w:rsid w:val="007B0B90"/>
    <w:rsid w:val="007B1525"/>
    <w:rsid w:val="007C2979"/>
    <w:rsid w:val="007C2BBE"/>
    <w:rsid w:val="007C6C49"/>
    <w:rsid w:val="007C74A5"/>
    <w:rsid w:val="007D4DD6"/>
    <w:rsid w:val="007D764C"/>
    <w:rsid w:val="007F0D4B"/>
    <w:rsid w:val="007F2CB7"/>
    <w:rsid w:val="007F45B4"/>
    <w:rsid w:val="007F572A"/>
    <w:rsid w:val="007F7A10"/>
    <w:rsid w:val="00805844"/>
    <w:rsid w:val="00807375"/>
    <w:rsid w:val="00813390"/>
    <w:rsid w:val="00813C6D"/>
    <w:rsid w:val="00822131"/>
    <w:rsid w:val="00826BD2"/>
    <w:rsid w:val="00826FE9"/>
    <w:rsid w:val="00827EEA"/>
    <w:rsid w:val="00834575"/>
    <w:rsid w:val="00836EDC"/>
    <w:rsid w:val="00851769"/>
    <w:rsid w:val="00853FF4"/>
    <w:rsid w:val="008543B7"/>
    <w:rsid w:val="008614DD"/>
    <w:rsid w:val="00861B2C"/>
    <w:rsid w:val="008622F4"/>
    <w:rsid w:val="00863540"/>
    <w:rsid w:val="00865CBC"/>
    <w:rsid w:val="0088079E"/>
    <w:rsid w:val="00884DEA"/>
    <w:rsid w:val="00886753"/>
    <w:rsid w:val="00893C18"/>
    <w:rsid w:val="0089610F"/>
    <w:rsid w:val="008A591D"/>
    <w:rsid w:val="008A6C09"/>
    <w:rsid w:val="008B31C2"/>
    <w:rsid w:val="008B31E7"/>
    <w:rsid w:val="008C7614"/>
    <w:rsid w:val="008C7A22"/>
    <w:rsid w:val="008D00C8"/>
    <w:rsid w:val="008F32EF"/>
    <w:rsid w:val="008F369B"/>
    <w:rsid w:val="008F672D"/>
    <w:rsid w:val="00904C26"/>
    <w:rsid w:val="00911967"/>
    <w:rsid w:val="00911E18"/>
    <w:rsid w:val="00912CD7"/>
    <w:rsid w:val="00913A6F"/>
    <w:rsid w:val="00915869"/>
    <w:rsid w:val="009178AE"/>
    <w:rsid w:val="00917C55"/>
    <w:rsid w:val="0092054C"/>
    <w:rsid w:val="00922BC9"/>
    <w:rsid w:val="00935578"/>
    <w:rsid w:val="0094364D"/>
    <w:rsid w:val="00944C62"/>
    <w:rsid w:val="00945F91"/>
    <w:rsid w:val="00950B87"/>
    <w:rsid w:val="00955EB5"/>
    <w:rsid w:val="00957D1F"/>
    <w:rsid w:val="00967872"/>
    <w:rsid w:val="00967F64"/>
    <w:rsid w:val="00972145"/>
    <w:rsid w:val="00983FB4"/>
    <w:rsid w:val="00993D17"/>
    <w:rsid w:val="009958D4"/>
    <w:rsid w:val="00995F7E"/>
    <w:rsid w:val="00997BFD"/>
    <w:rsid w:val="00997E96"/>
    <w:rsid w:val="009A07A8"/>
    <w:rsid w:val="009B0EBC"/>
    <w:rsid w:val="009B4910"/>
    <w:rsid w:val="009B5910"/>
    <w:rsid w:val="009B69FA"/>
    <w:rsid w:val="009C63A4"/>
    <w:rsid w:val="009C6DDD"/>
    <w:rsid w:val="009E192D"/>
    <w:rsid w:val="009E20CE"/>
    <w:rsid w:val="009E238C"/>
    <w:rsid w:val="009E3824"/>
    <w:rsid w:val="009E5C5B"/>
    <w:rsid w:val="009F02C3"/>
    <w:rsid w:val="009F55E5"/>
    <w:rsid w:val="00A04888"/>
    <w:rsid w:val="00A07071"/>
    <w:rsid w:val="00A073C1"/>
    <w:rsid w:val="00A076BF"/>
    <w:rsid w:val="00A11CDF"/>
    <w:rsid w:val="00A135C9"/>
    <w:rsid w:val="00A150C5"/>
    <w:rsid w:val="00A2151B"/>
    <w:rsid w:val="00A23229"/>
    <w:rsid w:val="00A23E39"/>
    <w:rsid w:val="00A242A4"/>
    <w:rsid w:val="00A2467D"/>
    <w:rsid w:val="00A2498A"/>
    <w:rsid w:val="00A252EA"/>
    <w:rsid w:val="00A25479"/>
    <w:rsid w:val="00A34B93"/>
    <w:rsid w:val="00A3696F"/>
    <w:rsid w:val="00A42C95"/>
    <w:rsid w:val="00A45755"/>
    <w:rsid w:val="00A465F7"/>
    <w:rsid w:val="00A51BCD"/>
    <w:rsid w:val="00A530F5"/>
    <w:rsid w:val="00A53313"/>
    <w:rsid w:val="00A57ED6"/>
    <w:rsid w:val="00A603D6"/>
    <w:rsid w:val="00A61288"/>
    <w:rsid w:val="00A61485"/>
    <w:rsid w:val="00A66AEC"/>
    <w:rsid w:val="00A67158"/>
    <w:rsid w:val="00A72E9D"/>
    <w:rsid w:val="00A72EB6"/>
    <w:rsid w:val="00A81692"/>
    <w:rsid w:val="00A82866"/>
    <w:rsid w:val="00A82AC0"/>
    <w:rsid w:val="00A84937"/>
    <w:rsid w:val="00A8649F"/>
    <w:rsid w:val="00A93116"/>
    <w:rsid w:val="00A9373C"/>
    <w:rsid w:val="00A97DBF"/>
    <w:rsid w:val="00AA50C7"/>
    <w:rsid w:val="00AB0919"/>
    <w:rsid w:val="00AB1F78"/>
    <w:rsid w:val="00AB21BA"/>
    <w:rsid w:val="00AB57A9"/>
    <w:rsid w:val="00AC01D3"/>
    <w:rsid w:val="00AC1796"/>
    <w:rsid w:val="00AC2BCF"/>
    <w:rsid w:val="00AC3E35"/>
    <w:rsid w:val="00AD0C83"/>
    <w:rsid w:val="00AD3837"/>
    <w:rsid w:val="00AE07C8"/>
    <w:rsid w:val="00AE25ED"/>
    <w:rsid w:val="00AE6B47"/>
    <w:rsid w:val="00AE7C87"/>
    <w:rsid w:val="00AF736F"/>
    <w:rsid w:val="00B00E5E"/>
    <w:rsid w:val="00B067C4"/>
    <w:rsid w:val="00B14A0B"/>
    <w:rsid w:val="00B15435"/>
    <w:rsid w:val="00B22B41"/>
    <w:rsid w:val="00B307EB"/>
    <w:rsid w:val="00B30E89"/>
    <w:rsid w:val="00B3676C"/>
    <w:rsid w:val="00B42143"/>
    <w:rsid w:val="00B43B2C"/>
    <w:rsid w:val="00B46C9B"/>
    <w:rsid w:val="00B53072"/>
    <w:rsid w:val="00B53CA6"/>
    <w:rsid w:val="00B5782F"/>
    <w:rsid w:val="00B60E9A"/>
    <w:rsid w:val="00B62198"/>
    <w:rsid w:val="00B6342C"/>
    <w:rsid w:val="00B63B8D"/>
    <w:rsid w:val="00B64C36"/>
    <w:rsid w:val="00B65A78"/>
    <w:rsid w:val="00B67ECD"/>
    <w:rsid w:val="00B70A4B"/>
    <w:rsid w:val="00B712AD"/>
    <w:rsid w:val="00B76380"/>
    <w:rsid w:val="00B80DF0"/>
    <w:rsid w:val="00B8362B"/>
    <w:rsid w:val="00B935A5"/>
    <w:rsid w:val="00B95A56"/>
    <w:rsid w:val="00B95BEA"/>
    <w:rsid w:val="00BB0D27"/>
    <w:rsid w:val="00BB1380"/>
    <w:rsid w:val="00BB2ABE"/>
    <w:rsid w:val="00BB47B4"/>
    <w:rsid w:val="00BC11F1"/>
    <w:rsid w:val="00BC28B3"/>
    <w:rsid w:val="00BC2B3F"/>
    <w:rsid w:val="00BC3C18"/>
    <w:rsid w:val="00BC67D1"/>
    <w:rsid w:val="00BD2A5B"/>
    <w:rsid w:val="00BD54EA"/>
    <w:rsid w:val="00BD617A"/>
    <w:rsid w:val="00BE0DAB"/>
    <w:rsid w:val="00BE466C"/>
    <w:rsid w:val="00BF1EEF"/>
    <w:rsid w:val="00C01D54"/>
    <w:rsid w:val="00C144BC"/>
    <w:rsid w:val="00C158F9"/>
    <w:rsid w:val="00C17FC5"/>
    <w:rsid w:val="00C200CB"/>
    <w:rsid w:val="00C2019C"/>
    <w:rsid w:val="00C209AD"/>
    <w:rsid w:val="00C21035"/>
    <w:rsid w:val="00C22BC5"/>
    <w:rsid w:val="00C22BD6"/>
    <w:rsid w:val="00C23DC5"/>
    <w:rsid w:val="00C23E92"/>
    <w:rsid w:val="00C26495"/>
    <w:rsid w:val="00C270C4"/>
    <w:rsid w:val="00C44112"/>
    <w:rsid w:val="00C4752D"/>
    <w:rsid w:val="00C50D57"/>
    <w:rsid w:val="00C60678"/>
    <w:rsid w:val="00C64286"/>
    <w:rsid w:val="00C6547D"/>
    <w:rsid w:val="00C66FC1"/>
    <w:rsid w:val="00C67670"/>
    <w:rsid w:val="00C7157B"/>
    <w:rsid w:val="00C757B1"/>
    <w:rsid w:val="00C9339D"/>
    <w:rsid w:val="00C95E73"/>
    <w:rsid w:val="00C97DF7"/>
    <w:rsid w:val="00CA29D5"/>
    <w:rsid w:val="00CA7556"/>
    <w:rsid w:val="00CB1C54"/>
    <w:rsid w:val="00CB65F3"/>
    <w:rsid w:val="00CB6CD3"/>
    <w:rsid w:val="00CB6F49"/>
    <w:rsid w:val="00CD3996"/>
    <w:rsid w:val="00CD4866"/>
    <w:rsid w:val="00CD50F5"/>
    <w:rsid w:val="00CD59DB"/>
    <w:rsid w:val="00CD7309"/>
    <w:rsid w:val="00CE48FD"/>
    <w:rsid w:val="00CE4D51"/>
    <w:rsid w:val="00CE6AF7"/>
    <w:rsid w:val="00CE6D9D"/>
    <w:rsid w:val="00CF003E"/>
    <w:rsid w:val="00CF5C48"/>
    <w:rsid w:val="00CF5EE8"/>
    <w:rsid w:val="00D00547"/>
    <w:rsid w:val="00D05FC0"/>
    <w:rsid w:val="00D06474"/>
    <w:rsid w:val="00D06748"/>
    <w:rsid w:val="00D119FC"/>
    <w:rsid w:val="00D11A42"/>
    <w:rsid w:val="00D13E21"/>
    <w:rsid w:val="00D14EA3"/>
    <w:rsid w:val="00D15F1C"/>
    <w:rsid w:val="00D22508"/>
    <w:rsid w:val="00D23DEC"/>
    <w:rsid w:val="00D265DC"/>
    <w:rsid w:val="00D26D62"/>
    <w:rsid w:val="00D279C8"/>
    <w:rsid w:val="00D352C2"/>
    <w:rsid w:val="00D37BF8"/>
    <w:rsid w:val="00D4179D"/>
    <w:rsid w:val="00D44533"/>
    <w:rsid w:val="00D46D5C"/>
    <w:rsid w:val="00D50AB6"/>
    <w:rsid w:val="00D513B4"/>
    <w:rsid w:val="00D55C70"/>
    <w:rsid w:val="00D56052"/>
    <w:rsid w:val="00D6581B"/>
    <w:rsid w:val="00D66164"/>
    <w:rsid w:val="00D669E7"/>
    <w:rsid w:val="00D74221"/>
    <w:rsid w:val="00D773A3"/>
    <w:rsid w:val="00D83883"/>
    <w:rsid w:val="00D83AA5"/>
    <w:rsid w:val="00D83D9E"/>
    <w:rsid w:val="00D84152"/>
    <w:rsid w:val="00D86632"/>
    <w:rsid w:val="00D912AE"/>
    <w:rsid w:val="00D93A3B"/>
    <w:rsid w:val="00D9473F"/>
    <w:rsid w:val="00D94CE9"/>
    <w:rsid w:val="00D96187"/>
    <w:rsid w:val="00DA0882"/>
    <w:rsid w:val="00DA136C"/>
    <w:rsid w:val="00DC047D"/>
    <w:rsid w:val="00DC4293"/>
    <w:rsid w:val="00DC459F"/>
    <w:rsid w:val="00DC61CF"/>
    <w:rsid w:val="00DC6D93"/>
    <w:rsid w:val="00DD4B3A"/>
    <w:rsid w:val="00DE1C4C"/>
    <w:rsid w:val="00DE5CAB"/>
    <w:rsid w:val="00DF2418"/>
    <w:rsid w:val="00E00357"/>
    <w:rsid w:val="00E03862"/>
    <w:rsid w:val="00E07FD6"/>
    <w:rsid w:val="00E209B1"/>
    <w:rsid w:val="00E20C1C"/>
    <w:rsid w:val="00E213F3"/>
    <w:rsid w:val="00E229BB"/>
    <w:rsid w:val="00E23147"/>
    <w:rsid w:val="00E24446"/>
    <w:rsid w:val="00E261F1"/>
    <w:rsid w:val="00E263FA"/>
    <w:rsid w:val="00E27518"/>
    <w:rsid w:val="00E31568"/>
    <w:rsid w:val="00E343DD"/>
    <w:rsid w:val="00E36520"/>
    <w:rsid w:val="00E419C7"/>
    <w:rsid w:val="00E545FA"/>
    <w:rsid w:val="00E54939"/>
    <w:rsid w:val="00E641C0"/>
    <w:rsid w:val="00E65B66"/>
    <w:rsid w:val="00E71B97"/>
    <w:rsid w:val="00E7305C"/>
    <w:rsid w:val="00E80F51"/>
    <w:rsid w:val="00E8268D"/>
    <w:rsid w:val="00E91DBC"/>
    <w:rsid w:val="00E92169"/>
    <w:rsid w:val="00E937F0"/>
    <w:rsid w:val="00EA060A"/>
    <w:rsid w:val="00EA0768"/>
    <w:rsid w:val="00EA0D07"/>
    <w:rsid w:val="00EA2080"/>
    <w:rsid w:val="00EA2F5F"/>
    <w:rsid w:val="00EB0427"/>
    <w:rsid w:val="00EB0B9D"/>
    <w:rsid w:val="00EB2C80"/>
    <w:rsid w:val="00EC047F"/>
    <w:rsid w:val="00EC30D8"/>
    <w:rsid w:val="00EC34DB"/>
    <w:rsid w:val="00ED3AD1"/>
    <w:rsid w:val="00ED4CAF"/>
    <w:rsid w:val="00ED4E7F"/>
    <w:rsid w:val="00EE1451"/>
    <w:rsid w:val="00EE37DA"/>
    <w:rsid w:val="00EF2F54"/>
    <w:rsid w:val="00EF4B99"/>
    <w:rsid w:val="00F028D3"/>
    <w:rsid w:val="00F045A8"/>
    <w:rsid w:val="00F07CAA"/>
    <w:rsid w:val="00F13B26"/>
    <w:rsid w:val="00F2035A"/>
    <w:rsid w:val="00F268E4"/>
    <w:rsid w:val="00F366B5"/>
    <w:rsid w:val="00F47E47"/>
    <w:rsid w:val="00F502A9"/>
    <w:rsid w:val="00F537CE"/>
    <w:rsid w:val="00F5406A"/>
    <w:rsid w:val="00F54C05"/>
    <w:rsid w:val="00F5630B"/>
    <w:rsid w:val="00F5792F"/>
    <w:rsid w:val="00F66F58"/>
    <w:rsid w:val="00F735FE"/>
    <w:rsid w:val="00F76D62"/>
    <w:rsid w:val="00F8303D"/>
    <w:rsid w:val="00F844DA"/>
    <w:rsid w:val="00F857EA"/>
    <w:rsid w:val="00F85E43"/>
    <w:rsid w:val="00FA05DF"/>
    <w:rsid w:val="00FA3D41"/>
    <w:rsid w:val="00FA5397"/>
    <w:rsid w:val="00FA7FAD"/>
    <w:rsid w:val="00FB6249"/>
    <w:rsid w:val="00FB6714"/>
    <w:rsid w:val="00FB6FBE"/>
    <w:rsid w:val="00FC5C31"/>
    <w:rsid w:val="00FC70CE"/>
    <w:rsid w:val="00FD2032"/>
    <w:rsid w:val="00FD21DE"/>
    <w:rsid w:val="00FD3324"/>
    <w:rsid w:val="00FE02EC"/>
    <w:rsid w:val="00FE26DB"/>
    <w:rsid w:val="00FE635B"/>
    <w:rsid w:val="00FE761A"/>
    <w:rsid w:val="00FE7FFD"/>
    <w:rsid w:val="00FF17A3"/>
    <w:rsid w:val="00FF3407"/>
    <w:rsid w:val="00FF53FF"/>
    <w:rsid w:val="00FF7115"/>
    <w:rsid w:val="02BC2DBF"/>
    <w:rsid w:val="08D15B8E"/>
    <w:rsid w:val="09136E90"/>
    <w:rsid w:val="0CB51607"/>
    <w:rsid w:val="0DB31DD8"/>
    <w:rsid w:val="0E6557B3"/>
    <w:rsid w:val="10BE6F3D"/>
    <w:rsid w:val="121B72D8"/>
    <w:rsid w:val="12ED4423"/>
    <w:rsid w:val="138B6679"/>
    <w:rsid w:val="13BE22C4"/>
    <w:rsid w:val="142554FC"/>
    <w:rsid w:val="14930934"/>
    <w:rsid w:val="15535CCD"/>
    <w:rsid w:val="15914DC6"/>
    <w:rsid w:val="164E2A71"/>
    <w:rsid w:val="174526EE"/>
    <w:rsid w:val="195C0DBE"/>
    <w:rsid w:val="1E433D2F"/>
    <w:rsid w:val="1F3F33F9"/>
    <w:rsid w:val="21490F6A"/>
    <w:rsid w:val="23773128"/>
    <w:rsid w:val="25C11E6E"/>
    <w:rsid w:val="2657113B"/>
    <w:rsid w:val="28903F7D"/>
    <w:rsid w:val="2B0E73FF"/>
    <w:rsid w:val="2D1452AC"/>
    <w:rsid w:val="2D8A091A"/>
    <w:rsid w:val="2DFD73EE"/>
    <w:rsid w:val="2FF80CC3"/>
    <w:rsid w:val="307D7766"/>
    <w:rsid w:val="311A3D9D"/>
    <w:rsid w:val="32311CB7"/>
    <w:rsid w:val="33157710"/>
    <w:rsid w:val="336E2453"/>
    <w:rsid w:val="33D8411C"/>
    <w:rsid w:val="39DC24AB"/>
    <w:rsid w:val="3A2A4934"/>
    <w:rsid w:val="3B564571"/>
    <w:rsid w:val="3D1B5739"/>
    <w:rsid w:val="3DEB0EC4"/>
    <w:rsid w:val="41F36828"/>
    <w:rsid w:val="42F0286D"/>
    <w:rsid w:val="4B4314F4"/>
    <w:rsid w:val="4B91249A"/>
    <w:rsid w:val="4C0723A1"/>
    <w:rsid w:val="4D5E4CA0"/>
    <w:rsid w:val="4E2F67D1"/>
    <w:rsid w:val="51016D49"/>
    <w:rsid w:val="51CE0574"/>
    <w:rsid w:val="52842F1C"/>
    <w:rsid w:val="53EC572B"/>
    <w:rsid w:val="54E540E7"/>
    <w:rsid w:val="555E27BA"/>
    <w:rsid w:val="564D3FD2"/>
    <w:rsid w:val="59F82105"/>
    <w:rsid w:val="5B553592"/>
    <w:rsid w:val="5DAA5016"/>
    <w:rsid w:val="5F201F68"/>
    <w:rsid w:val="6007723E"/>
    <w:rsid w:val="61AF697C"/>
    <w:rsid w:val="62990ADF"/>
    <w:rsid w:val="63F766B1"/>
    <w:rsid w:val="644C2A79"/>
    <w:rsid w:val="67D7784B"/>
    <w:rsid w:val="68D27761"/>
    <w:rsid w:val="6A01129E"/>
    <w:rsid w:val="6B2B44E5"/>
    <w:rsid w:val="6B691746"/>
    <w:rsid w:val="6BF6277E"/>
    <w:rsid w:val="6CAA3651"/>
    <w:rsid w:val="6E1D11CC"/>
    <w:rsid w:val="6FBA37B7"/>
    <w:rsid w:val="6FF87BA0"/>
    <w:rsid w:val="714E671D"/>
    <w:rsid w:val="73B11479"/>
    <w:rsid w:val="74D94423"/>
    <w:rsid w:val="770C615C"/>
    <w:rsid w:val="794A7EB7"/>
    <w:rsid w:val="7AB674C7"/>
    <w:rsid w:val="7B874DE4"/>
    <w:rsid w:val="7DA413D6"/>
    <w:rsid w:val="7EDE3D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heme="minorBidi"/>
      <w:kern w:val="2"/>
      <w:sz w:val="32"/>
      <w:szCs w:val="22"/>
      <w:lang w:val="en-US" w:eastAsia="zh-CN" w:bidi="ar-SA"/>
    </w:rPr>
  </w:style>
  <w:style w:type="paragraph" w:styleId="2">
    <w:name w:val="heading 1"/>
    <w:basedOn w:val="1"/>
    <w:next w:val="1"/>
    <w:link w:val="30"/>
    <w:qFormat/>
    <w:uiPriority w:val="0"/>
    <w:pPr>
      <w:keepNext/>
      <w:keepLines/>
      <w:spacing w:before="340" w:after="330" w:line="578" w:lineRule="auto"/>
      <w:outlineLvl w:val="0"/>
    </w:pPr>
    <w:rPr>
      <w:rFonts w:eastAsia="宋体" w:cs="Times New Roman"/>
      <w:b/>
      <w:bCs/>
      <w:kern w:val="44"/>
      <w:szCs w:val="44"/>
      <w:lang w:val="zh-CN"/>
    </w:rPr>
  </w:style>
  <w:style w:type="paragraph" w:styleId="3">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paragraph" w:styleId="4">
    <w:name w:val="heading 3"/>
    <w:basedOn w:val="1"/>
    <w:next w:val="1"/>
    <w:link w:val="37"/>
    <w:unhideWhenUsed/>
    <w:qFormat/>
    <w:uiPriority w:val="9"/>
    <w:pPr>
      <w:keepNext/>
      <w:keepLines/>
      <w:spacing w:before="260" w:after="260" w:line="416" w:lineRule="auto"/>
      <w:outlineLvl w:val="2"/>
    </w:pPr>
    <w:rPr>
      <w:b/>
      <w:bCs/>
      <w:szCs w:val="32"/>
    </w:rPr>
  </w:style>
  <w:style w:type="paragraph" w:styleId="5">
    <w:name w:val="heading 4"/>
    <w:basedOn w:val="1"/>
    <w:next w:val="1"/>
    <w:link w:val="38"/>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character" w:default="1" w:styleId="18">
    <w:name w:val="Default Paragraph Font"/>
    <w:semiHidden/>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6">
    <w:name w:val="caption"/>
    <w:basedOn w:val="1"/>
    <w:next w:val="1"/>
    <w:unhideWhenUsed/>
    <w:qFormat/>
    <w:uiPriority w:val="35"/>
    <w:rPr>
      <w:rFonts w:eastAsia="黑体" w:asciiTheme="majorHAnsi" w:hAnsiTheme="majorHAnsi" w:cstheme="majorBidi"/>
      <w:sz w:val="20"/>
      <w:szCs w:val="20"/>
    </w:rPr>
  </w:style>
  <w:style w:type="paragraph" w:styleId="7">
    <w:name w:val="annotation text"/>
    <w:basedOn w:val="1"/>
    <w:link w:val="31"/>
    <w:semiHidden/>
    <w:unhideWhenUsed/>
    <w:qFormat/>
    <w:uiPriority w:val="99"/>
    <w:pPr>
      <w:jc w:val="left"/>
    </w:pPr>
  </w:style>
  <w:style w:type="paragraph" w:styleId="8">
    <w:name w:val="Body Text"/>
    <w:basedOn w:val="1"/>
    <w:link w:val="36"/>
    <w:qFormat/>
    <w:uiPriority w:val="1"/>
    <w:pPr>
      <w:autoSpaceDE w:val="0"/>
      <w:autoSpaceDN w:val="0"/>
      <w:adjustRightInd w:val="0"/>
      <w:jc w:val="left"/>
    </w:pPr>
    <w:rPr>
      <w:rFonts w:ascii="宋体" w:eastAsia="宋体" w:cs="宋体"/>
      <w:kern w:val="0"/>
      <w:szCs w:val="28"/>
    </w:rPr>
  </w:style>
  <w:style w:type="paragraph" w:styleId="9">
    <w:name w:val="Balloon Text"/>
    <w:basedOn w:val="1"/>
    <w:link w:val="29"/>
    <w:semiHidden/>
    <w:unhideWhenUsed/>
    <w:qFormat/>
    <w:uiPriority w:val="99"/>
    <w:rPr>
      <w:sz w:val="18"/>
      <w:szCs w:val="18"/>
    </w:rPr>
  </w:style>
  <w:style w:type="paragraph" w:styleId="10">
    <w:name w:val="footer"/>
    <w:basedOn w:val="1"/>
    <w:link w:val="24"/>
    <w:unhideWhenUsed/>
    <w:qFormat/>
    <w:uiPriority w:val="0"/>
    <w:pPr>
      <w:tabs>
        <w:tab w:val="center" w:pos="4153"/>
        <w:tab w:val="right" w:pos="8306"/>
      </w:tabs>
      <w:snapToGrid w:val="0"/>
      <w:jc w:val="left"/>
    </w:pPr>
    <w:rPr>
      <w:sz w:val="18"/>
      <w:szCs w:val="18"/>
    </w:rPr>
  </w:style>
  <w:style w:type="paragraph" w:styleId="11">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tabs>
        <w:tab w:val="right" w:leader="dot" w:pos="8296"/>
      </w:tabs>
      <w:spacing w:line="360" w:lineRule="auto"/>
      <w:jc w:val="center"/>
    </w:pPr>
    <w:rPr>
      <w:rFonts w:eastAsia="宋体"/>
      <w:b/>
      <w:szCs w:val="28"/>
      <w:lang w:val="zh-CN"/>
    </w:rPr>
  </w:style>
  <w:style w:type="paragraph" w:styleId="13">
    <w:name w:val="toc 2"/>
    <w:basedOn w:val="1"/>
    <w:next w:val="1"/>
    <w:unhideWhenUsed/>
    <w:qFormat/>
    <w:uiPriority w:val="39"/>
    <w:pPr>
      <w:ind w:left="420" w:leftChars="200"/>
    </w:p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annotation subject"/>
    <w:basedOn w:val="7"/>
    <w:next w:val="7"/>
    <w:link w:val="43"/>
    <w:semiHidden/>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FollowedHyperlink"/>
    <w:basedOn w:val="18"/>
    <w:semiHidden/>
    <w:unhideWhenUsed/>
    <w:qFormat/>
    <w:uiPriority w:val="99"/>
    <w:rPr>
      <w:color w:val="954F72"/>
      <w:u w:val="single"/>
    </w:rPr>
  </w:style>
  <w:style w:type="character" w:styleId="21">
    <w:name w:val="Hyperlink"/>
    <w:basedOn w:val="18"/>
    <w:unhideWhenUsed/>
    <w:qFormat/>
    <w:uiPriority w:val="99"/>
    <w:rPr>
      <w:color w:val="0000FF" w:themeColor="hyperlink"/>
      <w:u w:val="single"/>
      <w14:textFill>
        <w14:solidFill>
          <w14:schemeClr w14:val="hlink"/>
        </w14:solidFill>
      </w14:textFill>
    </w:rPr>
  </w:style>
  <w:style w:type="character" w:styleId="22">
    <w:name w:val="annotation reference"/>
    <w:basedOn w:val="18"/>
    <w:semiHidden/>
    <w:unhideWhenUsed/>
    <w:qFormat/>
    <w:uiPriority w:val="99"/>
    <w:rPr>
      <w:sz w:val="21"/>
      <w:szCs w:val="21"/>
    </w:rPr>
  </w:style>
  <w:style w:type="character" w:customStyle="1" w:styleId="23">
    <w:name w:val="页眉 字符"/>
    <w:basedOn w:val="18"/>
    <w:link w:val="11"/>
    <w:qFormat/>
    <w:uiPriority w:val="0"/>
    <w:rPr>
      <w:sz w:val="18"/>
      <w:szCs w:val="18"/>
    </w:rPr>
  </w:style>
  <w:style w:type="character" w:customStyle="1" w:styleId="24">
    <w:name w:val="页脚 字符"/>
    <w:basedOn w:val="18"/>
    <w:link w:val="10"/>
    <w:qFormat/>
    <w:uiPriority w:val="0"/>
    <w:rPr>
      <w:sz w:val="18"/>
      <w:szCs w:val="18"/>
    </w:rPr>
  </w:style>
  <w:style w:type="paragraph" w:customStyle="1" w:styleId="25">
    <w:name w:val="标题一"/>
    <w:basedOn w:val="1"/>
    <w:next w:val="1"/>
    <w:link w:val="27"/>
    <w:qFormat/>
    <w:uiPriority w:val="0"/>
    <w:pPr>
      <w:spacing w:line="360" w:lineRule="auto"/>
      <w:outlineLvl w:val="0"/>
    </w:pPr>
    <w:rPr>
      <w:rFonts w:eastAsia="黑体"/>
      <w:b/>
      <w:bCs/>
    </w:rPr>
  </w:style>
  <w:style w:type="paragraph" w:customStyle="1" w:styleId="26">
    <w:name w:val="标题二"/>
    <w:basedOn w:val="1"/>
    <w:next w:val="1"/>
    <w:link w:val="28"/>
    <w:qFormat/>
    <w:uiPriority w:val="0"/>
    <w:pPr>
      <w:spacing w:line="360" w:lineRule="auto"/>
      <w:outlineLvl w:val="1"/>
    </w:pPr>
    <w:rPr>
      <w:rFonts w:eastAsia="黑体"/>
      <w:b/>
      <w:bCs/>
      <w:sz w:val="30"/>
    </w:rPr>
  </w:style>
  <w:style w:type="character" w:customStyle="1" w:styleId="27">
    <w:name w:val="标题一 字符"/>
    <w:basedOn w:val="18"/>
    <w:link w:val="25"/>
    <w:qFormat/>
    <w:uiPriority w:val="0"/>
    <w:rPr>
      <w:rFonts w:ascii="Times New Roman" w:hAnsi="Times New Roman" w:eastAsia="黑体"/>
      <w:b/>
      <w:bCs/>
      <w:sz w:val="32"/>
    </w:rPr>
  </w:style>
  <w:style w:type="character" w:customStyle="1" w:styleId="28">
    <w:name w:val="标题二 字符"/>
    <w:basedOn w:val="18"/>
    <w:link w:val="26"/>
    <w:qFormat/>
    <w:uiPriority w:val="0"/>
    <w:rPr>
      <w:rFonts w:ascii="Times New Roman" w:hAnsi="Times New Roman" w:eastAsia="黑体"/>
      <w:b/>
      <w:bCs/>
      <w:sz w:val="30"/>
    </w:rPr>
  </w:style>
  <w:style w:type="character" w:customStyle="1" w:styleId="29">
    <w:name w:val="批注框文本 字符"/>
    <w:basedOn w:val="18"/>
    <w:link w:val="9"/>
    <w:semiHidden/>
    <w:qFormat/>
    <w:uiPriority w:val="99"/>
    <w:rPr>
      <w:sz w:val="18"/>
      <w:szCs w:val="18"/>
    </w:rPr>
  </w:style>
  <w:style w:type="character" w:customStyle="1" w:styleId="30">
    <w:name w:val="标题 1 字符"/>
    <w:basedOn w:val="18"/>
    <w:link w:val="2"/>
    <w:qFormat/>
    <w:uiPriority w:val="0"/>
    <w:rPr>
      <w:rFonts w:ascii="Times New Roman" w:hAnsi="Times New Roman" w:eastAsia="宋体" w:cs="Times New Roman"/>
      <w:b/>
      <w:bCs/>
      <w:kern w:val="44"/>
      <w:sz w:val="32"/>
      <w:szCs w:val="44"/>
      <w:lang w:val="zh-CN" w:eastAsia="zh-CN"/>
    </w:rPr>
  </w:style>
  <w:style w:type="character" w:customStyle="1" w:styleId="31">
    <w:name w:val="批注文字 字符"/>
    <w:basedOn w:val="18"/>
    <w:link w:val="7"/>
    <w:semiHidden/>
    <w:qFormat/>
    <w:uiPriority w:val="99"/>
  </w:style>
  <w:style w:type="paragraph" w:customStyle="1" w:styleId="32">
    <w:name w:val="标题三"/>
    <w:basedOn w:val="1"/>
    <w:next w:val="1"/>
    <w:link w:val="33"/>
    <w:qFormat/>
    <w:uiPriority w:val="0"/>
    <w:pPr>
      <w:spacing w:line="360" w:lineRule="auto"/>
      <w:outlineLvl w:val="2"/>
    </w:pPr>
    <w:rPr>
      <w:rFonts w:eastAsia="宋体"/>
      <w:b/>
    </w:rPr>
  </w:style>
  <w:style w:type="character" w:customStyle="1" w:styleId="33">
    <w:name w:val="标题三 字符"/>
    <w:basedOn w:val="18"/>
    <w:link w:val="32"/>
    <w:qFormat/>
    <w:uiPriority w:val="0"/>
    <w:rPr>
      <w:rFonts w:ascii="Times New Roman" w:hAnsi="Times New Roman" w:eastAsia="宋体"/>
      <w:b/>
      <w:sz w:val="28"/>
    </w:rPr>
  </w:style>
  <w:style w:type="character" w:customStyle="1" w:styleId="34">
    <w:name w:val="标题 2 字符"/>
    <w:basedOn w:val="18"/>
    <w:link w:val="3"/>
    <w:qFormat/>
    <w:uiPriority w:val="9"/>
    <w:rPr>
      <w:rFonts w:asciiTheme="majorHAnsi" w:hAnsiTheme="majorHAnsi" w:eastAsiaTheme="majorEastAsia" w:cstheme="majorBidi"/>
      <w:b/>
      <w:bCs/>
      <w:sz w:val="32"/>
      <w:szCs w:val="32"/>
    </w:rPr>
  </w:style>
  <w:style w:type="character" w:customStyle="1" w:styleId="35">
    <w:name w:val="样式 (西文) 宋体 小四"/>
    <w:qFormat/>
    <w:uiPriority w:val="0"/>
    <w:rPr>
      <w:rFonts w:ascii="宋体" w:hAnsi="宋体" w:eastAsia="Times New Roman"/>
      <w:sz w:val="24"/>
    </w:rPr>
  </w:style>
  <w:style w:type="character" w:customStyle="1" w:styleId="36">
    <w:name w:val="正文文本 字符"/>
    <w:basedOn w:val="18"/>
    <w:link w:val="8"/>
    <w:qFormat/>
    <w:uiPriority w:val="99"/>
    <w:rPr>
      <w:rFonts w:ascii="宋体" w:hAnsi="Times New Roman" w:eastAsia="宋体" w:cs="宋体"/>
      <w:kern w:val="0"/>
      <w:sz w:val="28"/>
      <w:szCs w:val="28"/>
    </w:rPr>
  </w:style>
  <w:style w:type="character" w:customStyle="1" w:styleId="37">
    <w:name w:val="标题 3 字符"/>
    <w:basedOn w:val="18"/>
    <w:link w:val="4"/>
    <w:qFormat/>
    <w:uiPriority w:val="9"/>
    <w:rPr>
      <w:b/>
      <w:bCs/>
      <w:sz w:val="32"/>
      <w:szCs w:val="32"/>
    </w:rPr>
  </w:style>
  <w:style w:type="character" w:customStyle="1" w:styleId="38">
    <w:name w:val="标题 4 字符"/>
    <w:basedOn w:val="18"/>
    <w:link w:val="5"/>
    <w:qFormat/>
    <w:uiPriority w:val="9"/>
    <w:rPr>
      <w:rFonts w:asciiTheme="majorHAnsi" w:hAnsiTheme="majorHAnsi" w:eastAsiaTheme="majorEastAsia" w:cstheme="majorBidi"/>
      <w:b/>
      <w:bCs/>
      <w:sz w:val="28"/>
      <w:szCs w:val="28"/>
    </w:rPr>
  </w:style>
  <w:style w:type="paragraph" w:styleId="39">
    <w:name w:val="List Paragraph"/>
    <w:basedOn w:val="1"/>
    <w:qFormat/>
    <w:uiPriority w:val="1"/>
    <w:pPr>
      <w:autoSpaceDE w:val="0"/>
      <w:autoSpaceDN w:val="0"/>
      <w:adjustRightInd w:val="0"/>
      <w:spacing w:before="104"/>
      <w:ind w:left="1080" w:hanging="540"/>
      <w:jc w:val="left"/>
    </w:pPr>
    <w:rPr>
      <w:rFonts w:ascii="宋体" w:eastAsia="宋体" w:cs="宋体"/>
      <w:kern w:val="0"/>
      <w:sz w:val="24"/>
      <w:szCs w:val="24"/>
    </w:rPr>
  </w:style>
  <w:style w:type="paragraph" w:customStyle="1" w:styleId="40">
    <w:name w:val="Table Paragraph"/>
    <w:basedOn w:val="1"/>
    <w:qFormat/>
    <w:uiPriority w:val="1"/>
    <w:pPr>
      <w:autoSpaceDE w:val="0"/>
      <w:autoSpaceDN w:val="0"/>
      <w:adjustRightInd w:val="0"/>
      <w:jc w:val="left"/>
    </w:pPr>
    <w:rPr>
      <w:rFonts w:ascii="宋体" w:eastAsia="宋体" w:cs="宋体"/>
      <w:kern w:val="0"/>
      <w:sz w:val="24"/>
      <w:szCs w:val="24"/>
    </w:rPr>
  </w:style>
  <w:style w:type="paragraph" w:customStyle="1" w:styleId="41">
    <w:name w:val="标题1"/>
    <w:basedOn w:val="1"/>
    <w:next w:val="1"/>
    <w:link w:val="42"/>
    <w:qFormat/>
    <w:uiPriority w:val="99"/>
    <w:pPr>
      <w:tabs>
        <w:tab w:val="left" w:pos="9193"/>
        <w:tab w:val="left" w:pos="9827"/>
      </w:tabs>
      <w:autoSpaceDE w:val="0"/>
      <w:autoSpaceDN w:val="0"/>
      <w:snapToGrid w:val="0"/>
      <w:spacing w:line="700" w:lineRule="atLeast"/>
      <w:jc w:val="center"/>
    </w:pPr>
    <w:rPr>
      <w:rFonts w:eastAsia="方正小标宋_GBK" w:cs="Times New Roman"/>
      <w:kern w:val="0"/>
      <w:sz w:val="44"/>
      <w:szCs w:val="20"/>
    </w:rPr>
  </w:style>
  <w:style w:type="character" w:customStyle="1" w:styleId="42">
    <w:name w:val="标题1 Char"/>
    <w:link w:val="41"/>
    <w:qFormat/>
    <w:uiPriority w:val="99"/>
    <w:rPr>
      <w:rFonts w:ascii="Times New Roman" w:hAnsi="Times New Roman" w:eastAsia="方正小标宋_GBK"/>
      <w:sz w:val="44"/>
    </w:rPr>
  </w:style>
  <w:style w:type="character" w:customStyle="1" w:styleId="43">
    <w:name w:val="批注主题 字符"/>
    <w:basedOn w:val="31"/>
    <w:link w:val="15"/>
    <w:semiHidden/>
    <w:qFormat/>
    <w:uiPriority w:val="99"/>
    <w:rPr>
      <w:rFonts w:asciiTheme="minorHAnsi" w:hAnsiTheme="minorHAnsi" w:eastAsiaTheme="minorEastAsia" w:cstheme="minorBidi"/>
      <w:b/>
      <w:bCs/>
      <w:kern w:val="2"/>
      <w:sz w:val="28"/>
      <w:szCs w:val="22"/>
    </w:rPr>
  </w:style>
  <w:style w:type="character" w:customStyle="1" w:styleId="44">
    <w:name w:val="textindent"/>
    <w:basedOn w:val="18"/>
    <w:qFormat/>
    <w:uiPriority w:val="0"/>
  </w:style>
  <w:style w:type="paragraph" w:customStyle="1" w:styleId="45">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
    <w:name w:val="font5"/>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47">
    <w:name w:val="font6"/>
    <w:basedOn w:val="1"/>
    <w:qFormat/>
    <w:uiPriority w:val="0"/>
    <w:pPr>
      <w:widowControl/>
      <w:spacing w:before="100" w:beforeAutospacing="1" w:after="100" w:afterAutospacing="1"/>
      <w:jc w:val="left"/>
    </w:pPr>
    <w:rPr>
      <w:rFonts w:eastAsia="宋体" w:cs="Times New Roman"/>
      <w:b/>
      <w:bCs/>
      <w:color w:val="000000"/>
      <w:kern w:val="0"/>
      <w:sz w:val="20"/>
      <w:szCs w:val="20"/>
    </w:rPr>
  </w:style>
  <w:style w:type="paragraph" w:customStyle="1" w:styleId="48">
    <w:name w:val="font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49">
    <w:name w:val="font8"/>
    <w:basedOn w:val="1"/>
    <w:qFormat/>
    <w:uiPriority w:val="0"/>
    <w:pPr>
      <w:widowControl/>
      <w:spacing w:before="100" w:beforeAutospacing="1" w:after="100" w:afterAutospacing="1"/>
      <w:jc w:val="left"/>
    </w:pPr>
    <w:rPr>
      <w:rFonts w:eastAsia="宋体" w:cs="Times New Roman"/>
      <w:color w:val="000000"/>
      <w:kern w:val="0"/>
      <w:sz w:val="20"/>
      <w:szCs w:val="20"/>
    </w:rPr>
  </w:style>
  <w:style w:type="paragraph" w:customStyle="1" w:styleId="50">
    <w:name w:val="font9"/>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51">
    <w:name w:val="xl65"/>
    <w:basedOn w:val="1"/>
    <w:qFormat/>
    <w:uiPriority w:val="0"/>
    <w:pPr>
      <w:widowControl/>
      <w:pBdr>
        <w:top w:val="single" w:color="auto" w:sz="8" w:space="0"/>
        <w:right w:val="single" w:color="auto" w:sz="8"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52">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
    <w:name w:val="xl67"/>
    <w:basedOn w:val="1"/>
    <w:qFormat/>
    <w:uiPriority w:val="0"/>
    <w:pPr>
      <w:widowControl/>
      <w:pBdr>
        <w:right w:val="single" w:color="auto" w:sz="8"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54">
    <w:name w:val="xl68"/>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eastAsia="宋体" w:cs="宋体"/>
      <w:kern w:val="0"/>
      <w:sz w:val="24"/>
      <w:szCs w:val="24"/>
    </w:rPr>
  </w:style>
  <w:style w:type="paragraph" w:customStyle="1" w:styleId="55">
    <w:name w:val="xl69"/>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56">
    <w:name w:val="xl70"/>
    <w:basedOn w:val="1"/>
    <w:qFormat/>
    <w:uiPriority w:val="0"/>
    <w:pPr>
      <w:widowControl/>
      <w:pBdr>
        <w:right w:val="single" w:color="auto" w:sz="8" w:space="0"/>
      </w:pBdr>
      <w:spacing w:before="100" w:beforeAutospacing="1" w:after="100" w:afterAutospacing="1"/>
      <w:jc w:val="center"/>
    </w:pPr>
    <w:rPr>
      <w:rFonts w:eastAsia="宋体" w:cs="Times New Roman"/>
      <w:b/>
      <w:bCs/>
      <w:color w:val="000000"/>
      <w:kern w:val="0"/>
      <w:sz w:val="20"/>
      <w:szCs w:val="20"/>
    </w:rPr>
  </w:style>
  <w:style w:type="paragraph" w:customStyle="1" w:styleId="57">
    <w:name w:val="xl71"/>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eastAsia="宋体" w:cs="宋体"/>
      <w:color w:val="000000"/>
      <w:kern w:val="0"/>
      <w:sz w:val="20"/>
      <w:szCs w:val="20"/>
    </w:rPr>
  </w:style>
  <w:style w:type="paragraph" w:customStyle="1" w:styleId="58">
    <w:name w:val="xl72"/>
    <w:basedOn w:val="1"/>
    <w:qFormat/>
    <w:uiPriority w:val="0"/>
    <w:pPr>
      <w:widowControl/>
      <w:pBdr>
        <w:bottom w:val="single" w:color="auto" w:sz="8" w:space="0"/>
        <w:right w:val="single" w:color="auto" w:sz="8" w:space="0"/>
      </w:pBdr>
      <w:spacing w:before="100" w:beforeAutospacing="1" w:after="100" w:afterAutospacing="1"/>
      <w:jc w:val="center"/>
    </w:pPr>
    <w:rPr>
      <w:rFonts w:eastAsia="宋体" w:cs="Times New Roman"/>
      <w:color w:val="000000"/>
      <w:kern w:val="0"/>
      <w:sz w:val="20"/>
      <w:szCs w:val="20"/>
    </w:rPr>
  </w:style>
  <w:style w:type="paragraph" w:customStyle="1" w:styleId="59">
    <w:name w:val="xl73"/>
    <w:basedOn w:val="1"/>
    <w:qFormat/>
    <w:uiPriority w:val="0"/>
    <w:pPr>
      <w:widowControl/>
      <w:pBdr>
        <w:bottom w:val="single" w:color="auto" w:sz="8" w:space="0"/>
        <w:right w:val="single" w:color="auto" w:sz="8"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0">
    <w:name w:val="xl74"/>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pPr>
    <w:rPr>
      <w:rFonts w:eastAsia="宋体" w:cs="Times New Roman"/>
      <w:color w:val="000000"/>
      <w:kern w:val="0"/>
      <w:sz w:val="20"/>
      <w:szCs w:val="20"/>
    </w:rPr>
  </w:style>
  <w:style w:type="paragraph" w:customStyle="1" w:styleId="61">
    <w:name w:val="xl75"/>
    <w:basedOn w:val="1"/>
    <w:qFormat/>
    <w:uiPriority w:val="0"/>
    <w:pPr>
      <w:widowControl/>
      <w:pBdr>
        <w:bottom w:val="single" w:color="auto" w:sz="8" w:space="0"/>
        <w:right w:val="single" w:color="auto" w:sz="8" w:space="0"/>
      </w:pBdr>
      <w:spacing w:before="100" w:beforeAutospacing="1" w:after="100" w:afterAutospacing="1"/>
      <w:jc w:val="left"/>
    </w:pPr>
    <w:rPr>
      <w:rFonts w:eastAsia="宋体" w:cs="Times New Roman"/>
      <w:color w:val="000000"/>
      <w:kern w:val="0"/>
      <w:sz w:val="20"/>
      <w:szCs w:val="20"/>
    </w:rPr>
  </w:style>
  <w:style w:type="paragraph" w:customStyle="1" w:styleId="62">
    <w:name w:val="xl76"/>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63">
    <w:name w:val="xl77"/>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eastAsia="宋体" w:cs="宋体"/>
      <w:color w:val="000000"/>
      <w:kern w:val="0"/>
      <w:sz w:val="20"/>
      <w:szCs w:val="20"/>
    </w:rPr>
  </w:style>
  <w:style w:type="paragraph" w:customStyle="1" w:styleId="64">
    <w:name w:val="xl78"/>
    <w:basedOn w:val="1"/>
    <w:qFormat/>
    <w:uiPriority w:val="0"/>
    <w:pPr>
      <w:widowControl/>
      <w:pBdr>
        <w:bottom w:val="single" w:color="auto" w:sz="8" w:space="0"/>
        <w:right w:val="single" w:color="auto" w:sz="8" w:space="0"/>
      </w:pBdr>
      <w:spacing w:before="100" w:beforeAutospacing="1" w:after="100" w:afterAutospacing="1"/>
      <w:jc w:val="center"/>
    </w:pPr>
    <w:rPr>
      <w:rFonts w:eastAsia="宋体" w:cs="Times New Roman"/>
      <w:b/>
      <w:bCs/>
      <w:color w:val="000000"/>
      <w:kern w:val="0"/>
      <w:sz w:val="20"/>
      <w:szCs w:val="20"/>
    </w:rPr>
  </w:style>
  <w:style w:type="paragraph" w:customStyle="1" w:styleId="65">
    <w:name w:val="xl79"/>
    <w:basedOn w:val="1"/>
    <w:qFormat/>
    <w:uiPriority w:val="0"/>
    <w:pPr>
      <w:widowControl/>
      <w:pBdr>
        <w:right w:val="single" w:color="auto" w:sz="8" w:space="0"/>
      </w:pBdr>
      <w:spacing w:before="100" w:beforeAutospacing="1" w:after="100" w:afterAutospacing="1"/>
      <w:jc w:val="center"/>
    </w:pPr>
    <w:rPr>
      <w:rFonts w:ascii="宋体" w:hAnsi="宋体" w:eastAsia="宋体" w:cs="宋体"/>
      <w:color w:val="000000"/>
      <w:kern w:val="0"/>
      <w:sz w:val="20"/>
      <w:szCs w:val="20"/>
    </w:rPr>
  </w:style>
  <w:style w:type="paragraph" w:customStyle="1" w:styleId="66">
    <w:name w:val="xl80"/>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eastAsia="宋体" w:cs="宋体"/>
      <w:b/>
      <w:bCs/>
      <w:kern w:val="0"/>
      <w:sz w:val="20"/>
      <w:szCs w:val="20"/>
    </w:rPr>
  </w:style>
  <w:style w:type="paragraph" w:customStyle="1" w:styleId="67">
    <w:name w:val="xl81"/>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eastAsia="宋体" w:cs="宋体"/>
      <w:kern w:val="0"/>
      <w:sz w:val="20"/>
      <w:szCs w:val="20"/>
    </w:rPr>
  </w:style>
  <w:style w:type="paragraph" w:customStyle="1" w:styleId="68">
    <w:name w:val="xl82"/>
    <w:basedOn w:val="1"/>
    <w:qFormat/>
    <w:uiPriority w:val="0"/>
    <w:pPr>
      <w:widowControl/>
      <w:pBdr>
        <w:bottom w:val="single" w:color="auto" w:sz="8" w:space="0"/>
        <w:right w:val="single" w:color="auto" w:sz="8" w:space="0"/>
      </w:pBdr>
      <w:spacing w:before="100" w:beforeAutospacing="1" w:after="100" w:afterAutospacing="1"/>
      <w:jc w:val="right"/>
    </w:pPr>
    <w:rPr>
      <w:rFonts w:ascii="宋体" w:hAnsi="宋体" w:eastAsia="宋体" w:cs="宋体"/>
      <w:color w:val="000000"/>
      <w:kern w:val="0"/>
      <w:sz w:val="20"/>
      <w:szCs w:val="20"/>
    </w:rPr>
  </w:style>
  <w:style w:type="paragraph" w:customStyle="1" w:styleId="69">
    <w:name w:val="xl83"/>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eastAsia="宋体" w:cs="宋体"/>
      <w:kern w:val="0"/>
      <w:sz w:val="21"/>
      <w:szCs w:val="21"/>
    </w:rPr>
  </w:style>
  <w:style w:type="paragraph" w:customStyle="1" w:styleId="70">
    <w:name w:val="xl84"/>
    <w:basedOn w:val="1"/>
    <w:qFormat/>
    <w:uiPriority w:val="0"/>
    <w:pPr>
      <w:widowControl/>
      <w:pBdr>
        <w:right w:val="single" w:color="auto" w:sz="8" w:space="0"/>
      </w:pBdr>
      <w:spacing w:before="100" w:beforeAutospacing="1" w:after="100" w:afterAutospacing="1"/>
      <w:jc w:val="left"/>
    </w:pPr>
    <w:rPr>
      <w:rFonts w:ascii="宋体" w:hAnsi="宋体" w:eastAsia="宋体" w:cs="宋体"/>
      <w:color w:val="000000"/>
      <w:kern w:val="0"/>
      <w:sz w:val="20"/>
      <w:szCs w:val="20"/>
    </w:rPr>
  </w:style>
  <w:style w:type="paragraph" w:customStyle="1" w:styleId="71">
    <w:name w:val="xl85"/>
    <w:basedOn w:val="1"/>
    <w:qFormat/>
    <w:uiPriority w:val="0"/>
    <w:pPr>
      <w:widowControl/>
      <w:pBdr>
        <w:right w:val="single" w:color="auto" w:sz="8" w:space="0"/>
      </w:pBdr>
      <w:spacing w:before="100" w:beforeAutospacing="1" w:after="100" w:afterAutospacing="1"/>
      <w:jc w:val="center"/>
    </w:pPr>
    <w:rPr>
      <w:rFonts w:ascii="宋体" w:hAnsi="宋体" w:eastAsia="宋体" w:cs="宋体"/>
      <w:kern w:val="0"/>
      <w:sz w:val="24"/>
      <w:szCs w:val="24"/>
    </w:rPr>
  </w:style>
  <w:style w:type="paragraph" w:customStyle="1" w:styleId="72">
    <w:name w:val="xl86"/>
    <w:basedOn w:val="1"/>
    <w:qFormat/>
    <w:uiPriority w:val="0"/>
    <w:pPr>
      <w:widowControl/>
      <w:pBdr>
        <w:right w:val="single" w:color="auto" w:sz="8" w:space="0"/>
      </w:pBdr>
      <w:spacing w:before="100" w:beforeAutospacing="1" w:after="100" w:afterAutospacing="1"/>
      <w:jc w:val="left"/>
    </w:pPr>
    <w:rPr>
      <w:rFonts w:ascii="宋体" w:hAnsi="宋体" w:eastAsia="宋体" w:cs="宋体"/>
      <w:kern w:val="0"/>
      <w:sz w:val="24"/>
      <w:szCs w:val="24"/>
    </w:rPr>
  </w:style>
  <w:style w:type="paragraph" w:customStyle="1" w:styleId="73">
    <w:name w:val="xl87"/>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74">
    <w:name w:val="xl88"/>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75">
    <w:name w:val="xl8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76">
    <w:name w:val="xl90"/>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77">
    <w:name w:val="xl91"/>
    <w:basedOn w:val="1"/>
    <w:qFormat/>
    <w:uiPriority w:val="0"/>
    <w:pPr>
      <w:widowControl/>
      <w:pBdr>
        <w:left w:val="single" w:color="auto" w:sz="8" w:space="0"/>
        <w:right w:val="single" w:color="auto" w:sz="8"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78">
    <w:name w:val="xl92"/>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79">
    <w:name w:val="xl93"/>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eastAsia="宋体" w:cs="宋体"/>
      <w:color w:val="000000"/>
      <w:kern w:val="0"/>
      <w:sz w:val="20"/>
      <w:szCs w:val="20"/>
    </w:rPr>
  </w:style>
  <w:style w:type="paragraph" w:customStyle="1" w:styleId="80">
    <w:name w:val="xl9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color w:val="000000"/>
      <w:kern w:val="0"/>
      <w:sz w:val="20"/>
      <w:szCs w:val="20"/>
    </w:rPr>
  </w:style>
  <w:style w:type="paragraph" w:customStyle="1" w:styleId="81">
    <w:name w:val="xl95"/>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eastAsia="宋体" w:cs="宋体"/>
      <w:color w:val="000000"/>
      <w:kern w:val="0"/>
      <w:sz w:val="20"/>
      <w:szCs w:val="20"/>
    </w:rPr>
  </w:style>
  <w:style w:type="paragraph" w:customStyle="1" w:styleId="82">
    <w:name w:val="xl96"/>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eastAsia="宋体" w:cs="宋体"/>
      <w:color w:val="000000"/>
      <w:kern w:val="0"/>
      <w:sz w:val="20"/>
      <w:szCs w:val="20"/>
    </w:rPr>
  </w:style>
  <w:style w:type="paragraph" w:customStyle="1" w:styleId="83">
    <w:name w:val="xl97"/>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eastAsia="宋体" w:cs="宋体"/>
      <w:color w:val="000000"/>
      <w:kern w:val="0"/>
      <w:sz w:val="20"/>
      <w:szCs w:val="20"/>
    </w:rPr>
  </w:style>
  <w:style w:type="paragraph" w:customStyle="1" w:styleId="84">
    <w:name w:val="xl9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eastAsia="宋体" w:cs="Times New Roman"/>
      <w:b/>
      <w:bCs/>
      <w:color w:val="000000"/>
      <w:kern w:val="0"/>
      <w:sz w:val="20"/>
      <w:szCs w:val="20"/>
    </w:rPr>
  </w:style>
  <w:style w:type="paragraph" w:customStyle="1" w:styleId="85">
    <w:name w:val="xl9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eastAsia="宋体" w:cs="Times New Roman"/>
      <w:b/>
      <w:bCs/>
      <w:color w:val="000000"/>
      <w:kern w:val="0"/>
      <w:sz w:val="20"/>
      <w:szCs w:val="20"/>
    </w:rPr>
  </w:style>
  <w:style w:type="paragraph" w:customStyle="1" w:styleId="86">
    <w:name w:val="xl10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eastAsia="宋体" w:cs="Times New Roman"/>
      <w:color w:val="000000"/>
      <w:kern w:val="0"/>
      <w:sz w:val="20"/>
      <w:szCs w:val="20"/>
    </w:rPr>
  </w:style>
  <w:style w:type="paragraph" w:customStyle="1" w:styleId="87">
    <w:name w:val="xl101"/>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eastAsia="宋体" w:cs="Times New Roman"/>
      <w:color w:val="000000"/>
      <w:kern w:val="0"/>
      <w:sz w:val="20"/>
      <w:szCs w:val="20"/>
    </w:rPr>
  </w:style>
  <w:style w:type="paragraph" w:customStyle="1" w:styleId="88">
    <w:name w:val="xl102"/>
    <w:basedOn w:val="1"/>
    <w:qFormat/>
    <w:uiPriority w:val="0"/>
    <w:pPr>
      <w:widowControl/>
      <w:pBdr>
        <w:left w:val="single" w:color="auto" w:sz="8" w:space="0"/>
        <w:right w:val="single" w:color="auto" w:sz="8" w:space="0"/>
      </w:pBdr>
      <w:spacing w:before="100" w:beforeAutospacing="1" w:after="100" w:afterAutospacing="1"/>
      <w:jc w:val="center"/>
    </w:pPr>
    <w:rPr>
      <w:rFonts w:eastAsia="宋体" w:cs="Times New Roman"/>
      <w:color w:val="000000"/>
      <w:kern w:val="0"/>
      <w:sz w:val="20"/>
      <w:szCs w:val="20"/>
    </w:rPr>
  </w:style>
  <w:style w:type="paragraph" w:customStyle="1" w:styleId="89">
    <w:name w:val="xl103"/>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90">
    <w:name w:val="xl104"/>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91">
    <w:name w:val="xl10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92">
    <w:name w:val="xl106"/>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jc w:val="center"/>
    </w:pPr>
    <w:rPr>
      <w:rFonts w:eastAsia="宋体" w:cs="Times New Roman"/>
      <w:color w:val="000000"/>
      <w:kern w:val="0"/>
      <w:sz w:val="20"/>
      <w:szCs w:val="20"/>
    </w:rPr>
  </w:style>
  <w:style w:type="paragraph" w:customStyle="1" w:styleId="93">
    <w:name w:val="xl107"/>
    <w:basedOn w:val="1"/>
    <w:qFormat/>
    <w:uiPriority w:val="0"/>
    <w:pPr>
      <w:widowControl/>
      <w:pBdr>
        <w:bottom w:val="single" w:color="auto" w:sz="8" w:space="0"/>
        <w:right w:val="single" w:color="auto" w:sz="8" w:space="0"/>
      </w:pBdr>
      <w:shd w:val="clear" w:color="000000" w:fill="FFFFFF"/>
      <w:spacing w:before="100" w:beforeAutospacing="1" w:after="100" w:afterAutospacing="1"/>
      <w:jc w:val="left"/>
    </w:pPr>
    <w:rPr>
      <w:rFonts w:ascii="宋体" w:hAnsi="宋体" w:eastAsia="宋体" w:cs="宋体"/>
      <w:kern w:val="0"/>
      <w:sz w:val="21"/>
      <w:szCs w:val="21"/>
    </w:rPr>
  </w:style>
  <w:style w:type="paragraph" w:customStyle="1" w:styleId="94">
    <w:name w:val="xl108"/>
    <w:basedOn w:val="1"/>
    <w:qFormat/>
    <w:uiPriority w:val="0"/>
    <w:pPr>
      <w:widowControl/>
      <w:pBdr>
        <w:bottom w:val="single" w:color="auto" w:sz="8" w:space="0"/>
      </w:pBdr>
      <w:spacing w:before="100" w:beforeAutospacing="1" w:after="100" w:afterAutospacing="1"/>
      <w:jc w:val="center"/>
    </w:pPr>
    <w:rPr>
      <w:rFonts w:ascii="宋体" w:hAnsi="宋体" w:eastAsia="宋体" w:cs="宋体"/>
      <w:color w:val="000000"/>
      <w:kern w:val="0"/>
      <w:sz w:val="20"/>
      <w:szCs w:val="20"/>
    </w:rPr>
  </w:style>
  <w:style w:type="paragraph" w:customStyle="1" w:styleId="95">
    <w:name w:val="xl109"/>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96">
    <w:name w:val="xl110"/>
    <w:basedOn w:val="1"/>
    <w:qFormat/>
    <w:uiPriority w:val="0"/>
    <w:pPr>
      <w:widowControl/>
      <w:pBdr>
        <w:left w:val="single" w:color="auto" w:sz="8" w:space="0"/>
        <w:right w:val="single" w:color="auto" w:sz="8"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97">
    <w:name w:val="xl111"/>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98">
    <w:name w:val="xl11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eastAsia="宋体" w:cs="宋体"/>
      <w:color w:val="000000"/>
      <w:kern w:val="0"/>
      <w:sz w:val="20"/>
      <w:szCs w:val="20"/>
    </w:rPr>
  </w:style>
  <w:style w:type="paragraph" w:customStyle="1" w:styleId="99">
    <w:name w:val="修订1"/>
    <w:hidden/>
    <w:unhideWhenUsed/>
    <w:qFormat/>
    <w:uiPriority w:val="99"/>
    <w:rPr>
      <w:rFonts w:ascii="Times New Roman" w:hAnsi="Times New Roman" w:eastAsia="方正仿宋_GBK" w:cstheme="minorBidi"/>
      <w:kern w:val="2"/>
      <w:sz w:val="32"/>
      <w:szCs w:val="22"/>
      <w:lang w:val="en-US" w:eastAsia="zh-CN" w:bidi="ar-SA"/>
    </w:rPr>
  </w:style>
  <w:style w:type="paragraph" w:customStyle="1" w:styleId="100">
    <w:name w:val="xl113"/>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01">
    <w:name w:val="xl114"/>
    <w:basedOn w:val="1"/>
    <w:qFormat/>
    <w:uiPriority w:val="0"/>
    <w:pPr>
      <w:widowControl/>
      <w:pBdr>
        <w:left w:val="single" w:color="auto" w:sz="8" w:space="0"/>
        <w:right w:val="single" w:color="auto" w:sz="8" w:space="0"/>
      </w:pBdr>
      <w:shd w:val="clear" w:color="000000" w:fill="FFFFFF"/>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02">
    <w:name w:val="xl115"/>
    <w:basedOn w:val="1"/>
    <w:qFormat/>
    <w:uiPriority w:val="0"/>
    <w:pPr>
      <w:widowControl/>
      <w:pBdr>
        <w:left w:val="single" w:color="auto" w:sz="8" w:space="0"/>
        <w:bottom w:val="single" w:color="000000" w:sz="8" w:space="0"/>
        <w:right w:val="single" w:color="auto" w:sz="8" w:space="0"/>
      </w:pBdr>
      <w:shd w:val="clear" w:color="000000" w:fill="FFFFFF"/>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03">
    <w:name w:val="xl116"/>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04">
    <w:name w:val="xl117"/>
    <w:basedOn w:val="1"/>
    <w:qFormat/>
    <w:uiPriority w:val="0"/>
    <w:pPr>
      <w:widowControl/>
      <w:pBdr>
        <w:left w:val="single" w:color="auto" w:sz="8" w:space="0"/>
        <w:bottom w:val="single" w:color="000000" w:sz="8" w:space="0"/>
        <w:right w:val="single" w:color="auto" w:sz="8"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05">
    <w:name w:val="xl118"/>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06">
    <w:name w:val="xl119"/>
    <w:basedOn w:val="1"/>
    <w:qFormat/>
    <w:uiPriority w:val="0"/>
    <w:pPr>
      <w:widowControl/>
      <w:pBdr>
        <w:left w:val="single" w:color="auto" w:sz="8" w:space="0"/>
        <w:right w:val="single" w:color="auto" w:sz="8" w:space="0"/>
      </w:pBdr>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107">
    <w:name w:val="xl120"/>
    <w:basedOn w:val="1"/>
    <w:qFormat/>
    <w:uiPriority w:val="0"/>
    <w:pPr>
      <w:widowControl/>
      <w:pBdr>
        <w:top w:val="single" w:color="000000" w:sz="8" w:space="0"/>
        <w:left w:val="single" w:color="auto" w:sz="8" w:space="0"/>
        <w:right w:val="single" w:color="auto" w:sz="8" w:space="0"/>
      </w:pBdr>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108">
    <w:name w:val="xl121"/>
    <w:basedOn w:val="1"/>
    <w:qFormat/>
    <w:uiPriority w:val="0"/>
    <w:pPr>
      <w:widowControl/>
      <w:pBdr>
        <w:left w:val="single" w:color="auto" w:sz="8" w:space="0"/>
        <w:bottom w:val="single" w:color="000000" w:sz="8" w:space="0"/>
        <w:right w:val="single" w:color="auto" w:sz="8" w:space="0"/>
      </w:pBdr>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109">
    <w:name w:val="xl122"/>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eastAsia="宋体" w:cs="Times New Roman"/>
      <w:color w:val="000000"/>
      <w:kern w:val="0"/>
      <w:sz w:val="20"/>
      <w:szCs w:val="20"/>
    </w:rPr>
  </w:style>
  <w:style w:type="paragraph" w:customStyle="1" w:styleId="110">
    <w:name w:val="xl123"/>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eastAsia="宋体" w:cs="Times New Roman"/>
      <w:color w:val="000000"/>
      <w:kern w:val="0"/>
      <w:sz w:val="20"/>
      <w:szCs w:val="20"/>
    </w:rPr>
  </w:style>
  <w:style w:type="paragraph" w:customStyle="1" w:styleId="111">
    <w:name w:val="xl12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等线" w:hAnsi="等线" w:eastAsia="等线" w:cs="宋体"/>
      <w:color w:val="000000"/>
      <w:kern w:val="0"/>
      <w:sz w:val="20"/>
      <w:szCs w:val="20"/>
    </w:rPr>
  </w:style>
  <w:style w:type="paragraph" w:customStyle="1" w:styleId="112">
    <w:name w:val="xl125"/>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等线" w:hAnsi="等线" w:eastAsia="等线" w:cs="宋体"/>
      <w:color w:val="000000"/>
      <w:kern w:val="0"/>
      <w:sz w:val="20"/>
      <w:szCs w:val="20"/>
    </w:rPr>
  </w:style>
  <w:style w:type="paragraph" w:customStyle="1" w:styleId="113">
    <w:name w:val="xl126"/>
    <w:basedOn w:val="1"/>
    <w:qFormat/>
    <w:uiPriority w:val="0"/>
    <w:pPr>
      <w:widowControl/>
      <w:pBdr>
        <w:left w:val="single" w:color="auto" w:sz="8" w:space="0"/>
        <w:bottom w:val="single" w:color="000000" w:sz="8" w:space="0"/>
        <w:right w:val="single" w:color="auto" w:sz="8" w:space="0"/>
      </w:pBdr>
      <w:spacing w:before="100" w:beforeAutospacing="1" w:after="100" w:afterAutospacing="1"/>
      <w:jc w:val="center"/>
      <w:textAlignment w:val="center"/>
    </w:pPr>
    <w:rPr>
      <w:rFonts w:ascii="等线" w:hAnsi="等线" w:eastAsia="等线" w:cs="宋体"/>
      <w:color w:val="000000"/>
      <w:kern w:val="0"/>
      <w:sz w:val="20"/>
      <w:szCs w:val="20"/>
    </w:rPr>
  </w:style>
  <w:style w:type="paragraph" w:customStyle="1" w:styleId="114">
    <w:name w:val="xl127"/>
    <w:basedOn w:val="1"/>
    <w:qFormat/>
    <w:uiPriority w:val="0"/>
    <w:pPr>
      <w:widowControl/>
      <w:pBdr>
        <w:top w:val="single" w:color="000000" w:sz="8" w:space="0"/>
        <w:left w:val="single" w:color="auto" w:sz="8" w:space="0"/>
        <w:right w:val="single" w:color="auto" w:sz="8" w:space="0"/>
      </w:pBdr>
      <w:spacing w:before="100" w:beforeAutospacing="1" w:after="100" w:afterAutospacing="1"/>
      <w:jc w:val="center"/>
      <w:textAlignment w:val="center"/>
    </w:pPr>
    <w:rPr>
      <w:rFonts w:eastAsia="宋体" w:cs="Times New Roman"/>
      <w:color w:val="000000"/>
      <w:kern w:val="0"/>
      <w:sz w:val="20"/>
      <w:szCs w:val="20"/>
    </w:rPr>
  </w:style>
  <w:style w:type="paragraph" w:customStyle="1" w:styleId="115">
    <w:name w:val="xl128"/>
    <w:basedOn w:val="1"/>
    <w:qFormat/>
    <w:uiPriority w:val="0"/>
    <w:pPr>
      <w:widowControl/>
      <w:pBdr>
        <w:top w:val="single" w:color="000000" w:sz="8" w:space="0"/>
        <w:left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16">
    <w:name w:val="xl129"/>
    <w:basedOn w:val="1"/>
    <w:qFormat/>
    <w:uiPriority w:val="0"/>
    <w:pPr>
      <w:widowControl/>
      <w:pBdr>
        <w:top w:val="single" w:color="000000" w:sz="8" w:space="0"/>
        <w:left w:val="single" w:color="auto" w:sz="8" w:space="0"/>
        <w:right w:val="single" w:color="auto" w:sz="8" w:space="0"/>
      </w:pBdr>
      <w:spacing w:before="100" w:beforeAutospacing="1" w:after="100" w:afterAutospacing="1"/>
      <w:jc w:val="center"/>
      <w:textAlignment w:val="center"/>
    </w:pPr>
    <w:rPr>
      <w:rFonts w:ascii="等线" w:hAnsi="等线" w:eastAsia="等线" w:cs="宋体"/>
      <w:color w:val="000000"/>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E27475-0B7F-4921-B03A-00D6C7E9D89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67</Pages>
  <Words>5364</Words>
  <Characters>5710</Characters>
  <Lines>229</Lines>
  <Paragraphs>64</Paragraphs>
  <TotalTime>3</TotalTime>
  <ScaleCrop>false</ScaleCrop>
  <LinksUpToDate>false</LinksUpToDate>
  <CharactersWithSpaces>5743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2021-11-04T06:58:00Z</dcterms:created>
  <dc:creator>Administrator</dc:creator>
  <cp:lastModifiedBy>qhqzz</cp:lastModifiedBy>
  <cp:lastPrinted>2021-07-20T02:17:00Z</cp:lastPrinted>
  <dcterms:modified xsi:type="dcterms:W3CDTF">2025-07-03T02:57:01Z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584498EAC9004D56BED2FE80F44ECF76_13</vt:lpwstr>
  </property>
  <property fmtid="{D5CDD505-2E9C-101B-9397-08002B2CF9AE}" pid="4" name="KSOTemplateDocerSaveRecord">
    <vt:lpwstr>eyJoZGlkIjoiZTMwN2RmNmZkODUyZjg2MGQ2MzUwODkzMWVjYzI5NTcifQ==</vt:lpwstr>
  </property>
</Properties>
</file>