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5" w:lineRule="exact"/>
        <w:rPr>
          <w:rFonts w:eastAsia="方正小标宋_GBK"/>
          <w:b/>
          <w:color w:val="FF3800"/>
          <w:spacing w:val="100"/>
          <w:w w:val="85"/>
          <w:sz w:val="72"/>
          <w:szCs w:val="72"/>
        </w:rPr>
      </w:pPr>
    </w:p>
    <w:p>
      <w:pPr>
        <w:spacing w:line="505" w:lineRule="exact"/>
        <w:rPr>
          <w:rFonts w:eastAsia="方正小标宋_GBK"/>
          <w:b/>
          <w:color w:val="FF3800"/>
          <w:spacing w:val="100"/>
          <w:w w:val="85"/>
          <w:sz w:val="72"/>
          <w:szCs w:val="72"/>
        </w:rPr>
      </w:pPr>
    </w:p>
    <w:p>
      <w:pPr>
        <w:tabs>
          <w:tab w:val="left" w:pos="1134"/>
          <w:tab w:val="left" w:pos="7513"/>
        </w:tabs>
        <w:ind w:firstLine="397"/>
        <w:jc w:val="distribute"/>
        <w:rPr>
          <w:rFonts w:eastAsia="方正小标宋_GBK"/>
          <w:b/>
          <w:color w:val="FF3800"/>
          <w:w w:val="40"/>
          <w:sz w:val="128"/>
          <w:szCs w:val="128"/>
        </w:rPr>
      </w:pPr>
      <w:r>
        <w:rPr>
          <w:rFonts w:eastAsia="方正小标宋_GBK"/>
          <w:b/>
          <w:color w:val="FF3800"/>
          <w:w w:val="40"/>
          <w:sz w:val="128"/>
          <w:szCs w:val="128"/>
        </w:rPr>
        <w:t>南京市秦淮区人民政府办公室文件</w:t>
      </w:r>
    </w:p>
    <w:p>
      <w:pPr>
        <w:tabs>
          <w:tab w:val="left" w:pos="709"/>
        </w:tabs>
        <w:spacing w:before="156" w:beforeLines="50" w:after="156" w:afterLines="50" w:line="7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秦政办发〔202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35</w:t>
      </w:r>
      <w:r>
        <w:rPr>
          <w:rFonts w:hint="default" w:ascii="Times New Roman" w:hAnsi="Times New Roman" w:eastAsia="方正仿宋_GBK" w:cs="Times New Roman"/>
          <w:sz w:val="32"/>
          <w:szCs w:val="32"/>
        </w:rPr>
        <w:t>号</w:t>
      </w:r>
    </w:p>
    <w:p>
      <w:pPr>
        <w:spacing w:after="312" w:afterLines="100" w:line="600" w:lineRule="exact"/>
        <w:rPr>
          <w:rFonts w:hint="default" w:ascii="Times New Roman" w:hAnsi="Times New Roman" w:eastAsia="方正小标宋简体" w:cs="Times New Roman"/>
          <w:spacing w:val="-20"/>
          <w:sz w:val="40"/>
          <w:szCs w:val="40"/>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68580</wp:posOffset>
                </wp:positionV>
                <wp:extent cx="5537835" cy="0"/>
                <wp:effectExtent l="16510" t="20955" r="17780" b="1714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37835" cy="0"/>
                        </a:xfrm>
                        <a:prstGeom prst="line">
                          <a:avLst/>
                        </a:prstGeom>
                        <a:noFill/>
                        <a:ln w="28575">
                          <a:solidFill>
                            <a:srgbClr val="FF3800"/>
                          </a:solidFill>
                          <a:round/>
                        </a:ln>
                      </wps:spPr>
                      <wps:bodyPr/>
                    </wps:wsp>
                  </a:graphicData>
                </a:graphic>
              </wp:anchor>
            </w:drawing>
          </mc:Choice>
          <mc:Fallback>
            <w:pict>
              <v:line id="_x0000_s1026" o:spid="_x0000_s1026" o:spt="20" style="position:absolute;left:0pt;margin-left:0.55pt;margin-top:5.4pt;height:0pt;width:436.05pt;z-index:251659264;mso-width-relative:page;mso-height-relative:page;" filled="f" stroked="t" coordsize="21600,21600" o:gfxdata="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rE+s9cA&#10;AAAHAQAADwAAAAAAAAABACAAAAAiAAAAZHJzL2Rvd25yZXYueG1sUEsBAhQAFAAAAAgAh07iQOJW&#10;vDfnAQAAqwMAAA4AAAAAAAAAAQAgAAAAJgEAAGRycy9lMm9Eb2MueG1sUEsFBgAAAAAGAAYAWQEA&#10;AH8FAAAAAA==&#10;">
                <v:fill on="f" focussize="0,0"/>
                <v:stroke weight="2.25pt" color="#FF3800" joinstyle="round"/>
                <v:imagedata o:title=""/>
                <o:lock v:ext="edit" aspectratio="f"/>
              </v:line>
            </w:pict>
          </mc:Fallback>
        </mc:AlternateContent>
      </w:r>
    </w:p>
    <w:p>
      <w:pPr>
        <w:spacing w:line="560" w:lineRule="exact"/>
        <w:jc w:val="center"/>
        <w:rPr>
          <w:rFonts w:hint="eastAsia" w:ascii="Times New Roman" w:hAnsi="Times New Roman" w:eastAsia="方正小标宋_GBK" w:cs="Times New Roman"/>
          <w:sz w:val="44"/>
          <w:szCs w:val="44"/>
          <w:lang w:val="zh-CN"/>
        </w:rPr>
      </w:pPr>
      <w:r>
        <w:rPr>
          <w:rFonts w:hint="default" w:ascii="Times New Roman" w:hAnsi="Times New Roman" w:eastAsia="方正小标宋_GBK" w:cs="Times New Roman"/>
          <w:sz w:val="44"/>
          <w:szCs w:val="44"/>
        </w:rPr>
        <w:t>关于印发《</w:t>
      </w:r>
      <w:r>
        <w:rPr>
          <w:rFonts w:hint="eastAsia" w:ascii="Times New Roman" w:hAnsi="Times New Roman" w:eastAsia="方正小标宋_GBK" w:cs="Times New Roman"/>
          <w:sz w:val="44"/>
          <w:szCs w:val="44"/>
          <w:lang w:val="zh-CN"/>
        </w:rPr>
        <w:t>秦淮区2021年法治政府</w:t>
      </w:r>
    </w:p>
    <w:p>
      <w:pPr>
        <w:spacing w:line="560" w:lineRule="exact"/>
        <w:jc w:val="center"/>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zh-CN"/>
        </w:rPr>
        <w:t>建设工作计划</w:t>
      </w:r>
      <w:r>
        <w:rPr>
          <w:rFonts w:hint="default" w:ascii="Times New Roman" w:hAnsi="Times New Roman" w:eastAsia="方正小标宋_GBK" w:cs="Times New Roman"/>
          <w:sz w:val="44"/>
          <w:szCs w:val="44"/>
        </w:rPr>
        <w:t>》的通知</w:t>
      </w:r>
    </w:p>
    <w:p>
      <w:pPr>
        <w:overflowPunct w:val="0"/>
        <w:spacing w:line="580" w:lineRule="exact"/>
        <w:rPr>
          <w:rFonts w:hint="default" w:ascii="Times New Roman" w:hAnsi="Times New Roman" w:eastAsia="方正小标宋_GBK" w:cs="Times New Roman"/>
          <w:color w:val="000000"/>
          <w:sz w:val="44"/>
          <w:szCs w:val="44"/>
        </w:rPr>
      </w:pPr>
    </w:p>
    <w:p>
      <w:pPr>
        <w:overflowPunct w:val="0"/>
        <w:spacing w:line="580" w:lineRule="exact"/>
        <w:rPr>
          <w:rFonts w:hint="default" w:ascii="Times New Roman" w:hAnsi="Times New Roman" w:eastAsia="方正仿宋_GBK" w:cs="Times New Roman"/>
          <w:color w:val="000000"/>
          <w:spacing w:val="10"/>
          <w:sz w:val="32"/>
          <w:szCs w:val="32"/>
        </w:rPr>
      </w:pPr>
      <w:r>
        <w:rPr>
          <w:rFonts w:hint="default" w:ascii="Times New Roman" w:hAnsi="Times New Roman" w:eastAsia="方正仿宋_GBK" w:cs="Times New Roman"/>
          <w:color w:val="000000"/>
          <w:spacing w:val="10"/>
          <w:sz w:val="32"/>
          <w:szCs w:val="32"/>
        </w:rPr>
        <w:t>各街道办事处，区政府各部</w:t>
      </w:r>
      <w:bookmarkStart w:id="0" w:name="_GoBack"/>
      <w:bookmarkEnd w:id="0"/>
      <w:r>
        <w:rPr>
          <w:rFonts w:hint="default" w:ascii="Times New Roman" w:hAnsi="Times New Roman" w:eastAsia="方正仿宋_GBK" w:cs="Times New Roman"/>
          <w:color w:val="000000"/>
          <w:spacing w:val="10"/>
          <w:sz w:val="32"/>
          <w:szCs w:val="32"/>
        </w:rPr>
        <w:t>门，各直属单位：</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经区政府研究同意，现将《</w:t>
      </w:r>
      <w:r>
        <w:rPr>
          <w:rFonts w:hint="eastAsia" w:ascii="Times New Roman" w:hAnsi="Times New Roman" w:eastAsia="方正仿宋_GBK" w:cs="Times New Roman"/>
          <w:sz w:val="32"/>
          <w:szCs w:val="32"/>
          <w:lang w:val="zh-CN"/>
        </w:rPr>
        <w:t>秦淮区2021年法治政府建设工作计划</w:t>
      </w:r>
      <w:r>
        <w:rPr>
          <w:rFonts w:hint="default" w:ascii="Times New Roman" w:hAnsi="Times New Roman" w:eastAsia="方正仿宋_GBK" w:cs="Times New Roman"/>
          <w:sz w:val="32"/>
          <w:szCs w:val="32"/>
        </w:rPr>
        <w:t>》印发给你们，请认真抓好落实。</w:t>
      </w:r>
    </w:p>
    <w:p>
      <w:pPr>
        <w:spacing w:line="560" w:lineRule="exact"/>
        <w:ind w:firstLine="640" w:firstLineChars="200"/>
        <w:rPr>
          <w:rFonts w:hint="default" w:ascii="Times New Roman" w:hAnsi="Times New Roman" w:eastAsia="方正仿宋_GBK" w:cs="Times New Roman"/>
          <w:sz w:val="32"/>
          <w:szCs w:val="32"/>
        </w:rPr>
      </w:pPr>
    </w:p>
    <w:p>
      <w:pPr>
        <w:spacing w:line="560" w:lineRule="exact"/>
        <w:ind w:firstLine="640" w:firstLineChars="200"/>
        <w:rPr>
          <w:rFonts w:hint="default" w:ascii="Times New Roman" w:hAnsi="Times New Roman" w:eastAsia="方正仿宋_GBK" w:cs="Times New Roman"/>
          <w:sz w:val="32"/>
          <w:szCs w:val="32"/>
        </w:rPr>
      </w:pPr>
    </w:p>
    <w:p>
      <w:pPr>
        <w:wordWrap w:val="0"/>
        <w:adjustRightInd w:val="0"/>
        <w:snapToGrid w:val="0"/>
        <w:spacing w:line="560" w:lineRule="exact"/>
        <w:ind w:firstLine="467" w:firstLineChars="146"/>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南京市秦淮区人民政府办公室  </w:t>
      </w:r>
    </w:p>
    <w:p>
      <w:pPr>
        <w:wordWrap w:val="0"/>
        <w:adjustRightInd w:val="0"/>
        <w:snapToGrid w:val="0"/>
        <w:spacing w:line="560" w:lineRule="exact"/>
        <w:ind w:right="840" w:rightChars="400"/>
        <w:jc w:val="right"/>
        <w:rPr>
          <w:rFonts w:hint="default" w:ascii="Times New Roman" w:hAnsi="Times New Roman" w:eastAsia="方正仿宋_GBK" w:cs="Times New Roman"/>
          <w:sz w:val="32"/>
          <w:szCs w:val="32"/>
        </w:rPr>
        <w:sectPr>
          <w:footerReference r:id="rId4" w:type="default"/>
          <w:footerReference r:id="rId5" w:type="even"/>
          <w:pgSz w:w="11906" w:h="16838"/>
          <w:pgMar w:top="2098" w:right="1588" w:bottom="1701" w:left="1588" w:header="851" w:footer="1418" w:gutter="0"/>
          <w:cols w:space="425" w:num="1"/>
          <w:docGrid w:type="lines" w:linePitch="312" w:charSpace="0"/>
        </w:sect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val="0"/>
        <w:autoSpaceDN w:val="0"/>
        <w:bidi w:val="0"/>
        <w:adjustRightInd w:val="0"/>
        <w:spacing w:line="540" w:lineRule="exact"/>
        <w:jc w:val="center"/>
        <w:textAlignment w:val="auto"/>
        <w:rPr>
          <w:rFonts w:hint="default" w:ascii="Times New Roman" w:hAnsi="Times New Roman" w:eastAsia="方正小标宋_GBK" w:cs="Times New Roman"/>
          <w:kern w:val="0"/>
          <w:sz w:val="32"/>
          <w:szCs w:val="32"/>
          <w:lang w:val="zh-CN"/>
        </w:rPr>
      </w:pPr>
      <w:r>
        <w:rPr>
          <w:rFonts w:hint="default" w:ascii="Times New Roman" w:hAnsi="Times New Roman" w:eastAsia="方正小标宋_GBK" w:cs="Times New Roman"/>
          <w:kern w:val="0"/>
          <w:sz w:val="44"/>
          <w:szCs w:val="44"/>
          <w:lang w:val="zh-CN"/>
        </w:rPr>
        <w:t>秦淮区2021年法治政府建设工作计划</w:t>
      </w:r>
    </w:p>
    <w:p>
      <w:pPr>
        <w:keepNext w:val="0"/>
        <w:keepLines w:val="0"/>
        <w:pageBreakBefore w:val="0"/>
        <w:widowControl w:val="0"/>
        <w:kinsoku/>
        <w:wordWrap/>
        <w:overflowPunct/>
        <w:topLinePunct w:val="0"/>
        <w:autoSpaceDE w:val="0"/>
        <w:autoSpaceDN w:val="0"/>
        <w:bidi w:val="0"/>
        <w:adjustRightInd w:val="0"/>
        <w:spacing w:line="540" w:lineRule="exact"/>
        <w:jc w:val="center"/>
        <w:textAlignment w:val="auto"/>
        <w:rPr>
          <w:rFonts w:hint="default" w:ascii="Times New Roman" w:hAnsi="Times New Roman" w:eastAsia="方正楷体_GBK" w:cs="Times New Roman"/>
          <w:kern w:val="0"/>
          <w:sz w:val="32"/>
          <w:szCs w:val="32"/>
          <w:lang w:val="zh-CN"/>
        </w:rPr>
      </w:pPr>
    </w:p>
    <w:p>
      <w:pPr>
        <w:keepNext w:val="0"/>
        <w:keepLines w:val="0"/>
        <w:pageBreakBefore w:val="0"/>
        <w:widowControl w:val="0"/>
        <w:kinsoku/>
        <w:wordWrap/>
        <w:overflowPunct/>
        <w:topLinePunct w:val="0"/>
        <w:autoSpaceDE w:val="0"/>
        <w:autoSpaceDN w:val="0"/>
        <w:bidi w:val="0"/>
        <w:adjustRightInd w:val="0"/>
        <w:spacing w:line="540" w:lineRule="exact"/>
        <w:ind w:firstLine="640"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根据《江苏省2021年法治政府建设工作计划》、《南京市2021年法治政府建设工作计划》和区委、区政府决策部署，结合全区工作实际，现就2021年全区法治政府建设工作作出如下安排。</w:t>
      </w:r>
    </w:p>
    <w:p>
      <w:pPr>
        <w:keepNext w:val="0"/>
        <w:keepLines w:val="0"/>
        <w:pageBreakBefore w:val="0"/>
        <w:widowControl w:val="0"/>
        <w:kinsoku/>
        <w:wordWrap/>
        <w:overflowPunct/>
        <w:topLinePunct w:val="0"/>
        <w:autoSpaceDE w:val="0"/>
        <w:autoSpaceDN w:val="0"/>
        <w:bidi w:val="0"/>
        <w:adjustRightInd w:val="0"/>
        <w:spacing w:line="540" w:lineRule="exact"/>
        <w:ind w:firstLine="640" w:firstLineChars="200"/>
        <w:textAlignment w:val="auto"/>
        <w:rPr>
          <w:rFonts w:hint="default" w:ascii="Times New Roman" w:hAnsi="Times New Roman" w:eastAsia="方正黑体_GBK" w:cs="Times New Roman"/>
          <w:kern w:val="0"/>
          <w:sz w:val="32"/>
          <w:szCs w:val="32"/>
          <w:lang w:val="zh-CN"/>
        </w:rPr>
      </w:pPr>
      <w:r>
        <w:rPr>
          <w:rFonts w:hint="default" w:ascii="Times New Roman" w:hAnsi="Times New Roman" w:eastAsia="方正黑体_GBK" w:cs="Times New Roman"/>
          <w:kern w:val="0"/>
          <w:sz w:val="32"/>
          <w:szCs w:val="32"/>
          <w:lang w:val="zh-CN"/>
        </w:rPr>
        <w:t>一、指导思想</w:t>
      </w:r>
    </w:p>
    <w:p>
      <w:pPr>
        <w:keepNext w:val="0"/>
        <w:keepLines w:val="0"/>
        <w:pageBreakBefore w:val="0"/>
        <w:widowControl w:val="0"/>
        <w:kinsoku/>
        <w:wordWrap/>
        <w:overflowPunct/>
        <w:topLinePunct w:val="0"/>
        <w:autoSpaceDE w:val="0"/>
        <w:autoSpaceDN w:val="0"/>
        <w:bidi w:val="0"/>
        <w:adjustRightInd w:val="0"/>
        <w:spacing w:line="540" w:lineRule="exact"/>
        <w:ind w:firstLine="640"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 xml:space="preserve">2021年全区法治政府建设工作，以习近平新时代中国特色社会主义思想为指导，全面贯彻党的十九大和十九届二中、三中、四中、五中全会以及中央全面依法治国工作会议精神，深入践行习近平法治思想，贯彻落实省委全面依法治省、市委全面依法治市工作会议精神，按照区委二届十三次全会的决策部署，聚焦“争当表率、争做示范、走在前列”使命要求，坚持系统观念、强基导向，坚持承前启后、稳中有进，切实把法治思维和法治方式贯穿到政府工作全过程，坚持在法治的轨道上推进政府治理体系和治理能力现代化，为我区“十四五”开好局起好步创造良好法治环境，为深化“强富美高”新秦淮建设提供坚实法治保障。 </w:t>
      </w:r>
    </w:p>
    <w:p>
      <w:pPr>
        <w:keepNext w:val="0"/>
        <w:keepLines w:val="0"/>
        <w:pageBreakBefore w:val="0"/>
        <w:widowControl w:val="0"/>
        <w:kinsoku/>
        <w:wordWrap/>
        <w:overflowPunct/>
        <w:topLinePunct w:val="0"/>
        <w:autoSpaceDE w:val="0"/>
        <w:autoSpaceDN w:val="0"/>
        <w:bidi w:val="0"/>
        <w:adjustRightInd w:val="0"/>
        <w:spacing w:line="540" w:lineRule="exact"/>
        <w:ind w:firstLine="640" w:firstLineChars="200"/>
        <w:textAlignment w:val="auto"/>
        <w:rPr>
          <w:rFonts w:hint="default" w:ascii="Times New Roman" w:hAnsi="Times New Roman" w:eastAsia="方正黑体_GBK" w:cs="Times New Roman"/>
          <w:kern w:val="0"/>
          <w:sz w:val="32"/>
          <w:szCs w:val="32"/>
          <w:lang w:val="zh-CN"/>
        </w:rPr>
      </w:pPr>
      <w:r>
        <w:rPr>
          <w:rFonts w:hint="default" w:ascii="Times New Roman" w:hAnsi="Times New Roman" w:eastAsia="方正黑体_GBK" w:cs="Times New Roman"/>
          <w:kern w:val="0"/>
          <w:sz w:val="32"/>
          <w:szCs w:val="32"/>
          <w:lang w:val="zh-CN"/>
        </w:rPr>
        <w:t>二、重点工作及责任分工</w:t>
      </w:r>
    </w:p>
    <w:p>
      <w:pPr>
        <w:keepNext w:val="0"/>
        <w:keepLines w:val="0"/>
        <w:pageBreakBefore w:val="0"/>
        <w:widowControl w:val="0"/>
        <w:kinsoku/>
        <w:wordWrap/>
        <w:overflowPunct/>
        <w:topLinePunct w:val="0"/>
        <w:autoSpaceDE w:val="0"/>
        <w:autoSpaceDN w:val="0"/>
        <w:bidi w:val="0"/>
        <w:adjustRightInd w:val="0"/>
        <w:spacing w:line="540" w:lineRule="exact"/>
        <w:ind w:firstLine="640" w:firstLineChars="200"/>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（一）依法全面履行政府职能</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
          <w:bCs/>
          <w:kern w:val="0"/>
          <w:sz w:val="32"/>
          <w:szCs w:val="32"/>
          <w:lang w:val="zh-CN"/>
        </w:rPr>
        <w:t>1.持续深化“放管服”改革。</w:t>
      </w:r>
      <w:r>
        <w:rPr>
          <w:rFonts w:hint="default" w:ascii="Times New Roman" w:hAnsi="Times New Roman" w:eastAsia="方正仿宋_GBK" w:cs="Times New Roman"/>
          <w:kern w:val="0"/>
          <w:sz w:val="32"/>
          <w:szCs w:val="32"/>
        </w:rPr>
        <w:t>推行政府权责清单制度，全面推行证明事项告知承诺制，制定并落实工作任务和举措，加强贯彻落实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坚持放管结合，</w:t>
      </w:r>
      <w:r>
        <w:rPr>
          <w:rFonts w:hint="default" w:ascii="Times New Roman" w:hAnsi="Times New Roman" w:eastAsia="方正仿宋_GBK" w:cs="Times New Roman"/>
          <w:sz w:val="32"/>
          <w:szCs w:val="32"/>
        </w:rPr>
        <w:t>全面提升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不见面审批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全程网办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能力，试点开展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跨省通办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。持续深化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一业一证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改革</w:t>
      </w:r>
      <w:r>
        <w:rPr>
          <w:rFonts w:hint="default" w:ascii="Times New Roman" w:hAnsi="Times New Roman" w:eastAsia="方正仿宋_GBK" w:cs="Times New Roman"/>
          <w:sz w:val="32"/>
          <w:szCs w:val="32"/>
          <w:vertAlign w:val="superscript"/>
        </w:rPr>
        <w:footnoteReference w:id="0"/>
      </w:r>
      <w:r>
        <w:rPr>
          <w:rFonts w:hint="default" w:ascii="Times New Roman" w:hAnsi="Times New Roman" w:eastAsia="方正仿宋_GBK" w:cs="Times New Roman"/>
          <w:sz w:val="32"/>
          <w:szCs w:val="32"/>
        </w:rPr>
        <w:t>，形成并上线具有秦淮特色的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一业一证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清单。深化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减证便民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行动，梳理个人全生命周期重要事项，推动信息共享，减少额外证明和重复提交材料。优化审批流程，进一步压缩投资立项、排水许可等投资建设审批时限。拓宽电子营业执照应用场景，推进跨地区、跨领域、跨层次应用。</w:t>
      </w:r>
      <w:r>
        <w:rPr>
          <w:rFonts w:hint="default" w:ascii="Times New Roman" w:hAnsi="Times New Roman" w:eastAsia="方正仿宋_GBK" w:cs="Times New Roman"/>
          <w:kern w:val="0"/>
          <w:sz w:val="32"/>
          <w:szCs w:val="32"/>
        </w:rPr>
        <w:t>完善</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12345</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平台建设及应用，深化</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先解决问题再说</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机制，探索实施</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未诉先办、接诉即办</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工作机制。</w:t>
      </w:r>
      <w:r>
        <w:rPr>
          <w:rFonts w:hint="default" w:ascii="Times New Roman" w:hAnsi="Times New Roman" w:eastAsia="方正仿宋_GBK" w:cs="Times New Roman"/>
          <w:kern w:val="0"/>
          <w:sz w:val="32"/>
          <w:szCs w:val="32"/>
          <w:lang w:val="zh-CN"/>
        </w:rPr>
        <w:t>（牵头单位：区行政审批局、区委编办、区市场监管局、区司法局、区发改委，责任单位：区政府各有关部门、街道、板块）</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cs="Times New Roman"/>
          <w:sz w:val="32"/>
          <w:szCs w:val="32"/>
          <w:lang w:val="zh-CN"/>
        </w:rPr>
      </w:pPr>
      <w:r>
        <w:rPr>
          <w:rFonts w:hint="default" w:ascii="Times New Roman" w:hAnsi="Times New Roman" w:eastAsia="方正仿宋_GBK" w:cs="Times New Roman"/>
          <w:b/>
          <w:bCs/>
          <w:kern w:val="0"/>
          <w:sz w:val="32"/>
          <w:szCs w:val="32"/>
          <w:lang w:val="zh-CN"/>
        </w:rPr>
        <w:t>2.建设营商环境最优城区。</w:t>
      </w:r>
      <w:r>
        <w:rPr>
          <w:rFonts w:hint="default" w:ascii="Times New Roman" w:hAnsi="Times New Roman" w:eastAsia="方正仿宋_GBK" w:cs="Times New Roman"/>
          <w:sz w:val="32"/>
          <w:szCs w:val="32"/>
        </w:rPr>
        <w:t>全面落实</w:t>
      </w:r>
      <w:r>
        <w:rPr>
          <w:rFonts w:hint="default" w:ascii="Times New Roman" w:hAnsi="Times New Roman" w:eastAsia="方正仿宋_GBK" w:cs="Times New Roman"/>
          <w:sz w:val="32"/>
          <w:szCs w:val="32"/>
          <w:lang w:eastAsia="zh-CN"/>
        </w:rPr>
        <w:t>《南京市</w:t>
      </w:r>
      <w:r>
        <w:rPr>
          <w:rFonts w:hint="default" w:ascii="Times New Roman" w:hAnsi="Times New Roman" w:eastAsia="方正仿宋_GBK" w:cs="Times New Roman"/>
          <w:sz w:val="32"/>
          <w:szCs w:val="32"/>
        </w:rPr>
        <w:t>优化营商环境</w:t>
      </w:r>
      <w:r>
        <w:rPr>
          <w:rFonts w:hint="default" w:ascii="Times New Roman" w:hAnsi="Times New Roman" w:eastAsia="方正仿宋_GBK" w:cs="Times New Roman"/>
          <w:sz w:val="32"/>
          <w:szCs w:val="32"/>
          <w:lang w:eastAsia="zh-CN"/>
        </w:rPr>
        <w:t>办法》</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出台我区</w:t>
      </w:r>
      <w:r>
        <w:rPr>
          <w:rFonts w:hint="default" w:ascii="Times New Roman" w:hAnsi="Times New Roman" w:eastAsia="方正仿宋_GBK" w:cs="Times New Roman"/>
          <w:sz w:val="32"/>
          <w:szCs w:val="32"/>
        </w:rPr>
        <w:t>优化提升营商环境措施</w:t>
      </w:r>
      <w:r>
        <w:rPr>
          <w:rFonts w:hint="default" w:ascii="Times New Roman" w:hAnsi="Times New Roman" w:eastAsia="方正仿宋_GBK" w:cs="Times New Roman"/>
          <w:sz w:val="32"/>
          <w:szCs w:val="32"/>
          <w:lang w:eastAsia="zh-CN"/>
        </w:rPr>
        <w:t>并加强贯彻落实</w:t>
      </w:r>
      <w:r>
        <w:rPr>
          <w:rFonts w:hint="default" w:ascii="Times New Roman" w:hAnsi="Times New Roman" w:eastAsia="方正仿宋_GBK" w:cs="Times New Roman"/>
          <w:sz w:val="32"/>
          <w:szCs w:val="32"/>
        </w:rPr>
        <w:t>。加强对优化营商环境法律法规、政策措施和成果的宣传解读，营造优化营商环境良好氛围。坚定不移支持民营经济发展，畅通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企业家早餐会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等政企沟通机制。优化企业服务专区，实现企业登记注册和涉企经营许可等事项关联整合，拓展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一件事一次办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应用场景，推动更多事项集成办理。升级优化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一企来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企业服务热线，开辟政策信息公开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新通道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lang w:val="zh-CN"/>
        </w:rPr>
        <w:t>（牵头单位：区发改委、区司法局、区行政审批局，责任单位：区政府各有关部门、街道、板块）</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cs="Times New Roman"/>
          <w:sz w:val="32"/>
          <w:szCs w:val="32"/>
          <w:lang w:val="zh-CN"/>
        </w:rPr>
      </w:pPr>
      <w:r>
        <w:rPr>
          <w:rFonts w:hint="default" w:ascii="Times New Roman" w:hAnsi="Times New Roman" w:eastAsia="方正仿宋_GBK" w:cs="Times New Roman"/>
          <w:b/>
          <w:bCs/>
          <w:kern w:val="0"/>
          <w:sz w:val="32"/>
          <w:szCs w:val="32"/>
          <w:lang w:val="zh-CN"/>
        </w:rPr>
        <w:t>3.加强重点领域监管治理。</w:t>
      </w:r>
      <w:r>
        <w:rPr>
          <w:rFonts w:hint="default" w:ascii="Times New Roman" w:hAnsi="Times New Roman" w:eastAsia="方正仿宋_GBK" w:cs="Times New Roman"/>
          <w:kern w:val="0"/>
          <w:sz w:val="32"/>
          <w:szCs w:val="32"/>
          <w:lang w:val="zh-CN"/>
        </w:rPr>
        <w:t>加快实现市场监管日常检查“双随机”方式全覆盖，对食品药品、公共卫生、生态环境、安全生产、劳动保障、野生动物保护等直接涉及公共安全和人民群众生命健康的特殊行业、重点领域，依法开展全覆盖重点监管。</w:t>
      </w:r>
      <w:r>
        <w:rPr>
          <w:rFonts w:hint="default" w:ascii="Times New Roman" w:hAnsi="Times New Roman" w:eastAsia="方正仿宋_GBK" w:cs="Times New Roman"/>
          <w:sz w:val="32"/>
          <w:szCs w:val="32"/>
        </w:rPr>
        <w:t>强化疫苗生产、流通、使用全过程管理。</w:t>
      </w:r>
      <w:r>
        <w:rPr>
          <w:rFonts w:hint="default" w:ascii="Times New Roman" w:hAnsi="Times New Roman" w:eastAsia="方正仿宋_GBK" w:cs="Times New Roman"/>
          <w:kern w:val="0"/>
          <w:sz w:val="32"/>
          <w:szCs w:val="32"/>
          <w:lang w:val="zh-CN"/>
        </w:rPr>
        <w:t>对通过投诉举报、转办交办、数据监测等发现的问题，应当有针对性地进行检查并依法处理。积极推进群租房整治，强化物业行业监管，加强对单用途商业预付卡和校外培训机构的日常监管。（牵头单位：区市场监管局、区卫健委、区应急管理局、区人社局、区房产局、区商务局、区教育局，责任单位：区政府各有关部门、街道、板块）</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cs="Times New Roman"/>
          <w:sz w:val="32"/>
          <w:szCs w:val="32"/>
          <w:lang w:val="zh-CN"/>
        </w:rPr>
      </w:pPr>
      <w:r>
        <w:rPr>
          <w:rFonts w:hint="default" w:ascii="Times New Roman" w:hAnsi="Times New Roman" w:eastAsia="方正仿宋_GBK" w:cs="Times New Roman"/>
          <w:b/>
          <w:bCs/>
          <w:kern w:val="0"/>
          <w:sz w:val="32"/>
          <w:szCs w:val="32"/>
          <w:lang w:val="zh-CN"/>
        </w:rPr>
        <w:t>4.推进社会信用体系建设。</w:t>
      </w:r>
      <w:r>
        <w:rPr>
          <w:rFonts w:hint="default" w:ascii="Times New Roman" w:hAnsi="Times New Roman" w:eastAsia="方正仿宋_GBK" w:cs="Times New Roman"/>
          <w:kern w:val="0"/>
          <w:sz w:val="32"/>
          <w:szCs w:val="32"/>
          <w:lang w:val="zh-CN"/>
        </w:rPr>
        <w:t>贯彻落实《南京市社会信用条例》，出台公共信用信息目录清单、社会信用联合奖惩清单、社会信用惩戒豁免行为清单等配套制度。加强对市场主体全生命周期信用监管，建立市场主体信用记录、实施信用承诺、信用信息公示和信用评价制度。建立跨地区、跨行业、跨领域的社会信用联合奖惩机制。组织开展诚信万里行等大型宣传活动，推出一批诚信人物、诚信企业、诚信市场、诚信网店、诚信行业。（牵头单位：区发改委、区委宣传部，责任单位：区政府各有关部门、街道、板块）</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cs="Times New Roman"/>
          <w:sz w:val="32"/>
          <w:szCs w:val="32"/>
          <w:lang w:val="zh-CN"/>
        </w:rPr>
      </w:pPr>
      <w:r>
        <w:rPr>
          <w:rFonts w:hint="default" w:ascii="Times New Roman" w:hAnsi="Times New Roman" w:eastAsia="方正仿宋_GBK" w:cs="Times New Roman"/>
          <w:b/>
          <w:bCs/>
          <w:kern w:val="0"/>
          <w:sz w:val="32"/>
          <w:szCs w:val="32"/>
          <w:lang w:val="zh-CN"/>
        </w:rPr>
        <w:t>5.依法毫不松懈做好常态化疫情防控。</w:t>
      </w:r>
      <w:r>
        <w:rPr>
          <w:rFonts w:hint="default" w:ascii="Times New Roman" w:hAnsi="Times New Roman" w:eastAsia="方正仿宋_GBK" w:cs="Times New Roman"/>
          <w:kern w:val="0"/>
          <w:sz w:val="32"/>
          <w:szCs w:val="32"/>
          <w:lang w:val="zh-CN"/>
        </w:rPr>
        <w:t>建立健全传染病防治的疾病预防控制、医疗救治和监督管理体系。出台相关规定，完善重大疫情防控体制机制，健全公共卫生应急管理体系，强化疫苗生产、流通、使用全过程管理。</w:t>
      </w:r>
      <w:r>
        <w:rPr>
          <w:rFonts w:hint="default" w:ascii="Times New Roman" w:hAnsi="Times New Roman" w:eastAsia="方正仿宋_GBK" w:cs="Times New Roman"/>
          <w:sz w:val="32"/>
          <w:szCs w:val="32"/>
        </w:rPr>
        <w:t>强化医疗卫生工作人员传染病知识和</w:t>
      </w:r>
      <w:r>
        <w:rPr>
          <w:rFonts w:hint="default" w:ascii="Times New Roman" w:hAnsi="Times New Roman" w:eastAsia="方正仿宋_GBK" w:cs="Times New Roman"/>
          <w:sz w:val="32"/>
          <w:szCs w:val="32"/>
          <w:lang w:eastAsia="zh-CN"/>
        </w:rPr>
        <w:t>技能</w:t>
      </w:r>
      <w:r>
        <w:rPr>
          <w:rFonts w:hint="default" w:ascii="Times New Roman" w:hAnsi="Times New Roman" w:eastAsia="方正仿宋_GBK" w:cs="Times New Roman"/>
          <w:sz w:val="32"/>
          <w:szCs w:val="32"/>
        </w:rPr>
        <w:t>培训，加强11类重点人群摸排，做好农贸市场等重点行业疫情防控工作。合理调配医疗卫生资源，扎实推进新冠疫苗接种。深入开展爱国卫生运动，引导市民养成文明健康生活方式。</w:t>
      </w:r>
      <w:r>
        <w:rPr>
          <w:rFonts w:hint="default" w:ascii="Times New Roman" w:hAnsi="Times New Roman" w:eastAsia="方正仿宋_GBK" w:cs="Times New Roman"/>
          <w:kern w:val="0"/>
          <w:sz w:val="32"/>
          <w:szCs w:val="32"/>
          <w:lang w:val="zh-CN"/>
        </w:rPr>
        <w:t>（牵头单位：区卫健委，责任单位：区发改委、区市场监管局、公安分局、区民政局，区政府各有关部门、街道、板块）</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
          <w:bCs/>
          <w:kern w:val="0"/>
          <w:sz w:val="32"/>
          <w:szCs w:val="32"/>
          <w:lang w:val="zh-CN"/>
        </w:rPr>
        <w:t>6.强化突发事件依法分级分类施策。</w:t>
      </w:r>
      <w:r>
        <w:rPr>
          <w:rFonts w:hint="default" w:ascii="Times New Roman" w:hAnsi="Times New Roman" w:eastAsia="方正仿宋_GBK" w:cs="Times New Roman"/>
          <w:kern w:val="0"/>
          <w:sz w:val="32"/>
          <w:szCs w:val="32"/>
          <w:lang w:val="zh-CN"/>
        </w:rPr>
        <w:t>推进突发事件行政手段应用的制度化、规范化，规范行政权力边界。进一步强化自然灾害、安全生产事故、公共卫生事件等相关应急管理体系，完善应急响应制度，加强突发事件信息公开。加强突发事件应急处置法律法规培训，增强应急处置法治意识。</w:t>
      </w:r>
      <w:r>
        <w:rPr>
          <w:rFonts w:hint="default" w:ascii="Times New Roman" w:hAnsi="Times New Roman" w:eastAsia="方正仿宋_GBK" w:cs="Times New Roman"/>
          <w:sz w:val="32"/>
          <w:szCs w:val="32"/>
        </w:rPr>
        <w:t>加强应急物资和生产能力储备，进一步提升抵御重大疫情风险的能力。</w:t>
      </w:r>
      <w:r>
        <w:rPr>
          <w:rFonts w:hint="default" w:ascii="Times New Roman" w:hAnsi="Times New Roman" w:eastAsia="方正仿宋_GBK" w:cs="Times New Roman"/>
          <w:kern w:val="0"/>
          <w:sz w:val="32"/>
          <w:szCs w:val="32"/>
          <w:lang w:val="zh-CN"/>
        </w:rPr>
        <w:t>（牵头单位：区应急管理局、区卫健委，责任单位：区政府各有关部门、街道、板块）</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b/>
          <w:bCs/>
          <w:kern w:val="0"/>
          <w:sz w:val="32"/>
          <w:szCs w:val="32"/>
          <w:lang w:val="zh-CN"/>
        </w:rPr>
        <w:t>7.深入推进平安秦淮建设。</w:t>
      </w:r>
      <w:r>
        <w:rPr>
          <w:rFonts w:hint="default" w:ascii="Times New Roman" w:hAnsi="Times New Roman" w:eastAsia="方正仿宋_GBK" w:cs="Times New Roman"/>
          <w:kern w:val="0"/>
          <w:sz w:val="32"/>
          <w:szCs w:val="32"/>
          <w:lang w:val="zh-CN"/>
        </w:rPr>
        <w:t>加强社会治安立体化防控，</w:t>
      </w:r>
      <w:r>
        <w:rPr>
          <w:rFonts w:hint="default" w:ascii="Times New Roman" w:hAnsi="Times New Roman" w:eastAsia="方正仿宋_GBK" w:cs="Times New Roman"/>
          <w:spacing w:val="-4"/>
          <w:sz w:val="32"/>
          <w:szCs w:val="32"/>
        </w:rPr>
        <w:t>持续推进社会治安综合治理</w:t>
      </w:r>
      <w:r>
        <w:rPr>
          <w:rFonts w:hint="default" w:ascii="Times New Roman" w:hAnsi="Times New Roman" w:eastAsia="方正仿宋_GBK" w:cs="Times New Roman"/>
          <w:kern w:val="0"/>
          <w:sz w:val="32"/>
          <w:szCs w:val="32"/>
          <w:lang w:val="zh-CN"/>
        </w:rPr>
        <w:t>，推进扫黑除恶常态化机制化，</w:t>
      </w:r>
      <w:r>
        <w:rPr>
          <w:rFonts w:hint="default" w:ascii="Times New Roman" w:hAnsi="Times New Roman" w:eastAsia="方正仿宋_GBK" w:cs="Times New Roman"/>
          <w:sz w:val="32"/>
          <w:szCs w:val="32"/>
        </w:rPr>
        <w:t>坚决防范和打击通讯网络诈骗、侵犯知识产权等违法犯罪行为。持续整治危化品、大型综合体、道路运输、建筑施工、消防等领域安全隐患，坚决防范遏制重特大生产安全事故。</w:t>
      </w:r>
      <w:r>
        <w:rPr>
          <w:rFonts w:hint="default" w:ascii="Times New Roman" w:hAnsi="Times New Roman" w:eastAsia="方正仿宋_GBK" w:cs="Times New Roman"/>
          <w:spacing w:val="-4"/>
          <w:sz w:val="32"/>
          <w:szCs w:val="32"/>
        </w:rPr>
        <w:t>加强隐患排查，开展危房险房、装修拆改、建筑工地、餐饮燃气、电动车、群租房等系列安全专项检查。</w:t>
      </w:r>
      <w:r>
        <w:rPr>
          <w:rFonts w:hint="default" w:ascii="Times New Roman" w:hAnsi="Times New Roman" w:eastAsia="方正仿宋_GBK" w:cs="Times New Roman"/>
          <w:kern w:val="0"/>
          <w:sz w:val="32"/>
          <w:szCs w:val="32"/>
          <w:lang w:val="zh-CN"/>
        </w:rPr>
        <w:t>实施环境网格化监管，全面落实生态环境保护要求，大力实施生态文明建设工程。（牵头单位：公安分局、区应急管理局、区建设局、区房产局，责任单位：区政府各有关部门、街道、板块）</w:t>
      </w:r>
    </w:p>
    <w:p>
      <w:pPr>
        <w:keepNext w:val="0"/>
        <w:keepLines w:val="0"/>
        <w:pageBreakBefore w:val="0"/>
        <w:widowControl w:val="0"/>
        <w:kinsoku/>
        <w:wordWrap/>
        <w:overflowPunct/>
        <w:topLinePunct w:val="0"/>
        <w:autoSpaceDE w:val="0"/>
        <w:autoSpaceDN w:val="0"/>
        <w:bidi w:val="0"/>
        <w:adjustRightInd w:val="0"/>
        <w:spacing w:line="540" w:lineRule="exact"/>
        <w:ind w:firstLine="640" w:firstLineChars="200"/>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lang w:val="zh-CN"/>
        </w:rPr>
        <w:t>二</w:t>
      </w:r>
      <w:r>
        <w:rPr>
          <w:rFonts w:hint="default" w:ascii="Times New Roman" w:hAnsi="Times New Roman" w:eastAsia="方正楷体_GBK" w:cs="Times New Roman"/>
          <w:kern w:val="0"/>
          <w:sz w:val="32"/>
          <w:szCs w:val="32"/>
        </w:rPr>
        <w:t>）</w:t>
      </w:r>
      <w:r>
        <w:rPr>
          <w:rFonts w:hint="default" w:ascii="Times New Roman" w:hAnsi="Times New Roman" w:eastAsia="方正楷体_GBK" w:cs="Times New Roman"/>
          <w:kern w:val="0"/>
          <w:sz w:val="32"/>
          <w:szCs w:val="32"/>
          <w:lang w:val="zh-CN"/>
        </w:rPr>
        <w:t>完善依法行政制度体系</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
          <w:bCs/>
          <w:kern w:val="0"/>
          <w:sz w:val="32"/>
          <w:szCs w:val="32"/>
          <w:lang w:val="zh-CN"/>
        </w:rPr>
        <w:t>8.积极参与立法制规。</w:t>
      </w:r>
      <w:r>
        <w:rPr>
          <w:rFonts w:hint="default" w:ascii="Times New Roman" w:hAnsi="Times New Roman" w:eastAsia="方正仿宋_GBK" w:cs="Times New Roman"/>
          <w:sz w:val="32"/>
          <w:szCs w:val="32"/>
        </w:rPr>
        <w:t>协助做好市级立法基层联系点、法规草案征求意见的组织协调、沟通联系、调研反馈等工作。重点围绕行政执法改革、创新社会治理、老城更新改造、环境资源保护、历史文化传承等工作，积极调动各方力量为立法工作建言献策。执法一线充分发挥主观能动，积极梳理立法空白和立法需求，及时提出立法建议。全面推进立法民意征集区规范化建设，扩大立法公众参与覆盖面，为立法制规贡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秦淮智慧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lang w:val="zh-CN"/>
        </w:rPr>
        <w:t>（牵头单位：区司法局，责任单位：区政府各有关部门、街道、板块）</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lang w:val="zh-CN"/>
        </w:rPr>
        <w:t>9.加强规范性文件管理。</w:t>
      </w:r>
      <w:r>
        <w:rPr>
          <w:rFonts w:hint="default" w:ascii="Times New Roman" w:hAnsi="Times New Roman" w:eastAsia="方正仿宋_GBK" w:cs="Times New Roman"/>
          <w:kern w:val="0"/>
          <w:sz w:val="32"/>
          <w:szCs w:val="32"/>
        </w:rPr>
        <w:t>结合我区经济社会发展特点，制定2021年度规范性文件制定计划并加强落实，打造文件规定</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秦淮样本</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。严格落实规范性文件制定程序规定，</w:t>
      </w:r>
      <w:r>
        <w:rPr>
          <w:rFonts w:hint="default" w:ascii="Times New Roman" w:hAnsi="Times New Roman" w:eastAsia="方正仿宋_GBK" w:cs="Times New Roman"/>
          <w:sz w:val="32"/>
          <w:szCs w:val="32"/>
        </w:rPr>
        <w:t>依法依规制定规范性文件</w:t>
      </w:r>
      <w:r>
        <w:rPr>
          <w:rFonts w:hint="default" w:ascii="Times New Roman" w:hAnsi="Times New Roman" w:eastAsia="方正仿宋_GBK" w:cs="Times New Roman"/>
          <w:sz w:val="32"/>
          <w:szCs w:val="32"/>
          <w:lang w:val="zh-CN"/>
        </w:rPr>
        <w:t>。</w:t>
      </w:r>
      <w:r>
        <w:rPr>
          <w:rFonts w:hint="default" w:ascii="Times New Roman" w:hAnsi="Times New Roman" w:eastAsia="方正仿宋_GBK" w:cs="Times New Roman"/>
          <w:kern w:val="0"/>
          <w:sz w:val="32"/>
          <w:szCs w:val="32"/>
        </w:rPr>
        <w:t>严把文件合法关，</w:t>
      </w:r>
      <w:r>
        <w:rPr>
          <w:rFonts w:hint="default" w:ascii="Times New Roman" w:hAnsi="Times New Roman" w:eastAsia="方正仿宋_GBK" w:cs="Times New Roman"/>
          <w:sz w:val="32"/>
          <w:szCs w:val="32"/>
        </w:rPr>
        <w:t>充分利用社会力量，提升审查质效。</w:t>
      </w:r>
      <w:r>
        <w:rPr>
          <w:rFonts w:hint="default" w:ascii="Times New Roman" w:hAnsi="Times New Roman" w:eastAsia="方正仿宋_GBK" w:cs="Times New Roman"/>
          <w:kern w:val="0"/>
          <w:sz w:val="32"/>
          <w:szCs w:val="32"/>
        </w:rPr>
        <w:t>规范性文件未经合法性审查或合法性审查不过关的，不得提交区政府集体审议。规范文件发布程序，文件签署后依法及时予以公布。加强规范性文件后评估工作，增强文件施行的科学性和有效性。</w:t>
      </w:r>
      <w:r>
        <w:rPr>
          <w:rFonts w:hint="default" w:ascii="Times New Roman" w:hAnsi="Times New Roman" w:eastAsia="方正仿宋_GBK" w:cs="Times New Roman"/>
          <w:sz w:val="32"/>
          <w:szCs w:val="32"/>
        </w:rPr>
        <w:t>加强规范性文件动态管理，健全清理工作机制，推行文件制定、实施全程评估，将规范性文件制定、评估和清理工作纳入依法行政考核。</w:t>
      </w:r>
      <w:r>
        <w:rPr>
          <w:rFonts w:hint="default" w:ascii="Times New Roman" w:hAnsi="Times New Roman" w:eastAsia="方正仿宋_GBK" w:cs="Times New Roman"/>
          <w:kern w:val="0"/>
          <w:sz w:val="32"/>
          <w:szCs w:val="32"/>
        </w:rPr>
        <w:t>（牵头单位：区政府办、区司法局、规范性文件起草单位，</w:t>
      </w:r>
      <w:r>
        <w:rPr>
          <w:rFonts w:hint="default" w:ascii="Times New Roman" w:hAnsi="Times New Roman" w:eastAsia="方正仿宋_GBK" w:cs="Times New Roman"/>
          <w:kern w:val="0"/>
          <w:sz w:val="32"/>
          <w:szCs w:val="32"/>
          <w:lang w:val="zh-CN"/>
        </w:rPr>
        <w:t>责任单位：区政府各有关部门、街道、板块</w:t>
      </w:r>
      <w:r>
        <w:rPr>
          <w:rFonts w:hint="default"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
          <w:bCs/>
          <w:kern w:val="0"/>
          <w:sz w:val="32"/>
          <w:szCs w:val="32"/>
          <w:lang w:val="zh-CN"/>
        </w:rPr>
        <w:t>10.加强文件制定协调工作。</w:t>
      </w:r>
      <w:r>
        <w:rPr>
          <w:rFonts w:hint="default" w:ascii="Times New Roman" w:hAnsi="Times New Roman" w:eastAsia="方正仿宋_GBK" w:cs="Times New Roman"/>
          <w:kern w:val="0"/>
          <w:sz w:val="32"/>
          <w:szCs w:val="32"/>
        </w:rPr>
        <w:t>规范性文件制定过程中，按照国家和省市有关规定开展公平竞争审查。对与企业生产经营密切相关的项目，充分听取有关企业和行业协会商会意见。对文件涉及的重大利益调整事项加强论证咨询，推进对争议较大的重要文件起草事项引入第三方评估工作。充分尊重经协调一致的意见，维护文件审查协调工作的严肃性。规范文件备案审查工作，做到有件必备、应审必审。加强与市司法局、区人大等备案工作机构</w:t>
      </w:r>
      <w:r>
        <w:rPr>
          <w:rFonts w:hint="default" w:ascii="Times New Roman" w:hAnsi="Times New Roman" w:eastAsia="方正仿宋_GBK" w:cs="Times New Roman"/>
          <w:sz w:val="32"/>
          <w:szCs w:val="32"/>
        </w:rPr>
        <w:t>的协作配合，完善备案审查衔接联动机制。</w:t>
      </w:r>
      <w:r>
        <w:rPr>
          <w:rFonts w:hint="default" w:ascii="Times New Roman" w:hAnsi="Times New Roman" w:eastAsia="方正仿宋_GBK" w:cs="Times New Roman"/>
          <w:kern w:val="0"/>
          <w:sz w:val="32"/>
          <w:szCs w:val="32"/>
          <w:lang w:val="zh-CN"/>
        </w:rPr>
        <w:t>（牵头单位：区司法局、规范性文件起草单位，责任单位：区政府各有关部门、街道、板块</w:t>
      </w:r>
      <w:r>
        <w:rPr>
          <w:rFonts w:hint="default"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
          <w:bCs/>
          <w:kern w:val="0"/>
          <w:sz w:val="32"/>
          <w:szCs w:val="32"/>
          <w:lang w:val="zh-CN"/>
        </w:rPr>
        <w:t>11.拓展意见征集渠道。</w:t>
      </w:r>
      <w:r>
        <w:rPr>
          <w:rFonts w:hint="default" w:ascii="Times New Roman" w:hAnsi="Times New Roman" w:eastAsia="方正仿宋_GBK" w:cs="Times New Roman"/>
          <w:kern w:val="0"/>
          <w:sz w:val="32"/>
          <w:szCs w:val="32"/>
          <w:lang w:val="zh-CN"/>
        </w:rPr>
        <w:t>完善政府法律顾问和公职律师制度，充分发挥政府法律顾问、公职律师的论证、咨询等专业作用，在风险论证、文</w:t>
      </w:r>
      <w:r>
        <w:rPr>
          <w:rFonts w:hint="default" w:ascii="Times New Roman" w:hAnsi="Times New Roman" w:eastAsia="方正仿宋_GBK" w:cs="Times New Roman"/>
          <w:kern w:val="0"/>
          <w:sz w:val="32"/>
          <w:szCs w:val="32"/>
        </w:rPr>
        <w:t>件制定、法律把关等方面拓展政府法律顾问、公职律师有效参与的途径和形式。</w:t>
      </w:r>
      <w:r>
        <w:rPr>
          <w:rFonts w:hint="default" w:ascii="Times New Roman" w:hAnsi="Times New Roman" w:eastAsia="方正仿宋_GBK" w:cs="Times New Roman"/>
          <w:kern w:val="0"/>
          <w:sz w:val="32"/>
          <w:szCs w:val="32"/>
          <w:lang w:val="zh-CN"/>
        </w:rPr>
        <w:t>拓宽公众参与渠道，坚持开门制规，在制定与公众重大利益、企业生产经营活动密切相关的政策文件时，要注重听取相关利益群体的意见，确保文件制定科学、民主。加强意见采纳情况反馈工作，提升公众参与的获得感和积极性。（牵头单位：规范性文件起草单位，责任单位：区政府各有关部门、街道、板块</w:t>
      </w:r>
      <w:r>
        <w:rPr>
          <w:rFonts w:hint="default"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autoSpaceDE w:val="0"/>
        <w:autoSpaceDN w:val="0"/>
        <w:bidi w:val="0"/>
        <w:adjustRightInd w:val="0"/>
        <w:spacing w:line="540" w:lineRule="exact"/>
        <w:ind w:firstLine="640" w:firstLineChars="200"/>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（三）推进依法科学民主决策</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
          <w:bCs/>
          <w:kern w:val="0"/>
          <w:sz w:val="32"/>
          <w:szCs w:val="32"/>
          <w:lang w:val="zh-CN"/>
        </w:rPr>
        <w:t>12.加强重大行政决策管理。</w:t>
      </w:r>
      <w:r>
        <w:rPr>
          <w:rFonts w:hint="default" w:ascii="Times New Roman" w:hAnsi="Times New Roman" w:eastAsia="方正仿宋_GBK" w:cs="Times New Roman"/>
          <w:kern w:val="0"/>
          <w:sz w:val="32"/>
          <w:szCs w:val="32"/>
          <w:lang w:val="zh-CN"/>
        </w:rPr>
        <w:t>贯彻落实国家、省、市重大行政决策程序制度规范，强化重大行政决策目录管理，制定年度重大行政决策目录并向社会公开，促进决策程序启动和运行规范化。坚持专家论证和研究咨询机构评估前置程序，在重大决策出台前进行必要性、可行性论证。重大行政决策经区政府常务会议或全体会议讨论后，出台前按规定向同级党委请示报告，并及时通过法定途径予以公布。落实重大行政决策跟踪反馈和评估制度。重大行政决策情况作为年度考核评价决策机关及其领导人员的重要内容。（牵头单位：区政府办、区司法局、重大行政决策承办单位，责任单位：区政府各有关部门、街道、板块）</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
          <w:bCs/>
          <w:kern w:val="0"/>
          <w:sz w:val="32"/>
          <w:szCs w:val="32"/>
          <w:lang w:val="zh-CN"/>
        </w:rPr>
        <w:t>13.强化重大行政决策公众参与。</w:t>
      </w:r>
      <w:r>
        <w:rPr>
          <w:rFonts w:hint="default" w:ascii="Times New Roman" w:hAnsi="Times New Roman" w:eastAsia="方正仿宋_GBK" w:cs="Times New Roman"/>
          <w:kern w:val="0"/>
          <w:sz w:val="32"/>
          <w:szCs w:val="32"/>
          <w:lang w:val="zh-CN"/>
        </w:rPr>
        <w:t>重大行政决策事项依法采取便于社会公众参与的方式充分听取意见，向社会公开征求意见不少于30日。决策事项涉及特定群体利益的，应充分听取相关人民团体、社会组织以及群众代表的意见建议。决策事项直接涉及公民、法人、其他组织切身利益或存在较大分歧的，依法召开听证会。（牵头单位：区政府办、重大行政决策承办单位，责任单位：区政府各有关部门、街道、板块）</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
          <w:bCs/>
          <w:kern w:val="0"/>
          <w:sz w:val="32"/>
          <w:szCs w:val="32"/>
          <w:lang w:val="zh-CN"/>
        </w:rPr>
        <w:t>14.推动政府依法审慎决策。</w:t>
      </w:r>
      <w:r>
        <w:rPr>
          <w:rFonts w:hint="default" w:ascii="Times New Roman" w:hAnsi="Times New Roman" w:eastAsia="方正仿宋_GBK" w:cs="Times New Roman"/>
          <w:kern w:val="0"/>
          <w:sz w:val="32"/>
          <w:szCs w:val="32"/>
          <w:lang w:val="zh-CN"/>
        </w:rPr>
        <w:t>加强重大行政决策合法性审查，决策承办单位要充分发挥法律顾问、法制员把关作用，加强前置审查。决策草案未经合法性审查或经审查不合法的，不得提交区政府集体审议。不得以征求意见等方式代替合法性审查。对专业性、技术性较强的决策事项，决策承办单位应组织专家、专业机构开展论证。整合各类专家库，健全专家诚信考核和退出机制。进一步完善政府法律顾问和公职律师制度，积极推动法律顾问参与政府决策。（牵头单位：区政府办、区司法局、重大行政决策承办单位，责任单位：区政府各有关部门、街道、板块）</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lang w:val="zh-CN"/>
        </w:rPr>
        <w:t>15.依法全面、及时、正确执行重大行政决策。</w:t>
      </w:r>
      <w:r>
        <w:rPr>
          <w:rFonts w:hint="default" w:ascii="Times New Roman" w:hAnsi="Times New Roman" w:eastAsia="方正仿宋_GBK" w:cs="Times New Roman"/>
          <w:kern w:val="0"/>
          <w:sz w:val="32"/>
          <w:szCs w:val="32"/>
        </w:rPr>
        <w:t>重大行政决策一经作出，未经法定程序不得随意变更或者停止执行。落实重大行政决策跟踪反馈和评估制度，重大行政决策执行情况作为年度考核评价决策承办机关及其领导人员的重要内容。（牵头单位：区政府办、重大行政决策承办单位，</w:t>
      </w:r>
      <w:r>
        <w:rPr>
          <w:rFonts w:hint="default" w:ascii="Times New Roman" w:hAnsi="Times New Roman" w:eastAsia="方正仿宋_GBK" w:cs="Times New Roman"/>
          <w:kern w:val="0"/>
          <w:sz w:val="32"/>
          <w:szCs w:val="32"/>
          <w:lang w:val="zh-CN"/>
        </w:rPr>
        <w:t>责任单位：区政府各有关部门、街道、板块</w:t>
      </w:r>
      <w:r>
        <w:rPr>
          <w:rFonts w:hint="default"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autoSpaceDE w:val="0"/>
        <w:autoSpaceDN w:val="0"/>
        <w:bidi w:val="0"/>
        <w:adjustRightInd w:val="0"/>
        <w:spacing w:line="540" w:lineRule="exact"/>
        <w:ind w:firstLine="640" w:firstLineChars="200"/>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（四）严格规范公正文明执法</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
          <w:bCs/>
          <w:kern w:val="0"/>
          <w:sz w:val="32"/>
          <w:szCs w:val="32"/>
          <w:lang w:val="zh-CN"/>
        </w:rPr>
        <w:t>16.深化综合行政执法体制改革。</w:t>
      </w:r>
      <w:r>
        <w:rPr>
          <w:rFonts w:hint="default" w:ascii="Times New Roman" w:hAnsi="Times New Roman" w:eastAsia="方正仿宋_GBK" w:cs="Times New Roman"/>
          <w:sz w:val="32"/>
          <w:szCs w:val="32"/>
        </w:rPr>
        <w:t>常态化运行综合行政执法体制，持续提升综合行政执法改革成效。按照《秦淮区街道综合行政执法局规范建设标准》，推进街道综合行政执法局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一厅九室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vertAlign w:val="superscript"/>
        </w:rPr>
        <w:footnoteReference w:id="1"/>
      </w:r>
      <w:r>
        <w:rPr>
          <w:rFonts w:hint="default" w:ascii="Times New Roman" w:hAnsi="Times New Roman" w:eastAsia="方正仿宋_GBK" w:cs="Times New Roman"/>
          <w:sz w:val="32"/>
          <w:szCs w:val="32"/>
        </w:rPr>
        <w:t>办案场所建设。探索全科执法，深入开展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一次上门，全面服务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立健全综合执法主管部门、相关行业管理部门、综合执法队伍协调配合、信息共享机制。分层分类加强培训工作，开展执法现场观摩教学，编制高频执法事项指导目录。落实街道综合执法局局长月例会和月度执法情况通报制度。常态开展综合行政执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十佳案例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十佳办案能手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评选，总结提炼经验做法，加快形成全省综合行政执法改革秦淮示范样本。</w:t>
      </w:r>
      <w:r>
        <w:rPr>
          <w:rFonts w:hint="default" w:ascii="Times New Roman" w:hAnsi="Times New Roman" w:eastAsia="方正仿宋_GBK" w:cs="Times New Roman"/>
          <w:kern w:val="0"/>
          <w:sz w:val="32"/>
          <w:szCs w:val="32"/>
          <w:lang w:val="zh-CN"/>
        </w:rPr>
        <w:t>（牵头单位：区委编办、区司法局，责任单位：区政府各有关部门、街道、板块）</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
          <w:bCs/>
          <w:kern w:val="0"/>
          <w:sz w:val="32"/>
          <w:szCs w:val="32"/>
          <w:lang w:val="zh-CN"/>
        </w:rPr>
        <w:t>17.加强执法规范化建设。</w:t>
      </w:r>
      <w:r>
        <w:rPr>
          <w:rFonts w:hint="default" w:ascii="Times New Roman" w:hAnsi="Times New Roman" w:eastAsia="方正仿宋_GBK" w:cs="Times New Roman"/>
          <w:sz w:val="32"/>
          <w:szCs w:val="32"/>
        </w:rPr>
        <w:t>贯彻落实《行政处罚法》，深入推进行政执法规范化建设。</w:t>
      </w:r>
      <w:r>
        <w:rPr>
          <w:rFonts w:hint="default" w:ascii="Times New Roman" w:hAnsi="Times New Roman" w:eastAsia="方正仿宋_GBK" w:cs="Times New Roman"/>
          <w:kern w:val="0"/>
          <w:sz w:val="32"/>
          <w:szCs w:val="32"/>
          <w:lang w:val="zh-CN"/>
        </w:rPr>
        <w:t>巩固行政执法“三项制度”既有成果，全面推行行政执法公示、执法全过程记录、重大执法决定法制审核制度。</w:t>
      </w:r>
      <w:r>
        <w:rPr>
          <w:rFonts w:hint="default" w:ascii="Times New Roman" w:hAnsi="Times New Roman" w:eastAsia="方正仿宋_GBK" w:cs="Times New Roman"/>
          <w:sz w:val="32"/>
          <w:szCs w:val="32"/>
        </w:rPr>
        <w:t>加快推进综合执法信息化建设，搭建行政执法综合管理监督平台，实现执法数据实时归集、执法监督实时开展、案卷抽查线上开展。完善行政执法协调监督工作体系，强化对街道综合执法监督。完善相关制度机制，加强行政执法违法行为投诉举报处理工作。</w:t>
      </w:r>
      <w:r>
        <w:rPr>
          <w:rFonts w:hint="default" w:ascii="Times New Roman" w:hAnsi="Times New Roman" w:eastAsia="方正仿宋_GBK" w:cs="Times New Roman"/>
          <w:kern w:val="0"/>
          <w:sz w:val="32"/>
          <w:szCs w:val="32"/>
          <w:lang w:val="zh-CN"/>
        </w:rPr>
        <w:t>（牵头单位：区司法局，责任单位：区政府各有关部门、街道、板块）</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
          <w:bCs/>
          <w:kern w:val="0"/>
          <w:sz w:val="32"/>
          <w:szCs w:val="32"/>
          <w:lang w:val="zh-CN"/>
        </w:rPr>
        <w:t>18.因地制宜科学监督。</w:t>
      </w:r>
      <w:r>
        <w:rPr>
          <w:rFonts w:hint="default" w:ascii="Times New Roman" w:hAnsi="Times New Roman" w:eastAsia="方正仿宋_GBK" w:cs="Times New Roman"/>
          <w:kern w:val="0"/>
          <w:sz w:val="32"/>
          <w:szCs w:val="32"/>
          <w:lang w:val="zh-CN"/>
        </w:rPr>
        <w:t>重点围绕食药品安全、生态环境、出租房屋管理、物业管理、校外培训机构安全管理等领域，加强跟踪监督。推行说理执法等柔性执法方式，广泛运用说服教育、劝导示范、行政指导、行政奖励等非强制性执法手段，提升执法效果</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zh-CN"/>
        </w:rPr>
        <w:t>继续加强执法案例指导。落实“谁执法谁普法”的普法责任制，推进普法与执法有机融合。（牵头单位：区司法局，责任单位：区政府各有关部门、街道、板块）</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
          <w:bCs/>
          <w:kern w:val="0"/>
          <w:sz w:val="32"/>
          <w:szCs w:val="32"/>
          <w:lang w:val="zh-CN"/>
        </w:rPr>
        <w:t>19.完善“两法衔接”机制。</w:t>
      </w:r>
      <w:r>
        <w:rPr>
          <w:rFonts w:hint="default" w:ascii="Times New Roman" w:hAnsi="Times New Roman" w:eastAsia="方正仿宋_GBK" w:cs="Times New Roman"/>
          <w:kern w:val="0"/>
          <w:sz w:val="32"/>
          <w:szCs w:val="32"/>
          <w:lang w:val="zh-CN"/>
        </w:rPr>
        <w:t>落实行政执法和刑事司法衔接联席会议制度，完善并落实案件移送标准、程序和证据规则，建立健全行政执法机关、司法机关信息共享、案情通报、案件移送制度，推进与全省统一的行政执法和刑事司法衔接信息共享平台实现互通互联，做到案件网上移送、网上受理、网上查询、网上监督，提高两法衔接工作效率。加强综合考核和责任追究，克服有案不移、有案难移、以罚代刑现象。加强案件审核把关，充分发挥法制机构在案件移交过程中的审核把关作用，提高案件移送质量。（牵头单位：区检察院、区司法局，责任单位：区政府各有关部门、街道、板块）</w:t>
      </w:r>
    </w:p>
    <w:p>
      <w:pPr>
        <w:keepNext w:val="0"/>
        <w:keepLines w:val="0"/>
        <w:pageBreakBefore w:val="0"/>
        <w:widowControl w:val="0"/>
        <w:kinsoku/>
        <w:wordWrap/>
        <w:overflowPunct/>
        <w:topLinePunct w:val="0"/>
        <w:autoSpaceDE w:val="0"/>
        <w:autoSpaceDN w:val="0"/>
        <w:bidi w:val="0"/>
        <w:adjustRightInd w:val="0"/>
        <w:spacing w:line="540" w:lineRule="exact"/>
        <w:ind w:firstLine="640" w:firstLineChars="200"/>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（五）强化行政权力制约监督</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
          <w:bCs/>
          <w:kern w:val="0"/>
          <w:sz w:val="32"/>
          <w:szCs w:val="32"/>
          <w:lang w:val="zh-CN"/>
        </w:rPr>
        <w:t>20.依法规范行政权力运行。</w:t>
      </w:r>
      <w:r>
        <w:rPr>
          <w:rFonts w:hint="default" w:ascii="Times New Roman" w:hAnsi="Times New Roman" w:eastAsia="方正仿宋_GBK" w:cs="Times New Roman"/>
          <w:kern w:val="0"/>
          <w:sz w:val="32"/>
          <w:szCs w:val="32"/>
          <w:lang w:val="zh-CN"/>
        </w:rPr>
        <w:t>实现行政执法、重大行政决策、行政规范性文件、行政合同协议等合法性审查全覆盖，</w:t>
      </w:r>
      <w:r>
        <w:rPr>
          <w:rFonts w:hint="default" w:ascii="Times New Roman" w:hAnsi="Times New Roman" w:eastAsia="方正仿宋_GBK" w:cs="Times New Roman"/>
          <w:sz w:val="32"/>
          <w:szCs w:val="32"/>
        </w:rPr>
        <w:t>确保行政机关按照法定权限和程序行使权力，</w:t>
      </w:r>
      <w:r>
        <w:rPr>
          <w:rFonts w:hint="default" w:ascii="Times New Roman" w:hAnsi="Times New Roman" w:eastAsia="方正仿宋_GBK" w:cs="Times New Roman"/>
          <w:kern w:val="0"/>
          <w:sz w:val="32"/>
          <w:szCs w:val="32"/>
          <w:lang w:val="zh-CN"/>
        </w:rPr>
        <w:t>促进行政诉讼案件数和败诉率“双下降”。聚焦招商引资等重点领域，</w:t>
      </w:r>
      <w:r>
        <w:rPr>
          <w:rFonts w:hint="default" w:ascii="Times New Roman" w:hAnsi="Times New Roman" w:eastAsia="方正仿宋_GBK" w:cs="Times New Roman"/>
          <w:sz w:val="32"/>
          <w:szCs w:val="32"/>
        </w:rPr>
        <w:t>落实公开行政权力运行流程、惩治和预防腐败、防控廉政风险、防止利益冲突等要求，</w:t>
      </w:r>
      <w:r>
        <w:rPr>
          <w:rFonts w:hint="default" w:ascii="Times New Roman" w:hAnsi="Times New Roman" w:eastAsia="方正仿宋_GBK" w:cs="Times New Roman"/>
          <w:kern w:val="0"/>
          <w:sz w:val="32"/>
          <w:szCs w:val="32"/>
          <w:lang w:val="zh-CN"/>
        </w:rPr>
        <w:t>依法有效规范政府经济活动。</w:t>
      </w:r>
      <w:r>
        <w:rPr>
          <w:rFonts w:hint="default" w:ascii="Times New Roman" w:hAnsi="Times New Roman" w:eastAsia="方正仿宋_GBK" w:cs="Times New Roman"/>
          <w:sz w:val="32"/>
          <w:szCs w:val="32"/>
        </w:rPr>
        <w:t>发挥政府诚信建设示范作用，加快政府守信践诺机制建设。</w:t>
      </w:r>
      <w:r>
        <w:rPr>
          <w:rFonts w:hint="default" w:ascii="Times New Roman" w:hAnsi="Times New Roman" w:eastAsia="方正仿宋_GBK" w:cs="Times New Roman"/>
          <w:kern w:val="0"/>
          <w:sz w:val="32"/>
          <w:szCs w:val="32"/>
          <w:lang w:val="zh-CN"/>
        </w:rPr>
        <w:t>（牵头单位：区纪委监委、区司法局、区发改委，责任单位：区政府各有关部门、街道、板块）</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
          <w:bCs/>
          <w:kern w:val="0"/>
          <w:sz w:val="32"/>
          <w:szCs w:val="32"/>
          <w:lang w:val="zh-CN"/>
        </w:rPr>
        <w:t>21.及时准确公开政府信息。</w:t>
      </w:r>
      <w:r>
        <w:rPr>
          <w:rFonts w:hint="default" w:ascii="Times New Roman" w:hAnsi="Times New Roman" w:eastAsia="方正仿宋_GBK" w:cs="Times New Roman"/>
          <w:kern w:val="0"/>
          <w:sz w:val="32"/>
          <w:szCs w:val="32"/>
          <w:lang w:val="zh-CN"/>
        </w:rPr>
        <w:t>坚持统筹兼顾、整体推进、突出重点，着力推进政务公开“五公开”</w:t>
      </w:r>
      <w:r>
        <w:rPr>
          <w:rStyle w:val="10"/>
          <w:rFonts w:hint="default" w:ascii="Times New Roman" w:hAnsi="Times New Roman" w:eastAsia="方正仿宋_GBK" w:cs="Times New Roman"/>
          <w:kern w:val="0"/>
          <w:sz w:val="32"/>
          <w:szCs w:val="32"/>
          <w:lang w:val="zh-CN"/>
        </w:rPr>
        <w:footnoteReference w:id="2"/>
      </w:r>
      <w:r>
        <w:rPr>
          <w:rFonts w:hint="default" w:ascii="Times New Roman" w:hAnsi="Times New Roman" w:eastAsia="方正仿宋_GBK" w:cs="Times New Roman"/>
          <w:kern w:val="0"/>
          <w:sz w:val="32"/>
          <w:szCs w:val="32"/>
          <w:lang w:val="zh-CN"/>
        </w:rPr>
        <w:t>工作。严格落实《政府信息公开条例》要求，以公开为原则、不公开为例外，加大重点领域和关键环节政府信息公开力度。健全政府信息管理动态调整机制，及时更新政府信息公开指南和政府信息公开目录。健全信息公开渠道，充分利用政府网站、秦淮发布、新闻通气会、政务微博微信等渠道和方式，加强政务公开和信息发布。建立健全政府信息公开协调及监督机制，确保公开的政府信息准确一致。（牵头单位：区政府办、区发改委，责任单位：区政府各有关部门、街道、板块）</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
          <w:bCs/>
          <w:kern w:val="0"/>
          <w:sz w:val="32"/>
          <w:szCs w:val="32"/>
          <w:lang w:val="zh-CN"/>
        </w:rPr>
        <w:t>22.自觉接受党内监督、人大监督、民主监督、司法监督。</w:t>
      </w:r>
      <w:r>
        <w:rPr>
          <w:rFonts w:hint="default" w:ascii="Times New Roman" w:hAnsi="Times New Roman" w:eastAsia="方正仿宋_GBK" w:cs="Times New Roman"/>
          <w:kern w:val="0"/>
          <w:sz w:val="32"/>
          <w:szCs w:val="32"/>
          <w:lang w:val="zh-CN"/>
        </w:rPr>
        <w:t>重大事项及时向党委请示报告。落实向本级人大常委会报告工作制度。认真研究、及时处理人大、政协提出的意见建议，相关满意率达95%以上。支持人民法院依法审理行政案件，行政机关负责人按规定出庭应诉；尊重并执行人民法院生效判决，及时向法院反馈司法建议采纳情况，办复率达100%。自觉接受配合监察机关开展监督工作，及时反馈相关建议采纳情况，办复率达100%。（牵头单位：区政府办、区司法局，责任单位：区政府各有关部门、街道、板块）</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
          <w:bCs/>
          <w:kern w:val="0"/>
          <w:sz w:val="32"/>
          <w:szCs w:val="32"/>
          <w:lang w:val="zh-CN"/>
        </w:rPr>
        <w:t>23.强化行政监督、审计监督。</w:t>
      </w:r>
      <w:r>
        <w:rPr>
          <w:rFonts w:hint="default" w:ascii="Times New Roman" w:hAnsi="Times New Roman" w:eastAsia="方正仿宋_GBK" w:cs="Times New Roman"/>
          <w:kern w:val="0"/>
          <w:sz w:val="32"/>
          <w:szCs w:val="32"/>
          <w:lang w:val="zh-CN"/>
        </w:rPr>
        <w:t>加强备案审查制度和能力建设，强化规范性文件备案审查工作。强化行政复议监督功能，加大对违法和不当行政行为的纠错力度。加强行政复议诉讼纠错案件分析研判，加大依法行政案例指导力度。加强对内部权力的制约，对财政资金分配使用、国有资产监管、政府投资、公共资源转让等权力集中的部门和岗位，强化内部流程控制，防止权力滥用。有效发挥审计监督作用，对公共资金、国有资产、国有资源和领导干部经济责任履行情况实施审计监督全覆盖，实现对全区一级预算单位全覆盖。（牵头单位：区委编办、区司法局、区财政局、区发改委、区审计局，责任单位：区政府各有关部门、街道、板块）</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
          <w:bCs/>
          <w:kern w:val="0"/>
          <w:sz w:val="32"/>
          <w:szCs w:val="32"/>
          <w:lang w:val="zh-CN"/>
        </w:rPr>
        <w:t>24.加强社会监督、舆论监督。</w:t>
      </w:r>
      <w:r>
        <w:rPr>
          <w:rFonts w:hint="default" w:ascii="Times New Roman" w:hAnsi="Times New Roman" w:eastAsia="方正仿宋_GBK" w:cs="Times New Roman"/>
          <w:kern w:val="0"/>
          <w:sz w:val="32"/>
          <w:szCs w:val="32"/>
          <w:lang w:val="zh-CN"/>
        </w:rPr>
        <w:t>充分发挥政务咨询投诉举报平台作用，积极接受社会各界监督。</w:t>
      </w:r>
      <w:r>
        <w:rPr>
          <w:rFonts w:hint="default" w:ascii="Times New Roman" w:hAnsi="Times New Roman" w:eastAsia="方正仿宋_GBK" w:cs="Times New Roman"/>
          <w:sz w:val="32"/>
          <w:szCs w:val="32"/>
        </w:rPr>
        <w:t>发挥报刊、广播、电视等传统媒体监督作用，加强与互联网等新兴媒体的互动，重视运用和规范网络监督，建立健全网络舆情监测、收集、研判、处置机制，推动网络监督规范化、法治化。</w:t>
      </w:r>
      <w:r>
        <w:rPr>
          <w:rFonts w:hint="default" w:ascii="Times New Roman" w:hAnsi="Times New Roman" w:eastAsia="方正仿宋_GBK" w:cs="Times New Roman"/>
          <w:kern w:val="0"/>
          <w:sz w:val="32"/>
          <w:szCs w:val="32"/>
          <w:lang w:val="zh-CN"/>
        </w:rPr>
        <w:t>（牵头单位：区行政审批局、区发改委，责任单位：区政府各有关部门、街道、板块）</w:t>
      </w:r>
    </w:p>
    <w:p>
      <w:pPr>
        <w:keepNext w:val="0"/>
        <w:keepLines w:val="0"/>
        <w:pageBreakBefore w:val="0"/>
        <w:widowControl w:val="0"/>
        <w:kinsoku/>
        <w:wordWrap/>
        <w:overflowPunct/>
        <w:topLinePunct w:val="0"/>
        <w:autoSpaceDE w:val="0"/>
        <w:autoSpaceDN w:val="0"/>
        <w:bidi w:val="0"/>
        <w:adjustRightInd w:val="0"/>
        <w:spacing w:line="540" w:lineRule="exact"/>
        <w:ind w:firstLine="640" w:firstLineChars="200"/>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（六）依法有效化解社会矛盾</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
          <w:bCs/>
          <w:kern w:val="0"/>
          <w:sz w:val="32"/>
          <w:szCs w:val="32"/>
          <w:lang w:val="zh-CN"/>
        </w:rPr>
        <w:t>25.完善矛盾纠纷多元化解机制。</w:t>
      </w:r>
      <w:r>
        <w:rPr>
          <w:rFonts w:hint="default" w:ascii="Times New Roman" w:hAnsi="Times New Roman" w:eastAsia="方正仿宋_GBK" w:cs="Times New Roman"/>
          <w:kern w:val="0"/>
          <w:sz w:val="32"/>
          <w:szCs w:val="32"/>
          <w:lang w:val="zh-CN"/>
        </w:rPr>
        <w:t>建立健全人民调解、行政调解与司法调解联动的工作体系，打造整合人民调解、行政调解、律师调解、公证、行政裁决、行政复议等非诉讼综合解决平台，完善诉调对接、公调对接、检调对接、访调对接等工作机制</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lang w:val="zh-CN"/>
        </w:rPr>
        <w:t>继续开展坚持发展“枫桥经验”实现矛盾不上交三年行动。完善信访工作制度，推行群众合理诉求“最多访一次”机制。（牵头单位：区司法局、区法院、区检察院、公安分局、区信访局，责任单位：区政府各有关部门、街道、板块）</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
          <w:bCs/>
          <w:kern w:val="0"/>
          <w:sz w:val="32"/>
          <w:szCs w:val="32"/>
          <w:lang w:val="zh-CN"/>
        </w:rPr>
        <w:t>26.加快推进公共法律服务体系建设。</w:t>
      </w:r>
      <w:r>
        <w:rPr>
          <w:rFonts w:hint="default" w:ascii="Times New Roman" w:hAnsi="Times New Roman" w:eastAsia="方正仿宋_GBK" w:cs="Times New Roman"/>
          <w:kern w:val="0"/>
          <w:sz w:val="32"/>
          <w:szCs w:val="32"/>
          <w:lang w:val="zh-CN"/>
        </w:rPr>
        <w:t>升级改造完善区公共法律服务中心。全面推进公共法律服务进园区、进网格。加强园区和社区法律顾问服务，定期开展专项法律服务，推动“公共法律服务+网格”融合发展。深入开展公共法律服务“五进”活动。归并优化12348 热线。加强公共法律服务基层政务公开，打通基层公共法律服务机构服务人民群众的“最后一公里”。拓宽法律援助覆盖面，开展行政诉讼法律援助试点工作。（牵头单位：区司法局，责任单位：区政府各有关部门、街道、板块）</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
          <w:bCs/>
          <w:kern w:val="0"/>
          <w:sz w:val="32"/>
          <w:szCs w:val="32"/>
          <w:lang w:val="zh-CN"/>
        </w:rPr>
        <w:t>27.推进行政复议体制改革。</w:t>
      </w:r>
      <w:r>
        <w:rPr>
          <w:rFonts w:hint="default" w:ascii="Times New Roman" w:hAnsi="Times New Roman" w:eastAsia="方正仿宋_GBK" w:cs="Times New Roman"/>
          <w:kern w:val="0"/>
          <w:sz w:val="32"/>
          <w:szCs w:val="32"/>
        </w:rPr>
        <w:t>深化行政复议体制改革，成立行政复议咨询委员会，为复杂疑难行政复议案件审理提供专家意见。行政复议案件审理过程公开化，全年案件听证率不低于70%，逐步推进行政复议决定书网上公开制度。规范行政应诉工作，坚持应诉案件</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一案一汇报</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、败诉案件</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一案一总结</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，并就败诉案件向同级监委通报，有效降低行政诉讼案件败诉率。</w:t>
      </w:r>
      <w:r>
        <w:rPr>
          <w:rFonts w:hint="default" w:ascii="Times New Roman" w:hAnsi="Times New Roman" w:eastAsia="方正仿宋_GBK" w:cs="Times New Roman"/>
          <w:kern w:val="0"/>
          <w:sz w:val="32"/>
          <w:szCs w:val="32"/>
          <w:lang w:val="zh-CN"/>
        </w:rPr>
        <w:t>（牵头单位：区司法局，责任单位：区政府各有关部门、街道、板块）</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
          <w:bCs/>
          <w:kern w:val="0"/>
          <w:sz w:val="32"/>
          <w:szCs w:val="32"/>
          <w:lang w:val="zh-CN"/>
        </w:rPr>
        <w:t>28.规范和加强行政应诉工作。</w:t>
      </w:r>
      <w:r>
        <w:rPr>
          <w:rFonts w:hint="default" w:ascii="Times New Roman" w:hAnsi="Times New Roman" w:eastAsia="方正仿宋_GBK" w:cs="Times New Roman"/>
          <w:kern w:val="0"/>
          <w:sz w:val="32"/>
          <w:szCs w:val="32"/>
        </w:rPr>
        <w:t>深化</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府院联动</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，依托行政纠纷协同化解工作站和行政诉讼案件秦淮巡回审判点，促进行政纠纷及时化解。</w:t>
      </w:r>
      <w:r>
        <w:rPr>
          <w:rFonts w:hint="default" w:ascii="Times New Roman" w:hAnsi="Times New Roman" w:eastAsia="方正仿宋_GBK" w:cs="Times New Roman"/>
          <w:kern w:val="0"/>
          <w:sz w:val="32"/>
          <w:szCs w:val="32"/>
          <w:lang w:val="zh-CN"/>
        </w:rPr>
        <w:t>深化庭审旁听制度，会同法院定期组织行政机关负责人、一线执法人员等参加庭审旁听，开展庭后点评和互动交流。定期通报出庭应诉情况，严格落实负责人不能出庭情况说明制度，加强对负责人出庭应诉工作的日常监督和考核考评，进一步提升行政机关负责人出庭应诉的质效。（牵头单位：区司法局，责任单位：区政府各有关部门、街道、板块）</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
          <w:bCs/>
          <w:kern w:val="0"/>
          <w:sz w:val="32"/>
          <w:szCs w:val="32"/>
          <w:lang w:val="zh-CN"/>
        </w:rPr>
        <w:t>29.有序推进行政裁决工作。</w:t>
      </w:r>
      <w:r>
        <w:rPr>
          <w:rFonts w:hint="default" w:ascii="Times New Roman" w:hAnsi="Times New Roman" w:eastAsia="方正仿宋_GBK" w:cs="Times New Roman"/>
          <w:kern w:val="0"/>
          <w:sz w:val="32"/>
          <w:szCs w:val="32"/>
          <w:lang w:val="zh-CN"/>
        </w:rPr>
        <w:t>重点做好自然资源权属争议、知识产权侵权纠纷和补偿争议、政府采购活动争议等方面的行政裁决工作，更好地为经济社会发展服务。（牵头单位：区司法局，责任单位：区政府各有关部门、街道、板块）</w:t>
      </w:r>
    </w:p>
    <w:p>
      <w:pPr>
        <w:keepNext w:val="0"/>
        <w:keepLines w:val="0"/>
        <w:pageBreakBefore w:val="0"/>
        <w:widowControl w:val="0"/>
        <w:kinsoku/>
        <w:wordWrap/>
        <w:overflowPunct/>
        <w:topLinePunct w:val="0"/>
        <w:autoSpaceDE w:val="0"/>
        <w:autoSpaceDN w:val="0"/>
        <w:bidi w:val="0"/>
        <w:adjustRightInd w:val="0"/>
        <w:spacing w:line="540" w:lineRule="exact"/>
        <w:ind w:firstLine="640" w:firstLineChars="200"/>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（七）建设数字法治政府</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
          <w:bCs/>
          <w:kern w:val="0"/>
          <w:sz w:val="32"/>
          <w:szCs w:val="32"/>
          <w:lang w:val="zh-CN"/>
        </w:rPr>
        <w:t>30.加强政务信息系统优化整合。</w:t>
      </w:r>
      <w:r>
        <w:rPr>
          <w:rFonts w:hint="default" w:ascii="Times New Roman" w:hAnsi="Times New Roman" w:eastAsia="方正仿宋_GBK" w:cs="Times New Roman"/>
          <w:kern w:val="0"/>
          <w:sz w:val="32"/>
          <w:szCs w:val="32"/>
          <w:lang w:val="zh-CN"/>
        </w:rPr>
        <w:t>推进部门政务信息系统向街道社区延伸覆盖。完善区数据共享交换平台，促进政务数据归集共享，推动全区各部门、街道、板块政务信息系统互联互通、协同联动。推进政务服务向移动端延伸，实现更多政务服务事项“掌上办”。加强对大数据的分析、挖掘、处理和应用，善于运用大数据辅助行政决策、文件制定和行政执法工作。（牵头单位：</w:t>
      </w:r>
      <w:r>
        <w:rPr>
          <w:rFonts w:hint="default" w:ascii="Times New Roman" w:hAnsi="Times New Roman" w:eastAsia="方正仿宋_GBK" w:cs="Times New Roman"/>
          <w:sz w:val="32"/>
          <w:szCs w:val="32"/>
        </w:rPr>
        <w:t>区发改委、区</w:t>
      </w:r>
      <w:r>
        <w:rPr>
          <w:rFonts w:hint="default" w:ascii="Times New Roman" w:hAnsi="Times New Roman" w:eastAsia="方正仿宋_GBK" w:cs="Times New Roman"/>
          <w:sz w:val="32"/>
          <w:szCs w:val="32"/>
          <w:lang w:eastAsia="zh-CN"/>
        </w:rPr>
        <w:t>行政审批局</w:t>
      </w:r>
      <w:r>
        <w:rPr>
          <w:rFonts w:hint="default" w:ascii="Times New Roman" w:hAnsi="Times New Roman" w:eastAsia="方正仿宋_GBK" w:cs="Times New Roman"/>
          <w:sz w:val="32"/>
          <w:szCs w:val="32"/>
        </w:rPr>
        <w:t>、区司法局，责</w:t>
      </w:r>
      <w:r>
        <w:rPr>
          <w:rFonts w:hint="default" w:ascii="Times New Roman" w:hAnsi="Times New Roman" w:eastAsia="方正仿宋_GBK" w:cs="Times New Roman"/>
          <w:kern w:val="0"/>
          <w:sz w:val="32"/>
          <w:szCs w:val="32"/>
          <w:lang w:val="zh-CN"/>
        </w:rPr>
        <w:t>任单位：区政府各有关部门、街道、板块）</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
          <w:bCs/>
          <w:kern w:val="0"/>
          <w:sz w:val="32"/>
          <w:szCs w:val="32"/>
          <w:lang w:val="zh-CN"/>
        </w:rPr>
        <w:t>31.深化“互联网+企业服务”。</w:t>
      </w:r>
      <w:r>
        <w:rPr>
          <w:rFonts w:hint="default" w:ascii="Times New Roman" w:hAnsi="Times New Roman" w:eastAsia="方正仿宋_GBK" w:cs="Times New Roman"/>
          <w:b w:val="0"/>
          <w:bCs w:val="0"/>
          <w:i w:val="0"/>
          <w:iCs w:val="0"/>
          <w:kern w:val="0"/>
          <w:sz w:val="32"/>
          <w:szCs w:val="32"/>
          <w:lang w:val="zh-CN"/>
        </w:rPr>
        <w:t>建设</w:t>
      </w:r>
      <w:r>
        <w:rPr>
          <w:rFonts w:hint="default" w:ascii="Times New Roman" w:hAnsi="Times New Roman" w:eastAsia="方正仿宋_GBK" w:cs="Times New Roman"/>
          <w:kern w:val="0"/>
          <w:sz w:val="32"/>
          <w:szCs w:val="32"/>
          <w:lang w:val="zh-CN"/>
        </w:rPr>
        <w:t>企业服务平台，统一汇聚全区各类惠企政策，集中受理政策兑现申报，建立惠企政策库和企业库，实现政策智能匹配、精准推送“秒触发”，一站直达、一网通办“云兑现”，解决企业“政策不知晓、找不到、不会用”的问题。（牵头单位：区行政审批局、区发改委，责任单位：区政府各有关部门、街道、板块）</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
          <w:bCs/>
          <w:kern w:val="0"/>
          <w:sz w:val="32"/>
          <w:szCs w:val="32"/>
          <w:lang w:val="zh-CN"/>
        </w:rPr>
        <w:t>32.推动重点领域“互联网+监管”。</w:t>
      </w:r>
      <w:r>
        <w:rPr>
          <w:rFonts w:hint="default" w:ascii="Times New Roman" w:hAnsi="Times New Roman" w:eastAsia="方正仿宋_GBK" w:cs="Times New Roman"/>
          <w:kern w:val="0"/>
          <w:sz w:val="32"/>
          <w:szCs w:val="32"/>
          <w:lang w:val="zh-CN"/>
        </w:rPr>
        <w:t>在市场监管、工业和信息化、公安、人社、城乡建设、交通运输、卫生健康、应急管理等领域建设“</w:t>
      </w:r>
      <w:r>
        <w:rPr>
          <w:rFonts w:hint="default" w:ascii="Times New Roman" w:hAnsi="Times New Roman" w:eastAsia="方正仿宋_GBK" w:cs="Times New Roman"/>
          <w:sz w:val="32"/>
          <w:szCs w:val="32"/>
        </w:rPr>
        <w:t>互联网+监管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平台，推动监管责任部门通过新建、改造等方式搭建本领域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互联网+监管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平台，并依托</w:t>
      </w:r>
      <w:r>
        <w:rPr>
          <w:rFonts w:hint="default" w:ascii="Times New Roman" w:hAnsi="Times New Roman" w:eastAsia="方正仿宋_GBK" w:cs="Times New Roman"/>
          <w:kern w:val="0"/>
          <w:sz w:val="32"/>
          <w:szCs w:val="32"/>
          <w:lang w:val="zh-CN"/>
        </w:rPr>
        <w:t>区数据共享交换平台，</w:t>
      </w:r>
      <w:r>
        <w:rPr>
          <w:rFonts w:hint="default" w:ascii="Times New Roman" w:hAnsi="Times New Roman" w:eastAsia="方正仿宋_GBK" w:cs="Times New Roman"/>
          <w:sz w:val="32"/>
          <w:szCs w:val="32"/>
        </w:rPr>
        <w:t>加强重点监管领域数据汇集。</w:t>
      </w:r>
      <w:r>
        <w:rPr>
          <w:rFonts w:hint="default" w:ascii="Times New Roman" w:hAnsi="Times New Roman" w:eastAsia="方正仿宋_GBK" w:cs="Times New Roman"/>
          <w:kern w:val="0"/>
          <w:sz w:val="32"/>
          <w:szCs w:val="32"/>
          <w:lang w:val="zh-CN"/>
        </w:rPr>
        <w:t>探索推行以远程监管、移动监管、预警防控为特征的非现场监管，解决人少、事多难题。</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lang w:val="zh-CN"/>
        </w:rPr>
        <w:t>牵头单位：区行政审批局，责任单位：区市场监管局、区发改委、公安分局、区人社局、区建设局、区房产局、区卫健委、区应急管理局，区政府各有关部门、街道、板块</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
          <w:bCs/>
          <w:kern w:val="0"/>
          <w:sz w:val="32"/>
          <w:szCs w:val="32"/>
          <w:lang w:val="zh-CN"/>
        </w:rPr>
        <w:t>33.推进“智慧普法”建设。</w:t>
      </w:r>
      <w:r>
        <w:rPr>
          <w:rFonts w:hint="default" w:ascii="Times New Roman" w:hAnsi="Times New Roman" w:eastAsia="方正仿宋_GBK" w:cs="Times New Roman"/>
          <w:kern w:val="0"/>
          <w:sz w:val="32"/>
          <w:szCs w:val="32"/>
          <w:lang w:val="zh-CN"/>
        </w:rPr>
        <w:t>探索创新普法宣传教育形式，通过在线微课堂、网络微视频、卡通动漫等群众易于接受、喜闻乐见的普法产品传播推送，让互联网、新媒体成为普法主阵地。借助大数据、云平台等手段分析研判普法需求、供给和实效，增强法治宣传教育的覆盖面、渗透力和针对性。（牵头单位：区司法局，责任单位：区政府各有关部门、街道、板块）</w:t>
      </w:r>
    </w:p>
    <w:p>
      <w:pPr>
        <w:keepNext w:val="0"/>
        <w:keepLines w:val="0"/>
        <w:pageBreakBefore w:val="0"/>
        <w:widowControl w:val="0"/>
        <w:kinsoku/>
        <w:wordWrap/>
        <w:overflowPunct/>
        <w:topLinePunct w:val="0"/>
        <w:autoSpaceDE w:val="0"/>
        <w:autoSpaceDN w:val="0"/>
        <w:bidi w:val="0"/>
        <w:adjustRightInd w:val="0"/>
        <w:spacing w:line="540" w:lineRule="exact"/>
        <w:ind w:firstLine="640" w:firstLineChars="200"/>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（八）优化法治政府建设推进机制</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
          <w:bCs/>
          <w:kern w:val="0"/>
          <w:sz w:val="32"/>
          <w:szCs w:val="32"/>
          <w:lang w:val="zh-CN"/>
        </w:rPr>
        <w:t>34.加强党对法治政府建设的领导。</w:t>
      </w:r>
      <w:r>
        <w:rPr>
          <w:rFonts w:hint="default" w:ascii="Times New Roman" w:hAnsi="Times New Roman" w:eastAsia="方正仿宋_GBK" w:cs="Times New Roman"/>
          <w:kern w:val="0"/>
          <w:sz w:val="32"/>
          <w:szCs w:val="32"/>
          <w:lang w:val="zh-CN"/>
        </w:rPr>
        <w:t>党政主要负责人切实履行推进法治建设第一责任人职责，安排听取有关工作汇报，及时研究解决影响法治政府建设重大问题。切实将推进依法行政、建设法治政府工作纳入本单位发展总体规划和年度工作计划。（牵头单位：区依法行政办、区司法局，责任单位：区政府各有关部门、街道、板块）</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
          <w:bCs/>
          <w:kern w:val="0"/>
          <w:sz w:val="32"/>
          <w:szCs w:val="32"/>
          <w:lang w:val="zh-CN"/>
        </w:rPr>
        <w:t>35.制定落实法治政府建设新的五年方案。</w:t>
      </w:r>
      <w:r>
        <w:rPr>
          <w:rFonts w:hint="default" w:ascii="Times New Roman" w:hAnsi="Times New Roman" w:eastAsia="方正仿宋_GBK" w:cs="Times New Roman"/>
          <w:kern w:val="0"/>
          <w:sz w:val="32"/>
          <w:szCs w:val="32"/>
          <w:lang w:val="zh-CN"/>
        </w:rPr>
        <w:t>根据中央、省、市法治政府建设新的五年实施纲要和贯彻落实方案，及时制定我区实施方案，区政府各部门、街道、板块相应提出贯彻落实的具体举措。落实法治政府建设年度报告制度。（牵头单位：区依法行政办，责任单位：区政府各有关部门、街道、板块）</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
          <w:bCs/>
          <w:kern w:val="0"/>
          <w:sz w:val="32"/>
          <w:szCs w:val="32"/>
          <w:lang w:val="zh-CN"/>
        </w:rPr>
        <w:t>36.深入推进法治政府建设督察工作。</w:t>
      </w:r>
      <w:r>
        <w:rPr>
          <w:rFonts w:hint="default" w:ascii="Times New Roman" w:hAnsi="Times New Roman" w:eastAsia="方正仿宋_GBK" w:cs="Times New Roman"/>
          <w:kern w:val="0"/>
          <w:sz w:val="32"/>
          <w:szCs w:val="32"/>
          <w:lang w:val="zh-CN"/>
        </w:rPr>
        <w:t>围绕法治政府建设年度重点任务开展检查、考核、督察、评价活动，对工作不力、问题较多的单位开展约谈整改。将党政主要负责人履行推进法治建设第一责任人职责情况列入年终述职内容，落实定期报告制度。法治政府建设成效纳入年度综合考核，考核结果作为领导班子和领导干部年度考核评价的重要依据。（牵头单位：区依法行政办、区委组织部、区司法局，责任单位：区政府各有关部门、街道、板块）</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
          <w:bCs/>
          <w:kern w:val="0"/>
          <w:sz w:val="32"/>
          <w:szCs w:val="32"/>
          <w:lang w:val="zh-CN"/>
        </w:rPr>
        <w:t>37.全面加强依法行政意识和能力建设。</w:t>
      </w:r>
      <w:r>
        <w:rPr>
          <w:rFonts w:hint="default" w:ascii="Times New Roman" w:hAnsi="Times New Roman" w:eastAsia="方正仿宋_GBK" w:cs="Times New Roman"/>
          <w:kern w:val="0"/>
          <w:sz w:val="32"/>
          <w:szCs w:val="32"/>
          <w:lang w:val="zh-CN"/>
        </w:rPr>
        <w:t>加强宪法和《民法典》等法律、法规和规章的实施、宣传贯彻工作以及现行有效规范性文件的贯彻落实。坚持把民法典作为行政决策、行政管理、行政监督的重要标尺。抓住“关键少数”，深入推进领导干部学法常态化，全面提高领导干部运用法治思维和法治方式深化改革、推动发展、化解矛盾、维护稳定、应对风险能力。加强政府工作人员、行政执法人员法治培训，不断提升法治思维和依法行政能力。（牵头单位：区依法行政办、区司法局，责任单位：区政府各有关部门、街道、板块）</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lang w:val="zh-CN"/>
        </w:rPr>
        <w:t>38.实施法治建设质效评价。</w:t>
      </w:r>
      <w:r>
        <w:rPr>
          <w:rFonts w:hint="default" w:ascii="Times New Roman" w:hAnsi="Times New Roman" w:eastAsia="方正仿宋_GBK" w:cs="Times New Roman"/>
          <w:sz w:val="32"/>
          <w:szCs w:val="32"/>
        </w:rPr>
        <w:t>开展并完成省、市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互联网</w:t>
      </w:r>
      <w:r>
        <w:rPr>
          <w:rFonts w:hint="default" w:ascii="Times New Roman" w:hAnsi="Times New Roman"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法治建设监测评价。不断优化法治政府建设成效评价载体，坚持法治政府建设评估、人民群众法治建设满意度调查、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十大法治事件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法治为民办实事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等法治建设第三方评估评选常态化，加强典型宣传，形成示范效应，全面营造争先创优良好氛围。（牵头单位：依法治区办，</w:t>
      </w:r>
      <w:r>
        <w:rPr>
          <w:rFonts w:hint="default" w:ascii="Times New Roman" w:hAnsi="Times New Roman" w:eastAsia="方正仿宋_GBK" w:cs="Times New Roman"/>
          <w:kern w:val="0"/>
          <w:sz w:val="32"/>
          <w:szCs w:val="32"/>
          <w:lang w:val="zh-CN"/>
        </w:rPr>
        <w:t>责任单位：区政府各有关部门、街道、板块</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
          <w:bCs/>
          <w:kern w:val="0"/>
          <w:sz w:val="32"/>
          <w:szCs w:val="32"/>
          <w:lang w:val="zh-CN"/>
        </w:rPr>
        <w:t>39.</w:t>
      </w:r>
      <w:r>
        <w:rPr>
          <w:rFonts w:hint="default" w:ascii="Times New Roman" w:hAnsi="Times New Roman" w:eastAsia="方正仿宋_GBK" w:cs="Times New Roman"/>
          <w:b/>
          <w:bCs/>
          <w:kern w:val="0"/>
          <w:sz w:val="32"/>
          <w:szCs w:val="32"/>
          <w:lang w:val="zh-CN" w:eastAsia="zh-CN"/>
        </w:rPr>
        <w:t>深化法治政府建设创新实践</w:t>
      </w:r>
      <w:r>
        <w:rPr>
          <w:rFonts w:hint="default" w:ascii="Times New Roman" w:hAnsi="Times New Roman" w:eastAsia="方正仿宋_GBK" w:cs="Times New Roman"/>
          <w:b/>
          <w:bCs/>
          <w:kern w:val="0"/>
          <w:sz w:val="32"/>
          <w:szCs w:val="32"/>
          <w:lang w:val="zh-CN"/>
        </w:rPr>
        <w:t>。</w:t>
      </w:r>
      <w:r>
        <w:rPr>
          <w:rFonts w:hint="default" w:ascii="Times New Roman" w:hAnsi="Times New Roman" w:eastAsia="方正仿宋_GBK" w:cs="Times New Roman"/>
          <w:kern w:val="0"/>
          <w:sz w:val="32"/>
          <w:szCs w:val="32"/>
          <w:lang w:val="zh-CN"/>
        </w:rPr>
        <w:t>积极探索法治政府建设创新举措，打造覆盖全面的“法治+”工作体系。深化依法行政示范点建设，打造一批具有示范性、影响力的法治政府建设创新项目，发挥法治政府建设的示范带动作用。（牵头单位：区依法行政办，责任单位：区政府各有关部门、街道、板块）</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
          <w:bCs/>
          <w:kern w:val="0"/>
          <w:sz w:val="32"/>
          <w:szCs w:val="32"/>
          <w:lang w:val="zh-CN"/>
        </w:rPr>
        <w:t>40.深入推进“八五”普法。</w:t>
      </w:r>
      <w:r>
        <w:rPr>
          <w:rFonts w:hint="default" w:ascii="Times New Roman" w:hAnsi="Times New Roman" w:eastAsia="方正仿宋_GBK" w:cs="Times New Roman"/>
          <w:sz w:val="32"/>
          <w:szCs w:val="32"/>
        </w:rPr>
        <w:t>精心谋划</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八五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普法规划并抓好组织实施。</w:t>
      </w:r>
      <w:r>
        <w:rPr>
          <w:rFonts w:hint="default" w:ascii="Times New Roman" w:hAnsi="Times New Roman" w:eastAsia="方正仿宋_GBK" w:cs="Times New Roman"/>
          <w:kern w:val="0"/>
          <w:sz w:val="32"/>
          <w:szCs w:val="32"/>
          <w:lang w:val="zh-CN"/>
        </w:rPr>
        <w:t>落实“谁执法谁普法”</w:t>
      </w:r>
      <w:r>
        <w:rPr>
          <w:rFonts w:hint="default" w:ascii="Times New Roman" w:hAnsi="Times New Roman" w:eastAsia="方正仿宋_GBK" w:cs="Times New Roman"/>
          <w:sz w:val="32"/>
          <w:szCs w:val="32"/>
        </w:rPr>
        <w:t>普法责任制。重点围绕安全生产、金融风险、环境保护等领域做好配套法治宣传，精心组织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德法涵养文明·共建绿色生活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主题活动。加强宪法和</w:t>
      </w:r>
      <w:r>
        <w:rPr>
          <w:rFonts w:hint="default" w:ascii="Times New Roman" w:hAnsi="Times New Roman" w:eastAsia="方正仿宋_GBK" w:cs="Times New Roman"/>
          <w:kern w:val="0"/>
          <w:sz w:val="32"/>
          <w:szCs w:val="32"/>
          <w:lang w:val="zh-CN"/>
        </w:rPr>
        <w:t>《</w:t>
      </w:r>
      <w:r>
        <w:rPr>
          <w:rFonts w:hint="default" w:ascii="Times New Roman" w:hAnsi="Times New Roman" w:eastAsia="方正仿宋_GBK" w:cs="Times New Roman"/>
          <w:sz w:val="32"/>
          <w:szCs w:val="32"/>
        </w:rPr>
        <w:t>民法典</w:t>
      </w:r>
      <w:r>
        <w:rPr>
          <w:rFonts w:hint="default" w:ascii="Times New Roman" w:hAnsi="Times New Roman" w:eastAsia="方正仿宋_GBK" w:cs="Times New Roman"/>
          <w:kern w:val="0"/>
          <w:sz w:val="32"/>
          <w:szCs w:val="32"/>
          <w:lang w:val="zh-CN"/>
        </w:rPr>
        <w:t>》</w:t>
      </w:r>
      <w:r>
        <w:rPr>
          <w:rFonts w:hint="default" w:ascii="Times New Roman" w:hAnsi="Times New Roman" w:eastAsia="方正仿宋_GBK" w:cs="Times New Roman"/>
          <w:sz w:val="32"/>
          <w:szCs w:val="32"/>
        </w:rPr>
        <w:t>等法律、法规和规章的宣传贯彻工作，以及现行有效的规范性文件的贯彻落实。创新普法形式，全方位提升《民法典》等法律法规宣传贯彻率，提升群众法治水平。</w:t>
      </w:r>
      <w:r>
        <w:rPr>
          <w:rFonts w:hint="default" w:ascii="Times New Roman" w:hAnsi="Times New Roman" w:eastAsia="方正仿宋_GBK" w:cs="Times New Roman"/>
          <w:kern w:val="0"/>
          <w:sz w:val="32"/>
          <w:szCs w:val="32"/>
          <w:lang w:val="zh-CN"/>
        </w:rPr>
        <w:t>（牵头单位：区司法局，责任单位：区政府各有关部门、街道、板块）</w:t>
      </w:r>
    </w:p>
    <w:p>
      <w:pPr>
        <w:keepNext w:val="0"/>
        <w:keepLines w:val="0"/>
        <w:pageBreakBefore w:val="0"/>
        <w:widowControl w:val="0"/>
        <w:kinsoku/>
        <w:wordWrap/>
        <w:overflowPunct/>
        <w:topLinePunct w:val="0"/>
        <w:autoSpaceDE w:val="0"/>
        <w:autoSpaceDN w:val="0"/>
        <w:bidi w:val="0"/>
        <w:adjustRightInd w:val="0"/>
        <w:spacing w:line="540" w:lineRule="exact"/>
        <w:ind w:firstLine="640" w:firstLineChars="200"/>
        <w:textAlignment w:val="auto"/>
        <w:rPr>
          <w:rFonts w:hint="default" w:ascii="Times New Roman" w:hAnsi="Times New Roman" w:eastAsia="方正黑体_GBK" w:cs="Times New Roman"/>
          <w:kern w:val="0"/>
          <w:sz w:val="32"/>
          <w:szCs w:val="32"/>
          <w:lang w:val="zh-CN"/>
        </w:rPr>
      </w:pPr>
      <w:r>
        <w:rPr>
          <w:rFonts w:hint="default" w:ascii="Times New Roman" w:hAnsi="Times New Roman" w:eastAsia="方正黑体_GBK" w:cs="Times New Roman"/>
          <w:kern w:val="0"/>
          <w:sz w:val="32"/>
          <w:szCs w:val="32"/>
          <w:lang w:val="zh-CN"/>
        </w:rPr>
        <w:t>三、工作要求</w:t>
      </w:r>
    </w:p>
    <w:p>
      <w:pPr>
        <w:keepNext w:val="0"/>
        <w:keepLines w:val="0"/>
        <w:pageBreakBefore w:val="0"/>
        <w:widowControl w:val="0"/>
        <w:kinsoku/>
        <w:wordWrap/>
        <w:overflowPunct/>
        <w:topLinePunct w:val="0"/>
        <w:autoSpaceDE w:val="0"/>
        <w:autoSpaceDN w:val="0"/>
        <w:bidi w:val="0"/>
        <w:adjustRightInd w:val="0"/>
        <w:spacing w:line="540" w:lineRule="exact"/>
        <w:ind w:firstLine="640"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楷体_GBK" w:cs="Times New Roman"/>
          <w:kern w:val="0"/>
          <w:sz w:val="32"/>
          <w:szCs w:val="32"/>
          <w:lang w:val="zh-CN"/>
        </w:rPr>
        <w:t>（一）加强组织领导。</w:t>
      </w:r>
      <w:r>
        <w:rPr>
          <w:rFonts w:hint="default" w:ascii="Times New Roman" w:hAnsi="Times New Roman" w:eastAsia="方正仿宋_GBK" w:cs="Times New Roman"/>
          <w:kern w:val="0"/>
          <w:sz w:val="32"/>
          <w:szCs w:val="32"/>
          <w:lang w:val="zh-CN"/>
        </w:rPr>
        <w:t>法治政府建设是全面依法治国的主体工程，是法治秦淮建设的重要任务。区政府各部门、街道、板块要提高政治站位，将建设法治政府摆在工作全局的重要位置，强化组织领导和工作保障，提出本年度法治政府建设具体工作任务和措施。各单位要在党委（党组）统一领导下，谋划落实好法治政府建设各项任务，主动向党委（党组）报告法治政府建设中的重大问题。</w:t>
      </w:r>
    </w:p>
    <w:p>
      <w:pPr>
        <w:keepNext w:val="0"/>
        <w:keepLines w:val="0"/>
        <w:pageBreakBefore w:val="0"/>
        <w:widowControl w:val="0"/>
        <w:kinsoku/>
        <w:wordWrap/>
        <w:overflowPunct/>
        <w:topLinePunct w:val="0"/>
        <w:autoSpaceDE w:val="0"/>
        <w:autoSpaceDN w:val="0"/>
        <w:bidi w:val="0"/>
        <w:adjustRightInd w:val="0"/>
        <w:spacing w:line="540" w:lineRule="exact"/>
        <w:ind w:firstLine="640"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楷体_GBK" w:cs="Times New Roman"/>
          <w:kern w:val="0"/>
          <w:sz w:val="32"/>
          <w:szCs w:val="32"/>
          <w:lang w:val="zh-CN"/>
        </w:rPr>
        <w:t>（二）强化责任落实。</w:t>
      </w:r>
      <w:r>
        <w:rPr>
          <w:rFonts w:hint="default" w:ascii="Times New Roman" w:hAnsi="Times New Roman" w:eastAsia="方正仿宋_GBK" w:cs="Times New Roman"/>
          <w:kern w:val="0"/>
          <w:sz w:val="32"/>
          <w:szCs w:val="32"/>
          <w:lang w:val="zh-CN"/>
        </w:rPr>
        <w:t>区政府各部门、街道、板块党政主要负责人要切实履行推进法治建设第一责任人职责，压紧压实责任，加强贯彻落实情况跟踪督促检查，狠抓落实、务求实效。</w:t>
      </w:r>
    </w:p>
    <w:p>
      <w:pPr>
        <w:keepNext w:val="0"/>
        <w:keepLines w:val="0"/>
        <w:pageBreakBefore w:val="0"/>
        <w:widowControl w:val="0"/>
        <w:kinsoku/>
        <w:wordWrap/>
        <w:overflowPunct/>
        <w:topLinePunct w:val="0"/>
        <w:autoSpaceDE w:val="0"/>
        <w:autoSpaceDN w:val="0"/>
        <w:bidi w:val="0"/>
        <w:adjustRightInd w:val="0"/>
        <w:spacing w:line="540" w:lineRule="exact"/>
        <w:ind w:firstLine="640"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楷体_GBK" w:cs="Times New Roman"/>
          <w:kern w:val="0"/>
          <w:sz w:val="32"/>
          <w:szCs w:val="32"/>
          <w:lang w:val="zh-CN"/>
        </w:rPr>
        <w:t>（三）加强调查研究。</w:t>
      </w:r>
      <w:r>
        <w:rPr>
          <w:rFonts w:hint="default" w:ascii="Times New Roman" w:hAnsi="Times New Roman" w:eastAsia="方正仿宋_GBK" w:cs="Times New Roman"/>
          <w:kern w:val="0"/>
          <w:sz w:val="32"/>
          <w:szCs w:val="32"/>
          <w:lang w:val="zh-CN"/>
        </w:rPr>
        <w:t>区政府各部门、街道、板块要结合实际情况，加强本单位推进依法行政、建设法治政府的理论探索和调查研究，总结提炼成功经验，分析和解决突出问题。</w:t>
      </w:r>
    </w:p>
    <w:p>
      <w:pPr>
        <w:keepNext w:val="0"/>
        <w:keepLines w:val="0"/>
        <w:pageBreakBefore w:val="0"/>
        <w:widowControl w:val="0"/>
        <w:kinsoku/>
        <w:wordWrap/>
        <w:overflowPunct/>
        <w:topLinePunct w:val="0"/>
        <w:autoSpaceDE w:val="0"/>
        <w:autoSpaceDN w:val="0"/>
        <w:bidi w:val="0"/>
        <w:adjustRightInd w:val="0"/>
        <w:spacing w:line="540" w:lineRule="exact"/>
        <w:ind w:firstLine="640" w:firstLineChars="200"/>
        <w:textAlignment w:val="auto"/>
        <w:rPr>
          <w:rFonts w:hint="default" w:ascii="Times New Roman" w:hAnsi="Times New Roman" w:eastAsia="方正仿宋_GBK" w:cs="Times New Roman"/>
          <w:kern w:val="32"/>
          <w:sz w:val="32"/>
          <w:szCs w:val="32"/>
        </w:rPr>
      </w:pPr>
      <w:r>
        <w:rPr>
          <w:rFonts w:hint="default" w:ascii="Times New Roman" w:hAnsi="Times New Roman" w:eastAsia="方正楷体_GBK" w:cs="Times New Roman"/>
          <w:kern w:val="32"/>
          <w:sz w:val="32"/>
          <w:szCs w:val="32"/>
        </w:rPr>
        <w:t>（四）充分宣传引导。</w:t>
      </w:r>
      <w:r>
        <w:rPr>
          <w:rFonts w:hint="default" w:ascii="Times New Roman" w:hAnsi="Times New Roman" w:eastAsia="方正仿宋_GBK" w:cs="Times New Roman"/>
          <w:kern w:val="32"/>
          <w:sz w:val="32"/>
          <w:szCs w:val="32"/>
        </w:rPr>
        <w:t>要充分利用报纸、广播、电视、网络、新媒体等载体，加大对法治政府建设典型做法和工作成效的宣传力度，营造全社会关心、支持和参与法治政府建设的良好氛围。</w:t>
      </w:r>
    </w:p>
    <w:p>
      <w:pPr>
        <w:keepNext w:val="0"/>
        <w:keepLines w:val="0"/>
        <w:pageBreakBefore w:val="0"/>
        <w:widowControl w:val="0"/>
        <w:kinsoku/>
        <w:wordWrap/>
        <w:overflowPunct/>
        <w:topLinePunct w:val="0"/>
        <w:autoSpaceDE w:val="0"/>
        <w:autoSpaceDN w:val="0"/>
        <w:bidi w:val="0"/>
        <w:adjustRightInd w:val="0"/>
        <w:spacing w:line="540" w:lineRule="exact"/>
        <w:ind w:firstLine="640" w:firstLineChars="200"/>
        <w:textAlignment w:val="auto"/>
        <w:rPr>
          <w:rFonts w:hint="default" w:ascii="Times New Roman" w:hAnsi="Times New Roman" w:eastAsia="方正仿宋_GBK" w:cs="Times New Roman"/>
          <w:kern w:val="32"/>
          <w:sz w:val="32"/>
          <w:szCs w:val="32"/>
        </w:rPr>
      </w:pPr>
    </w:p>
    <w:p>
      <w:pPr>
        <w:keepNext w:val="0"/>
        <w:keepLines w:val="0"/>
        <w:pageBreakBefore w:val="0"/>
        <w:widowControl w:val="0"/>
        <w:kinsoku/>
        <w:wordWrap/>
        <w:overflowPunct/>
        <w:topLinePunct w:val="0"/>
        <w:bidi w:val="0"/>
        <w:adjustRightInd w:val="0"/>
        <w:snapToGrid w:val="0"/>
        <w:spacing w:line="540" w:lineRule="exact"/>
        <w:ind w:firstLine="496" w:firstLineChars="146"/>
        <w:textAlignment w:val="auto"/>
        <w:rPr>
          <w:rFonts w:hint="default" w:ascii="Times New Roman" w:hAnsi="Times New Roman" w:eastAsia="方正仿宋_GBK" w:cs="Times New Roman"/>
          <w:spacing w:val="10"/>
          <w:sz w:val="32"/>
          <w:szCs w:val="32"/>
        </w:rPr>
      </w:pPr>
    </w:p>
    <w:p>
      <w:pPr>
        <w:pStyle w:val="2"/>
        <w:keepNext w:val="0"/>
        <w:keepLines w:val="0"/>
        <w:pageBreakBefore w:val="0"/>
        <w:widowControl w:val="0"/>
        <w:kinsoku/>
        <w:wordWrap/>
        <w:overflowPunct/>
        <w:topLinePunct w:val="0"/>
        <w:bidi w:val="0"/>
        <w:spacing w:line="540" w:lineRule="exact"/>
        <w:textAlignment w:val="auto"/>
        <w:rPr>
          <w:rFonts w:hint="default" w:ascii="Times New Roman" w:hAnsi="Times New Roman" w:eastAsia="方正仿宋_GBK" w:cs="Times New Roman"/>
          <w:spacing w:val="10"/>
          <w:sz w:val="32"/>
          <w:szCs w:val="32"/>
        </w:rPr>
      </w:pPr>
    </w:p>
    <w:p>
      <w:pPr>
        <w:pStyle w:val="2"/>
        <w:keepNext w:val="0"/>
        <w:keepLines w:val="0"/>
        <w:pageBreakBefore w:val="0"/>
        <w:widowControl w:val="0"/>
        <w:kinsoku/>
        <w:wordWrap/>
        <w:overflowPunct/>
        <w:topLinePunct w:val="0"/>
        <w:bidi w:val="0"/>
        <w:spacing w:line="540" w:lineRule="exact"/>
        <w:textAlignment w:val="auto"/>
        <w:rPr>
          <w:rFonts w:hint="default" w:ascii="Times New Roman" w:hAnsi="Times New Roman" w:eastAsia="方正仿宋_GBK" w:cs="Times New Roman"/>
          <w:spacing w:val="10"/>
          <w:sz w:val="32"/>
          <w:szCs w:val="32"/>
        </w:rPr>
      </w:pPr>
    </w:p>
    <w:p>
      <w:pPr>
        <w:pStyle w:val="2"/>
        <w:rPr>
          <w:rFonts w:hint="default" w:ascii="Times New Roman" w:hAnsi="Times New Roman" w:eastAsia="方正仿宋_GBK" w:cs="Times New Roman"/>
          <w:spacing w:val="10"/>
          <w:sz w:val="32"/>
          <w:szCs w:val="32"/>
        </w:rPr>
      </w:pPr>
    </w:p>
    <w:p>
      <w:pPr>
        <w:pStyle w:val="2"/>
        <w:rPr>
          <w:rFonts w:hint="default" w:ascii="Times New Roman" w:hAnsi="Times New Roman" w:eastAsia="方正仿宋_GBK" w:cs="Times New Roman"/>
          <w:spacing w:val="10"/>
          <w:sz w:val="32"/>
          <w:szCs w:val="32"/>
          <w:lang w:val="en-US" w:eastAsia="zh-CN"/>
        </w:rPr>
      </w:pPr>
    </w:p>
    <w:p>
      <w:pPr>
        <w:pStyle w:val="2"/>
        <w:rPr>
          <w:rFonts w:hint="default" w:ascii="Times New Roman" w:hAnsi="Times New Roman" w:eastAsia="方正仿宋_GBK" w:cs="Times New Roman"/>
          <w:spacing w:val="10"/>
          <w:sz w:val="32"/>
          <w:szCs w:val="32"/>
          <w:lang w:val="en-US" w:eastAsia="zh-CN"/>
        </w:rPr>
      </w:pPr>
    </w:p>
    <w:p>
      <w:pPr>
        <w:pStyle w:val="2"/>
        <w:rPr>
          <w:rFonts w:hint="default" w:ascii="Times New Roman" w:hAnsi="Times New Roman" w:eastAsia="方正仿宋_GBK" w:cs="Times New Roman"/>
          <w:spacing w:val="10"/>
          <w:sz w:val="32"/>
          <w:szCs w:val="32"/>
        </w:rPr>
      </w:pPr>
    </w:p>
    <w:p>
      <w:pPr>
        <w:pStyle w:val="2"/>
        <w:rPr>
          <w:rFonts w:hint="default" w:ascii="Times New Roman" w:hAnsi="Times New Roman" w:eastAsia="方正仿宋_GBK" w:cs="Times New Roman"/>
          <w:spacing w:val="10"/>
          <w:sz w:val="32"/>
          <w:szCs w:val="32"/>
        </w:rPr>
      </w:pPr>
    </w:p>
    <w:p>
      <w:pPr>
        <w:pStyle w:val="2"/>
        <w:rPr>
          <w:rFonts w:hint="default" w:ascii="Times New Roman" w:hAnsi="Times New Roman" w:eastAsia="方正仿宋_GBK" w:cs="Times New Roman"/>
          <w:spacing w:val="10"/>
          <w:sz w:val="32"/>
          <w:szCs w:val="32"/>
        </w:rPr>
      </w:pPr>
    </w:p>
    <w:p>
      <w:pPr>
        <w:pStyle w:val="2"/>
        <w:rPr>
          <w:rFonts w:hint="default" w:ascii="Times New Roman" w:hAnsi="Times New Roman" w:eastAsia="方正仿宋_GBK" w:cs="Times New Roman"/>
          <w:spacing w:val="10"/>
          <w:sz w:val="32"/>
          <w:szCs w:val="32"/>
        </w:rPr>
      </w:pPr>
    </w:p>
    <w:p>
      <w:pPr>
        <w:pStyle w:val="2"/>
        <w:rPr>
          <w:rFonts w:hint="default" w:ascii="Times New Roman" w:hAnsi="Times New Roman" w:eastAsia="方正仿宋_GBK" w:cs="Times New Roman"/>
          <w:spacing w:val="10"/>
          <w:sz w:val="32"/>
          <w:szCs w:val="32"/>
        </w:rPr>
      </w:pPr>
    </w:p>
    <w:p>
      <w:pPr>
        <w:adjustRightInd w:val="0"/>
        <w:snapToGrid w:val="0"/>
        <w:spacing w:line="1000" w:lineRule="exact"/>
        <w:ind w:firstLine="496" w:firstLineChars="146"/>
        <w:rPr>
          <w:rFonts w:hint="default" w:ascii="Times New Roman" w:hAnsi="Times New Roman" w:eastAsia="方正仿宋_GBK" w:cs="Times New Roman"/>
          <w:spacing w:val="10"/>
          <w:sz w:val="32"/>
          <w:szCs w:val="32"/>
        </w:rPr>
      </w:pPr>
    </w:p>
    <w:p>
      <w:pPr>
        <w:pStyle w:val="2"/>
        <w:rPr>
          <w:rFonts w:hint="default"/>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Borders>
              <w:top w:val="single" w:color="auto" w:sz="12" w:space="0"/>
              <w:left w:val="nil"/>
              <w:bottom w:val="single" w:color="auto" w:sz="4" w:space="0"/>
              <w:right w:val="nil"/>
            </w:tcBorders>
          </w:tcPr>
          <w:p>
            <w:pPr>
              <w:adjustRightInd w:val="0"/>
              <w:snapToGrid w:val="0"/>
              <w:spacing w:line="520" w:lineRule="exact"/>
              <w:ind w:left="1050" w:leftChars="100" w:right="210" w:rightChars="100" w:hanging="840" w:hangingChars="300"/>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z w:val="28"/>
                <w:szCs w:val="28"/>
              </w:rPr>
              <w:t>抄送：区委各部门，区人大办，区政协办，区法院，区检察院。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Borders>
              <w:top w:val="single" w:color="auto" w:sz="4" w:space="0"/>
              <w:left w:val="nil"/>
              <w:bottom w:val="single" w:color="auto" w:sz="12" w:space="0"/>
              <w:right w:val="nil"/>
            </w:tcBorders>
          </w:tcPr>
          <w:p>
            <w:pPr>
              <w:adjustRightInd w:val="0"/>
              <w:snapToGrid w:val="0"/>
              <w:spacing w:line="520" w:lineRule="exact"/>
              <w:ind w:left="210" w:leftChars="100" w:right="210" w:rightChars="100"/>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z w:val="28"/>
                <w:szCs w:val="28"/>
              </w:rPr>
              <w:t xml:space="preserve">南京市秦淮区人民政府办公室         </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年</w:t>
            </w:r>
            <w:r>
              <w:rPr>
                <w:rFonts w:hint="eastAsia" w:eastAsia="方正仿宋_GBK" w:cs="Times New Roman"/>
                <w:sz w:val="28"/>
                <w:szCs w:val="28"/>
                <w:lang w:val="en-US" w:eastAsia="zh-CN"/>
              </w:rPr>
              <w:t>8</w:t>
            </w:r>
            <w:r>
              <w:rPr>
                <w:rFonts w:hint="default" w:ascii="Times New Roman" w:hAnsi="Times New Roman" w:eastAsia="方正仿宋_GBK" w:cs="Times New Roman"/>
                <w:sz w:val="28"/>
                <w:szCs w:val="28"/>
              </w:rPr>
              <w:t>月</w:t>
            </w: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rPr>
              <w:t>日印发</w:t>
            </w:r>
          </w:p>
        </w:tc>
      </w:tr>
    </w:tbl>
    <w:p>
      <w:pPr>
        <w:adjustRightInd w:val="0"/>
        <w:snapToGrid w:val="0"/>
        <w:spacing w:line="20" w:lineRule="exact"/>
      </w:pPr>
    </w:p>
    <w:sectPr>
      <w:pgSz w:w="11906" w:h="16838"/>
      <w:pgMar w:top="2098" w:right="1588" w:bottom="1701" w:left="158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napToGrid/>
      <w:ind w:left="210" w:leftChars="100" w:right="210" w:rightChars="100"/>
      <w:jc w:val="right"/>
      <w:rPr>
        <w:rFonts w:eastAsia="仿宋_GB2312"/>
        <w:sz w:val="28"/>
        <w:szCs w:val="28"/>
      </w:rPr>
    </w:pPr>
    <w:r>
      <w:rPr>
        <w:rFonts w:eastAsia="仿宋_GB2312"/>
        <w:sz w:val="28"/>
        <w:szCs w:val="28"/>
      </w:rPr>
      <w:t xml:space="preserve">— </w:t>
    </w: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lang w:val="zh-CN"/>
      </w:rPr>
      <w:t>1</w:t>
    </w:r>
    <w:r>
      <w:rPr>
        <w:rFonts w:eastAsia="仿宋_GB2312"/>
        <w:sz w:val="28"/>
        <w:szCs w:val="28"/>
      </w:rPr>
      <w:fldChar w:fldCharType="end"/>
    </w:r>
    <w:r>
      <w:rPr>
        <w:rFonts w:eastAsia="仿宋_GB2312"/>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napToGrid/>
      <w:ind w:left="210" w:leftChars="100" w:right="210" w:rightChars="100"/>
      <w:rPr>
        <w:rFonts w:eastAsia="仿宋_GB2312"/>
        <w:sz w:val="28"/>
        <w:szCs w:val="28"/>
      </w:rPr>
    </w:pPr>
    <w:r>
      <w:rPr>
        <w:rFonts w:eastAsia="仿宋_GB2312"/>
        <w:sz w:val="28"/>
        <w:szCs w:val="28"/>
      </w:rPr>
      <w:t xml:space="preserve">— </w:t>
    </w: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lang w:val="zh-CN"/>
      </w:rPr>
      <w:t>2</w:t>
    </w:r>
    <w:r>
      <w:rPr>
        <w:rFonts w:eastAsia="仿宋_GB2312"/>
        <w:sz w:val="28"/>
        <w:szCs w:val="28"/>
      </w:rPr>
      <w:fldChar w:fldCharType="end"/>
    </w:r>
    <w:r>
      <w:rPr>
        <w:rFonts w:eastAsia="仿宋_GB2312"/>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5"/>
        <w:rPr>
          <w:rFonts w:hint="eastAsia" w:ascii="方正仿宋_GBK" w:hAnsi="方正仿宋_GBK" w:eastAsia="方正仿宋_GBK" w:cs="方正仿宋_GBK"/>
          <w:szCs w:val="18"/>
        </w:rPr>
      </w:pPr>
      <w:r>
        <w:rPr>
          <w:rStyle w:val="10"/>
        </w:rPr>
        <w:footnoteRef/>
      </w:r>
      <w:r>
        <w:t xml:space="preserve"> </w:t>
      </w:r>
      <w:r>
        <w:rPr>
          <w:rFonts w:hint="eastAsia" w:ascii="方正仿宋_GBK" w:hAnsi="方正仿宋_GBK" w:eastAsia="方正仿宋_GBK" w:cs="方正仿宋_GBK"/>
          <w:szCs w:val="18"/>
          <w:lang w:eastAsia="zh-CN"/>
        </w:rPr>
        <w:t>“</w:t>
      </w:r>
      <w:r>
        <w:rPr>
          <w:rFonts w:hint="eastAsia" w:ascii="方正仿宋_GBK" w:hAnsi="方正仿宋_GBK" w:eastAsia="方正仿宋_GBK" w:cs="方正仿宋_GBK"/>
          <w:szCs w:val="18"/>
        </w:rPr>
        <w:t>一业一证</w:t>
      </w:r>
      <w:r>
        <w:rPr>
          <w:rFonts w:hint="eastAsia" w:ascii="方正仿宋_GBK" w:hAnsi="方正仿宋_GBK" w:eastAsia="方正仿宋_GBK" w:cs="方正仿宋_GBK"/>
          <w:szCs w:val="18"/>
          <w:lang w:eastAsia="zh-CN"/>
        </w:rPr>
        <w:t>”</w:t>
      </w:r>
      <w:r>
        <w:rPr>
          <w:rFonts w:hint="eastAsia" w:ascii="方正仿宋_GBK" w:hAnsi="方正仿宋_GBK" w:eastAsia="方正仿宋_GBK" w:cs="方正仿宋_GBK"/>
          <w:szCs w:val="18"/>
        </w:rPr>
        <w:t>改革：将一个行业多个许可证加载到一张载明相关行政许可信息的行业综合执业证，实现准入后</w:t>
      </w:r>
      <w:r>
        <w:rPr>
          <w:rFonts w:hint="eastAsia" w:ascii="方正仿宋_GBK" w:hAnsi="方正仿宋_GBK" w:eastAsia="方正仿宋_GBK" w:cs="方正仿宋_GBK"/>
          <w:szCs w:val="18"/>
          <w:lang w:eastAsia="zh-CN"/>
        </w:rPr>
        <w:t>“</w:t>
      </w:r>
      <w:r>
        <w:rPr>
          <w:rFonts w:hint="eastAsia" w:ascii="方正仿宋_GBK" w:hAnsi="方正仿宋_GBK" w:eastAsia="方正仿宋_GBK" w:cs="方正仿宋_GBK"/>
          <w:szCs w:val="18"/>
        </w:rPr>
        <w:t>一证准营</w:t>
      </w:r>
      <w:r>
        <w:rPr>
          <w:rFonts w:hint="eastAsia" w:ascii="方正仿宋_GBK" w:hAnsi="方正仿宋_GBK" w:eastAsia="方正仿宋_GBK" w:cs="方正仿宋_GBK"/>
          <w:szCs w:val="18"/>
          <w:lang w:eastAsia="zh-CN"/>
        </w:rPr>
        <w:t>”</w:t>
      </w:r>
      <w:r>
        <w:rPr>
          <w:rFonts w:hint="eastAsia" w:ascii="方正仿宋_GBK" w:hAnsi="方正仿宋_GBK" w:eastAsia="方正仿宋_GBK" w:cs="方正仿宋_GBK"/>
          <w:szCs w:val="18"/>
        </w:rPr>
        <w:t>。企业只需提交一次材料，填写一张申请表单即可开业，实现</w:t>
      </w:r>
      <w:r>
        <w:rPr>
          <w:rFonts w:hint="eastAsia" w:ascii="方正仿宋_GBK" w:hAnsi="方正仿宋_GBK" w:eastAsia="方正仿宋_GBK" w:cs="方正仿宋_GBK"/>
          <w:szCs w:val="18"/>
          <w:lang w:eastAsia="zh-CN"/>
        </w:rPr>
        <w:t>“</w:t>
      </w:r>
      <w:r>
        <w:rPr>
          <w:rFonts w:hint="eastAsia" w:ascii="方正仿宋_GBK" w:hAnsi="方正仿宋_GBK" w:eastAsia="方正仿宋_GBK" w:cs="方正仿宋_GBK"/>
          <w:szCs w:val="18"/>
        </w:rPr>
        <w:t>证照联办、许可合一</w:t>
      </w:r>
      <w:r>
        <w:rPr>
          <w:rFonts w:hint="eastAsia" w:ascii="方正仿宋_GBK" w:hAnsi="方正仿宋_GBK" w:eastAsia="方正仿宋_GBK" w:cs="方正仿宋_GBK"/>
          <w:szCs w:val="18"/>
          <w:lang w:eastAsia="zh-CN"/>
        </w:rPr>
        <w:t>”</w:t>
      </w:r>
      <w:r>
        <w:rPr>
          <w:rFonts w:hint="eastAsia" w:ascii="方正仿宋_GBK" w:hAnsi="方正仿宋_GBK" w:eastAsia="方正仿宋_GBK" w:cs="方正仿宋_GBK"/>
          <w:szCs w:val="18"/>
        </w:rPr>
        <w:t>。</w:t>
      </w:r>
    </w:p>
  </w:footnote>
  <w:footnote w:id="1">
    <w:p>
      <w:pPr>
        <w:pStyle w:val="5"/>
        <w:rPr>
          <w:rFonts w:hint="eastAsia" w:eastAsia="方正仿宋_GBK"/>
        </w:rPr>
      </w:pPr>
      <w:r>
        <w:rPr>
          <w:rStyle w:val="10"/>
        </w:rPr>
        <w:footnoteRef/>
      </w:r>
      <w:r>
        <w:t xml:space="preserve"> </w:t>
      </w:r>
      <w:r>
        <w:rPr>
          <w:rFonts w:hint="eastAsia" w:ascii="方正仿宋_GBK" w:hAnsi="方正仿宋_GBK" w:eastAsia="方正仿宋_GBK" w:cs="方正仿宋_GBK"/>
          <w:szCs w:val="18"/>
          <w:lang w:eastAsia="zh-CN"/>
        </w:rPr>
        <w:t>“</w:t>
      </w:r>
      <w:r>
        <w:rPr>
          <w:rFonts w:hint="eastAsia" w:ascii="方正仿宋_GBK" w:hAnsi="方正仿宋_GBK" w:eastAsia="方正仿宋_GBK" w:cs="方正仿宋_GBK"/>
          <w:szCs w:val="18"/>
        </w:rPr>
        <w:t>一厅九室</w:t>
      </w:r>
      <w:r>
        <w:rPr>
          <w:rFonts w:hint="eastAsia" w:ascii="方正仿宋_GBK" w:hAnsi="方正仿宋_GBK" w:eastAsia="方正仿宋_GBK" w:cs="方正仿宋_GBK"/>
          <w:szCs w:val="18"/>
          <w:lang w:eastAsia="zh-CN"/>
        </w:rPr>
        <w:t>”</w:t>
      </w:r>
      <w:r>
        <w:rPr>
          <w:rFonts w:hint="eastAsia" w:ascii="方正仿宋_GBK" w:hAnsi="方正仿宋_GBK" w:eastAsia="方正仿宋_GBK" w:cs="方正仿宋_GBK"/>
          <w:szCs w:val="18"/>
        </w:rPr>
        <w:t>：办案大厅；听证室，询问室，法制审查室，档案室，执法装备室，重大案件会审室，行政调解室，涉案物品管理室，数据室。</w:t>
      </w:r>
    </w:p>
  </w:footnote>
  <w:footnote w:id="2">
    <w:p>
      <w:pPr>
        <w:pStyle w:val="3"/>
        <w:rPr>
          <w:rFonts w:hint="eastAsia"/>
        </w:rPr>
      </w:pPr>
      <w:r>
        <w:rPr>
          <w:rStyle w:val="10"/>
        </w:rPr>
        <w:footnoteRef/>
      </w:r>
      <w:r>
        <w:rPr>
          <w:rFonts w:hint="eastAsia" w:ascii="方正仿宋_GBK" w:hAnsi="方正仿宋_GBK" w:eastAsia="方正仿宋_GBK" w:cs="方正仿宋_GBK"/>
          <w:szCs w:val="18"/>
          <w:lang w:eastAsia="zh-CN"/>
        </w:rPr>
        <w:t>“</w:t>
      </w:r>
      <w:r>
        <w:rPr>
          <w:rFonts w:hint="eastAsia" w:ascii="方正仿宋_GBK" w:hAnsi="方正仿宋_GBK" w:eastAsia="方正仿宋_GBK" w:cs="方正仿宋_GBK"/>
          <w:szCs w:val="18"/>
        </w:rPr>
        <w:t>五公开</w:t>
      </w:r>
      <w:r>
        <w:rPr>
          <w:rFonts w:hint="eastAsia" w:ascii="方正仿宋_GBK" w:hAnsi="方正仿宋_GBK" w:eastAsia="方正仿宋_GBK" w:cs="方正仿宋_GBK"/>
          <w:szCs w:val="18"/>
          <w:lang w:eastAsia="zh-CN"/>
        </w:rPr>
        <w:t>”</w:t>
      </w:r>
      <w:r>
        <w:rPr>
          <w:rFonts w:hint="eastAsia" w:ascii="方正仿宋_GBK" w:hAnsi="方正仿宋_GBK" w:eastAsia="方正仿宋_GBK" w:cs="方正仿宋_GBK"/>
          <w:szCs w:val="18"/>
        </w:rPr>
        <w:t>：根据</w:t>
      </w:r>
      <w:r>
        <w:rPr>
          <w:rFonts w:hint="cs" w:ascii="方正仿宋_GBK" w:hAnsi="方正仿宋_GBK" w:eastAsia="方正仿宋_GBK" w:cs="方正仿宋_GBK"/>
          <w:sz w:val="18"/>
          <w:szCs w:val="18"/>
          <w:cs/>
        </w:rPr>
        <w:t>国务院办公厅《关于全面推进政务公开工作的意见》</w:t>
      </w:r>
      <w:r>
        <w:rPr>
          <w:rFonts w:hint="eastAsia" w:ascii="方正仿宋_GBK" w:hAnsi="方正仿宋_GBK" w:eastAsia="方正仿宋_GBK" w:cs="方正仿宋_GBK"/>
          <w:sz w:val="18"/>
          <w:szCs w:val="18"/>
        </w:rPr>
        <w:t>实施细则，</w:t>
      </w:r>
      <w:r>
        <w:rPr>
          <w:rFonts w:hint="eastAsia" w:ascii="方正仿宋_GBK" w:hAnsi="方正仿宋_GBK" w:eastAsia="方正仿宋_GBK" w:cs="方正仿宋_GBK"/>
          <w:sz w:val="18"/>
          <w:szCs w:val="18"/>
          <w:lang w:eastAsia="zh-CN"/>
        </w:rPr>
        <w:t>“</w:t>
      </w:r>
      <w:r>
        <w:rPr>
          <w:rFonts w:hint="eastAsia" w:ascii="方正仿宋_GBK" w:hAnsi="方正仿宋_GBK" w:eastAsia="方正仿宋_GBK" w:cs="方正仿宋_GBK"/>
          <w:sz w:val="18"/>
          <w:szCs w:val="18"/>
        </w:rPr>
        <w:t>五公开</w:t>
      </w:r>
      <w:r>
        <w:rPr>
          <w:rFonts w:hint="eastAsia" w:ascii="方正仿宋_GBK" w:hAnsi="方正仿宋_GBK" w:eastAsia="方正仿宋_GBK" w:cs="方正仿宋_GBK"/>
          <w:sz w:val="18"/>
          <w:szCs w:val="18"/>
          <w:lang w:eastAsia="zh-CN"/>
        </w:rPr>
        <w:t>”</w:t>
      </w:r>
      <w:r>
        <w:rPr>
          <w:rFonts w:hint="eastAsia" w:ascii="方正仿宋_GBK" w:hAnsi="方正仿宋_GBK" w:eastAsia="方正仿宋_GBK" w:cs="方正仿宋_GBK"/>
          <w:sz w:val="18"/>
          <w:szCs w:val="18"/>
        </w:rPr>
        <w:t>即决策、执行、管理、服务、结果公开。</w:t>
      </w:r>
    </w:p>
    <w:p>
      <w:pPr>
        <w:pStyle w:val="5"/>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E67"/>
    <w:rsid w:val="00091572"/>
    <w:rsid w:val="001479E3"/>
    <w:rsid w:val="00192E9F"/>
    <w:rsid w:val="00350908"/>
    <w:rsid w:val="003A4512"/>
    <w:rsid w:val="00455E67"/>
    <w:rsid w:val="00563BA3"/>
    <w:rsid w:val="005712E2"/>
    <w:rsid w:val="007C39F9"/>
    <w:rsid w:val="00880F4E"/>
    <w:rsid w:val="0089541E"/>
    <w:rsid w:val="008A38AB"/>
    <w:rsid w:val="009B5043"/>
    <w:rsid w:val="00AF3120"/>
    <w:rsid w:val="00B52F17"/>
    <w:rsid w:val="00BD741D"/>
    <w:rsid w:val="00D478F9"/>
    <w:rsid w:val="00D94D2C"/>
    <w:rsid w:val="00DC09E3"/>
    <w:rsid w:val="00F00B65"/>
    <w:rsid w:val="07CF4A3A"/>
    <w:rsid w:val="07FB582F"/>
    <w:rsid w:val="0B852C53"/>
    <w:rsid w:val="162A0F54"/>
    <w:rsid w:val="174522C1"/>
    <w:rsid w:val="211F4ECB"/>
    <w:rsid w:val="235A6FE0"/>
    <w:rsid w:val="248E0180"/>
    <w:rsid w:val="32F62ACB"/>
    <w:rsid w:val="33892068"/>
    <w:rsid w:val="36A7246C"/>
    <w:rsid w:val="3BF04308"/>
    <w:rsid w:val="416F7CA2"/>
    <w:rsid w:val="4683130B"/>
    <w:rsid w:val="4E7021D1"/>
    <w:rsid w:val="4F6470F8"/>
    <w:rsid w:val="56490618"/>
    <w:rsid w:val="567431B7"/>
    <w:rsid w:val="64812696"/>
    <w:rsid w:val="6FA5173D"/>
    <w:rsid w:val="7F6E7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napToGrid w:val="0"/>
      <w:kern w:val="0"/>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annotation text"/>
    <w:basedOn w:val="1"/>
    <w:uiPriority w:val="0"/>
    <w:pPr>
      <w:jc w:val="left"/>
    </w:p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sz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footnote reference"/>
    <w:qFormat/>
    <w:uiPriority w:val="0"/>
    <w:rPr>
      <w:vertAlign w:val="superscript"/>
    </w:rPr>
  </w:style>
  <w:style w:type="character" w:customStyle="1" w:styleId="11">
    <w:name w:val="页眉 字符"/>
    <w:basedOn w:val="8"/>
    <w:link w:val="4"/>
    <w:qFormat/>
    <w:uiPriority w:val="99"/>
    <w:rPr>
      <w:rFonts w:ascii="Times New Roman" w:hAnsi="Times New Roman" w:eastAsia="宋体" w:cs="Times New Roman"/>
      <w:snapToGrid w:val="0"/>
      <w:kern w:val="0"/>
      <w:sz w:val="18"/>
      <w:szCs w:val="18"/>
    </w:rPr>
  </w:style>
  <w:style w:type="character" w:customStyle="1" w:styleId="12">
    <w:name w:val="页脚 字符"/>
    <w:basedOn w:val="8"/>
    <w:link w:val="2"/>
    <w:qFormat/>
    <w:uiPriority w:val="99"/>
    <w:rPr>
      <w:rFonts w:ascii="Times New Roman" w:hAnsi="Times New Roman" w:eastAsia="宋体" w:cs="Times New Roman"/>
      <w:snapToGrid w:val="0"/>
      <w:kern w:val="0"/>
      <w:sz w:val="18"/>
      <w:szCs w:val="18"/>
    </w:rPr>
  </w:style>
  <w:style w:type="character" w:customStyle="1" w:styleId="13">
    <w:name w:val="页脚 Char"/>
    <w:qFormat/>
    <w:uiPriority w:val="99"/>
    <w:rPr>
      <w:snapToGrid w:val="0"/>
      <w:sz w:val="18"/>
      <w:szCs w:val="18"/>
    </w:rPr>
  </w:style>
  <w:style w:type="character" w:customStyle="1" w:styleId="14">
    <w:name w:val="UserStyle_1"/>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422A98-4BFF-4214-BCBD-052A21123FC6}">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2</Pages>
  <Words>115</Words>
  <Characters>656</Characters>
  <Lines>5</Lines>
  <Paragraphs>1</Paragraphs>
  <TotalTime>16</TotalTime>
  <ScaleCrop>false</ScaleCrop>
  <LinksUpToDate>false</LinksUpToDate>
  <CharactersWithSpaces>770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2020-12-14T02:02:00Z</dcterms:created>
  <dc:creator>综合协调组(zhxtz_fy)</dc:creator>
  <cp:lastModifiedBy>曲伟</cp:lastModifiedBy>
  <dcterms:modified xsi:type="dcterms:W3CDTF">2021-08-11T01:15:00Z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72846FB77985425B934174A6E4584E6A</vt:lpwstr>
  </property>
</Properties>
</file>