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D6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下半年秦淮区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汽车消费补贴活动</w:t>
      </w:r>
    </w:p>
    <w:p w14:paraId="6F9AF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发放机构评选公告</w:t>
      </w:r>
    </w:p>
    <w:p w14:paraId="7ABC86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 w14:paraId="3D65AF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为落实省、市消费活动部署，促进汽车消费，计划向符合条件的个人消费者以现金形式发放汽车消费补贴。现将消费补贴发放机构评选的有关事项公告如下：</w:t>
      </w:r>
    </w:p>
    <w:p w14:paraId="5A6A32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一、项目主题</w:t>
      </w:r>
    </w:p>
    <w:p w14:paraId="205E40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2025年下半年秦淮区汽车消费补贴活动</w:t>
      </w:r>
    </w:p>
    <w:p w14:paraId="77E1AB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二、项目概况</w:t>
      </w:r>
    </w:p>
    <w:p w14:paraId="7533C0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消费者在相关企业购买活动范围内的汽车新车后，根据价格发放消费补贴。补贴资金先到先得，发完即止。本次计划通过评选确定一家发放机构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承办秦淮区即日起至年底所有汽车相关的消费补贴活动，进行相关资格审核、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消费补贴发放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工作等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。</w:t>
      </w:r>
    </w:p>
    <w:p w14:paraId="142E02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三、项目执行周期</w:t>
      </w:r>
    </w:p>
    <w:p w14:paraId="21A0BF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即日起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至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12月31日（具体时间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以活动细则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为准）。</w:t>
      </w:r>
    </w:p>
    <w:p w14:paraId="1A92CE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四、评选说明</w:t>
      </w:r>
    </w:p>
    <w:p w14:paraId="364EFB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（一）评选方式</w:t>
      </w:r>
    </w:p>
    <w:p w14:paraId="2020D2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采取综合评选方式，运用综合评分法进行评选（附件1）。</w:t>
      </w:r>
    </w:p>
    <w:p w14:paraId="3D5011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（二）发放机构应具备的资格要求</w:t>
      </w:r>
    </w:p>
    <w:p w14:paraId="025026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在中华人民共和国境内注册，具有独立法人资格的金融支付平台或其分支机构，商业信誉良好、财务会计制度健全、依法缴纳税收、社会保障资金记录良好，近三年内的经营活动中没有重大违法记录。</w:t>
      </w:r>
    </w:p>
    <w:p w14:paraId="5CFF1C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（三）注意事项</w:t>
      </w:r>
    </w:p>
    <w:p w14:paraId="6CE5DA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1.此次补贴以现金形式发放且不涉及系统开发费用；</w:t>
      </w:r>
    </w:p>
    <w:p w14:paraId="5C1D2C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2.只要有1家供应商报名且符合评选要求，即可启动评选流程。</w:t>
      </w:r>
    </w:p>
    <w:p w14:paraId="71357F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（四）报名及参与方式</w:t>
      </w:r>
    </w:p>
    <w:p w14:paraId="75CBD5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1．报名。符合相关资格的供应商从公告之日起向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秦淮区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商务局报名参与项目评选。通过电子邮件形式发送报名函（附件2）。报名邮箱地址：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instrText xml:space="preserve"> HYPERLINK "mailto:yhtqswj2024@163.com%E3%80%82%E6%8A%A5%E5%90%8D%E6%88%AA%E6%AD%A2%E6%97%B6%E9%97%B4%E4%B8%BA2025%E5%B9%B42%E6%9C%888%E6%97%A5%E4%B8%8B%E5%8D%8818"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1611937194</w:t>
      </w: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@</w:t>
      </w: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qq</w:t>
      </w: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.com。报名截止时间为2025年</w:t>
      </w:r>
      <w:r>
        <w:rPr>
          <w:rStyle w:val="5"/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月</w:t>
      </w:r>
      <w:r>
        <w:rPr>
          <w:rStyle w:val="5"/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日下午18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时前。</w:t>
      </w:r>
    </w:p>
    <w:p w14:paraId="6BE34E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2.参与评选。报名单位提交报名函后获取项目实施方案，并根据实施方案制作相应工作方案，一式6份。我局将开展现场评选工作。供应商需安排1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2人参加评选会并提交相应响应文件。</w:t>
      </w:r>
    </w:p>
    <w:p w14:paraId="46A570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3.评选会时间：以具体通知为准。</w:t>
      </w:r>
    </w:p>
    <w:p w14:paraId="41B65B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五、咨询及联系方式</w:t>
      </w:r>
    </w:p>
    <w:p w14:paraId="5ACFD4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联系人：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秦淮区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商务局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市场运行科</w:t>
      </w:r>
    </w:p>
    <w:p w14:paraId="232AD6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联系电话：025-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84556592</w:t>
      </w:r>
    </w:p>
    <w:p w14:paraId="202EA1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 w14:paraId="4C3CD6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598" w:leftChars="304" w:right="0" w:hanging="960" w:hangingChars="3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附件：1. 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下半年秦淮区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汽车消费补贴活动发放机构评选办法</w:t>
      </w:r>
    </w:p>
    <w:p w14:paraId="147C82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    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 2.评选报名函</w:t>
      </w:r>
    </w:p>
    <w:p w14:paraId="57B289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</w:p>
    <w:p w14:paraId="6A6634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秦淮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区商务局       </w:t>
      </w:r>
    </w:p>
    <w:p w14:paraId="4EF307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right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日   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    </w:t>
      </w:r>
    </w:p>
    <w:p w14:paraId="46124654">
      <w:pPr>
        <w:rPr>
          <w:rFonts w:hint="eastAsia"/>
        </w:rPr>
      </w:pPr>
      <w:r>
        <w:rPr>
          <w:rFonts w:hint="eastAsia"/>
        </w:rPr>
        <w:br w:type="page"/>
      </w:r>
    </w:p>
    <w:p w14:paraId="26D03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附件1</w:t>
      </w:r>
    </w:p>
    <w:p w14:paraId="40B54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下半年秦淮区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汽车消费补贴活动</w:t>
      </w:r>
    </w:p>
    <w:p w14:paraId="520E5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发放机构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评选办法</w:t>
      </w:r>
    </w:p>
    <w:p w14:paraId="77689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BB29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 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下半年秦淮区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汽车消费补贴活动实施方案》要求，为公平、公正、公开反映各机构执行消费补贴发放的能力，确保发放工作有序有效，现结合实际，制定评选实施办法。</w:t>
      </w:r>
    </w:p>
    <w:p w14:paraId="16829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一、评选对象</w:t>
      </w:r>
    </w:p>
    <w:p w14:paraId="187E5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秦淮区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汽车消费补贴发放的机构。</w:t>
      </w:r>
    </w:p>
    <w:p w14:paraId="1850A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二、指标体系</w:t>
      </w:r>
    </w:p>
    <w:p w14:paraId="4650A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评选采用百分制，共包括机构资质（15分）、活动流程设计（55分）及活动配套资源（30分）三项评分因素，根据评分标准对机构方案进行量化评分。</w:t>
      </w:r>
    </w:p>
    <w:p w14:paraId="17585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三、评选方式</w:t>
      </w:r>
    </w:p>
    <w:p w14:paraId="3C6A9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秦淮区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商务局会同区发改委、区财政局、区审计局，根据各参与消费补贴发放机构的执行方案、现场陈述等进行综合打分；邀请区纪委全程监督评选会。</w:t>
      </w:r>
    </w:p>
    <w:p w14:paraId="63DBF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四、结果运用</w:t>
      </w:r>
    </w:p>
    <w:p w14:paraId="569E5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根据机构得分情况，根据排名由高到低研究确定汽车补贴发放机构。如参与机构不足两家，则根据是否达到60分研究确定汽车补贴发放机构。</w:t>
      </w:r>
    </w:p>
    <w:p w14:paraId="728AB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DD57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07BED19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 w14:paraId="533C6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附件2</w:t>
      </w:r>
    </w:p>
    <w:p w14:paraId="3D21D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 xml:space="preserve"> 2025年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下半年秦淮区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汽车消费补贴活动</w:t>
      </w:r>
    </w:p>
    <w:p w14:paraId="2060C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发放机构评选报名函</w:t>
      </w:r>
    </w:p>
    <w:p w14:paraId="115F4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5808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秦淮区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商务局：</w:t>
      </w:r>
    </w:p>
    <w:p w14:paraId="369D5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贵单位发布的《2025年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下半年秦淮区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汽车消费补贴活动发放机构评选公告》我公司已阅览。经研究，我公司决定报名参加贵单位汽车消费补贴发放机构评选，并按要求提供相关响应文件。</w:t>
      </w:r>
    </w:p>
    <w:p w14:paraId="40917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F51E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C889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报名单位名称（公章）：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</w:t>
      </w:r>
    </w:p>
    <w:p w14:paraId="2D003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67196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联系人及电话：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34583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邮箱地址：</w:t>
      </w:r>
    </w:p>
    <w:p w14:paraId="1EBFF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日期：</w:t>
      </w:r>
    </w:p>
    <w:p w14:paraId="430669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0142B"/>
    <w:rsid w:val="04F929EA"/>
    <w:rsid w:val="0CDB2461"/>
    <w:rsid w:val="19CA3A5C"/>
    <w:rsid w:val="340E76E7"/>
    <w:rsid w:val="4A1A3BBF"/>
    <w:rsid w:val="6B40142B"/>
    <w:rsid w:val="75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1218</Words>
  <Characters>1305</Characters>
  <Lines>0</Lines>
  <Paragraphs>0</Paragraphs>
  <TotalTime>8</TotalTime>
  <ScaleCrop>false</ScaleCrop>
  <LinksUpToDate>false</LinksUpToDate>
  <CharactersWithSpaces>1415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2025-02-08T08:01:00Z</dcterms:created>
  <dc:creator>XYZ</dc:creator>
  <cp:lastModifiedBy>DELL</cp:lastModifiedBy>
  <dcterms:modified xsi:type="dcterms:W3CDTF">2025-09-05T01:31:13Z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4269B5D22EFB4789B2E9E7BA19BC4231_13</vt:lpwstr>
  </property>
  <property fmtid="{D5CDD505-2E9C-101B-9397-08002B2CF9AE}" pid="4" name="KSOTemplateDocerSaveRecord">
    <vt:lpwstr>eyJoZGlkIjoiYmM2ZDFiMDVlYjc4ZDRmYzRjMjMwOWM5NDIzNTIyMWIiLCJ1c2VySWQiOiI5MjY0ODY3In0=</vt:lpwstr>
  </property>
</Properties>
</file>