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6" w:beforeLines="50" w:after="156" w:afterLines="50" w:line="400" w:lineRule="exact"/>
        <w:jc w:val="center"/>
        <w:textAlignment w:val="auto"/>
        <w:outlineLvl w:val="9"/>
        <w:rPr>
          <w:rFonts w:hint="eastAsia" w:ascii="Times New Roman" w:hAnsi="Times New Roman" w:eastAsia="方正小标宋_GBK" w:cs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宋体"/>
          <w:kern w:val="0"/>
          <w:sz w:val="28"/>
          <w:szCs w:val="28"/>
          <w:lang w:val="en-US" w:eastAsia="zh-CN"/>
        </w:rPr>
        <w:t>目    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bookmarkStart w:id="25" w:name="_GoBack"/>
      <w:bookmarkEnd w:id="25"/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b w:val="0"/>
          <w:bCs/>
          <w:caps w:val="0"/>
          <w:spacing w:val="0"/>
          <w:w w:val="100"/>
          <w:kern w:val="0"/>
          <w:sz w:val="20"/>
          <w:szCs w:val="20"/>
          <w:lang w:val="en-US" w:eastAsia="zh-CN"/>
        </w:rPr>
        <w:t>1．</w:t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instrText xml:space="preserve">TOC \o "1-1" \h \u </w:instrText>
      </w:r>
      <w:r>
        <w:rPr>
          <w:rFonts w:hint="eastAsia" w:ascii="Times New Roman" w:hAnsi="Times New Roman" w:eastAsia="宋体" w:cs="宋体"/>
          <w:b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_Toc26464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kern w:val="0"/>
          <w:sz w:val="20"/>
          <w:szCs w:val="20"/>
        </w:rPr>
        <w:t>202</w:t>
      </w:r>
      <w:r>
        <w:rPr>
          <w:rFonts w:hint="eastAsia" w:ascii="Times New Roman" w:hAnsi="Times New Roman" w:cs="宋体"/>
          <w:kern w:val="0"/>
          <w:sz w:val="20"/>
          <w:szCs w:val="20"/>
          <w:lang w:val="en-US" w:eastAsia="zh-CN"/>
        </w:rPr>
        <w:t>4</w:t>
      </w:r>
      <w:r>
        <w:rPr>
          <w:rFonts w:hint="eastAsia" w:ascii="Times New Roman" w:hAnsi="Times New Roman" w:eastAsia="宋体" w:cs="宋体"/>
          <w:kern w:val="0"/>
          <w:sz w:val="20"/>
          <w:szCs w:val="20"/>
        </w:rPr>
        <w:t>年秦淮区国民经济和社会发展统计公报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_Toc26464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_Toc12582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地区生产总值及构成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_Toc12582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9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3．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_Toc11970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全社会固定资产投资完成情况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_Toc11970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10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_Toc11099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房地产开发经营情况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_Toc11099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_Toc698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社零及贸易业销售情况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_Toc698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_Toc19662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规模以上服务业主要经济指标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_Toc19662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13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_Toc5868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规模以上工业产值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_Toc5868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14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8．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_Toc13487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规模以上工业企业经济效益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_Toc13487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15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9．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_Toc26998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开放型经济完成情况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_Toc26998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16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10．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_Toc22602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招商引资完成情况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_Toc22602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17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11．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_Toc1666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就业和社会保障情况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_Toc1666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18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_Toc19004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环境保护工作情况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_Toc19004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19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13．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_Toc18636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民政优抚、社会救济工作情况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_Toc18636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20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_Toc21264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卫生健康工作情况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_Toc21264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21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_Toc14556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信访工作完成情况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_Toc14556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_Toc30304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政府事务办理概况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_Toc30304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23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_Toc15113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科技创新完成情况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_Toc15113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24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18．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_Toc22437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全区户籍人口变动情况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_Toc22437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25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19．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_Toc23418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全区分街道户籍人口情况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_Toc23418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26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20．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_Toc14000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各区地区生产总值完成情况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_Toc14000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27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default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21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．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各区一般公共预算收入完成情况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ab/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28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22．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instrText xml:space="preserve"> HYPERLINK \l _Toc21984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highlight w:val="none"/>
          <w:lang w:val="en-US" w:eastAsia="zh-CN" w:bidi="ar"/>
        </w:rPr>
        <w:t>各区固定资产投资额完成情况</w:t>
      </w:r>
      <w:r>
        <w:rPr>
          <w:rFonts w:hint="eastAsia" w:ascii="Times New Roman" w:hAnsi="Times New Roman" w:eastAsia="宋体" w:cs="宋体"/>
          <w:sz w:val="20"/>
          <w:szCs w:val="20"/>
          <w:highlight w:val="none"/>
        </w:rPr>
        <w:tab/>
      </w:r>
      <w:r>
        <w:rPr>
          <w:rFonts w:hint="eastAsia" w:ascii="Times New Roman" w:hAnsi="Times New Roman" w:cs="宋体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end"/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9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default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23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．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各区实际使用外资完成情况</w:t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ab/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30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24．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instrText xml:space="preserve"> HYPERLINK \l _Toc30472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highlight w:val="none"/>
          <w:lang w:val="en-US" w:eastAsia="zh-CN" w:bidi="ar"/>
        </w:rPr>
        <w:t>各区</w:t>
      </w:r>
      <w:r>
        <w:rPr>
          <w:rFonts w:hint="eastAsia" w:ascii="Times New Roman" w:hAnsi="Times New Roman" w:cs="宋体"/>
          <w:bCs/>
          <w:i w:val="0"/>
          <w:iCs w:val="0"/>
          <w:kern w:val="0"/>
          <w:sz w:val="20"/>
          <w:szCs w:val="20"/>
          <w:highlight w:val="none"/>
          <w:lang w:val="en-US" w:eastAsia="zh-CN" w:bidi="ar"/>
        </w:rPr>
        <w:t>进出口总额</w:t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highlight w:val="none"/>
          <w:lang w:val="en-US" w:eastAsia="zh-CN" w:bidi="ar"/>
        </w:rPr>
        <w:t>完成情况</w:t>
      </w:r>
      <w:r>
        <w:rPr>
          <w:rFonts w:hint="eastAsia" w:ascii="Times New Roman" w:hAnsi="Times New Roman" w:eastAsia="宋体" w:cs="宋体"/>
          <w:sz w:val="20"/>
          <w:szCs w:val="20"/>
          <w:highlight w:val="none"/>
        </w:rPr>
        <w:tab/>
      </w:r>
      <w:r>
        <w:rPr>
          <w:rFonts w:hint="eastAsia" w:ascii="Times New Roman" w:hAnsi="Times New Roman" w:cs="宋体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  <w:highlight w:val="none"/>
        </w:rPr>
        <w:fldChar w:fldCharType="end"/>
      </w: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25．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_Toc9176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各区社会消费品零售额完成情况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_Toc9176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32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26．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_Toc1859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各区城镇居民人均可支配收入完成情况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_Toc1859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33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宋体" w:cs="宋体"/>
          <w:sz w:val="20"/>
          <w:szCs w:val="20"/>
        </w:rPr>
      </w:pPr>
      <w:r>
        <w:rPr>
          <w:rFonts w:hint="eastAsia" w:ascii="Times New Roman" w:hAnsi="Times New Roman" w:cs="宋体"/>
          <w:caps w:val="0"/>
          <w:spacing w:val="0"/>
          <w:w w:val="100"/>
          <w:kern w:val="0"/>
          <w:sz w:val="20"/>
          <w:szCs w:val="20"/>
          <w:lang w:val="en-US" w:eastAsia="zh-CN"/>
        </w:rPr>
        <w:t>27．</w: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instrText xml:space="preserve"> HYPERLINK \l _Toc3935 </w:instrText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bCs/>
          <w:i w:val="0"/>
          <w:iCs w:val="0"/>
          <w:kern w:val="0"/>
          <w:sz w:val="20"/>
          <w:szCs w:val="20"/>
          <w:lang w:val="en-US" w:eastAsia="zh-CN" w:bidi="ar"/>
        </w:rPr>
        <w:t>各区全体居民人均可支配收入完成情况</w:t>
      </w:r>
      <w:r>
        <w:rPr>
          <w:rFonts w:hint="eastAsia" w:ascii="Times New Roman" w:hAnsi="Times New Roman" w:eastAsia="宋体" w:cs="宋体"/>
          <w:sz w:val="20"/>
          <w:szCs w:val="20"/>
        </w:rPr>
        <w:tab/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begin"/>
      </w:r>
      <w:r>
        <w:rPr>
          <w:rFonts w:hint="eastAsia" w:ascii="Times New Roman" w:hAnsi="Times New Roman" w:eastAsia="宋体" w:cs="宋体"/>
          <w:sz w:val="20"/>
          <w:szCs w:val="20"/>
        </w:rPr>
        <w:instrText xml:space="preserve"> PAGEREF _Toc3935 \h </w:instrTex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separate"/>
      </w:r>
      <w:r>
        <w:rPr>
          <w:rFonts w:hint="eastAsia" w:ascii="Times New Roman" w:hAnsi="Times New Roman" w:eastAsia="宋体" w:cs="宋体"/>
          <w:sz w:val="20"/>
          <w:szCs w:val="20"/>
        </w:rPr>
        <w:t>34</w:t>
      </w:r>
      <w:r>
        <w:rPr>
          <w:rFonts w:hint="eastAsia" w:ascii="Times New Roman" w:hAnsi="Times New Roman" w:eastAsia="宋体" w:cs="宋体"/>
          <w:sz w:val="20"/>
          <w:szCs w:val="20"/>
        </w:rPr>
        <w:fldChar w:fldCharType="end"/>
      </w: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middleDot" w:pos="5103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="宋体" w:cs="宋体"/>
          <w:caps w:val="0"/>
          <w:spacing w:val="0"/>
          <w:w w:val="100"/>
          <w:kern w:val="0"/>
          <w:sz w:val="20"/>
          <w:szCs w:val="2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312" w:beforeLines="100" w:after="312" w:afterLines="100" w:line="400" w:lineRule="exact"/>
        <w:jc w:val="center"/>
        <w:textAlignment w:val="auto"/>
        <w:outlineLvl w:val="0"/>
        <w:rPr>
          <w:rFonts w:hint="eastAsia" w:ascii="Times New Roman" w:hAnsi="Times New Roman" w:eastAsia="方正小标宋_GBK" w:cs="宋体"/>
          <w:kern w:val="0"/>
          <w:sz w:val="24"/>
          <w:szCs w:val="24"/>
        </w:rPr>
        <w:sectPr>
          <w:pgSz w:w="6803" w:h="11905"/>
          <w:pgMar w:top="1417" w:right="850" w:bottom="1134" w:left="85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312" w:beforeLines="100" w:after="312" w:afterLines="100" w:line="440" w:lineRule="exact"/>
        <w:jc w:val="center"/>
        <w:textAlignment w:val="auto"/>
        <w:outlineLvl w:val="0"/>
        <w:rPr>
          <w:rFonts w:hint="eastAsia" w:ascii="Times New Roman" w:hAnsi="Times New Roman" w:eastAsia="方正小标宋_GBK" w:cs="宋体"/>
          <w:caps w:val="0"/>
          <w:spacing w:val="0"/>
          <w:w w:val="100"/>
          <w:kern w:val="0"/>
          <w:sz w:val="24"/>
          <w:szCs w:val="24"/>
        </w:rPr>
      </w:pPr>
      <w:bookmarkStart w:id="0" w:name="_Toc26464"/>
      <w:r>
        <w:rPr>
          <w:rFonts w:hint="eastAsia" w:ascii="Times New Roman" w:hAnsi="Times New Roman" w:eastAsia="方正小标宋_GBK" w:cs="宋体"/>
          <w:caps w:val="0"/>
          <w:spacing w:val="0"/>
          <w:w w:val="100"/>
          <w:kern w:val="0"/>
          <w:sz w:val="24"/>
          <w:szCs w:val="24"/>
        </w:rPr>
        <w:t>2024年秦淮区国民经济和社会发展统计公报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2024年，全区上下坚持以习近平新时代中国特色社会主义思想为指导，认真落实国家、省、市各项决策部署，坚持稳中求进工作总基调，完整准确全面贯彻新发展理念，加快构建新发展格局，扎实推进高质量发展，经济运行总体平稳，新质生产力稳步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提升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，民生保障措施有力，生态环境持续改善。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一、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综合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经济总量稳步增长。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初步核算，全区全年实现地区生产总值1540.17亿元，按可比价格计算，比上年增长4.7%。分产业看，第二产业增加值90.50亿元，增长1.9%；第三产业增加值1449.67亿元，增长4.8%。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市场主体发展壮大。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全年经工商登记新设立市场主体1.62万户，其中新设立企业0.55万户，新设立个体经营户1.07万户。年末市场主体累计18.30万户，其中企业6.28万户，个体经营户12.02万户。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0000FF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就业创业保障有力。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城镇新增就业2.24万人、城镇失业人员就业1.2万人、援助困难人员就业1356人。培育自主创业3771人、培育离校5年内高校毕业生新创业934人。开展补贴性职业技能培训1.02万人次、开展学徒制培训216人、开发高质量就业见习岗位数3020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财政收支结构优化。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全区财政总收入219.14亿元，一般公共预算收入112.13亿元，比上年增长1%，其中税收收入99.94亿元，减少4.6%。一般公共预算支出88.05亿元，比上年下降5.4%。其中，社会保障和就业支出20.35亿元，增长3.1%；教育支出27.35亿元，下降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1.8%；卫生健康支出4.90亿元，下降27.4%；科学技术支出2.15亿元，下降13.7%；农林水支出0.33亿元，增长50%。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二、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工业产值较快增长。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全区实现规模以上工业总产值180.81亿元，同比增长5.9%。规模以上工业企业实现利税总额15.53亿元，同比增长1.5%，利润总额12.46亿元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，同比增长14.0%。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FF000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建筑业企业产值略降。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2024年全区资质以上建筑业企业128家，其中一级资质27家，二级资质42家，三级及其他资质59家。全年实现建筑业总产值156.3亿元，同比减少1.7%。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三、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固定资产投资和房地产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投资增速保持稳定。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全区固定资产投资同比增长4.1%。全年固定资产投资项目共220个，其中固定资产项目176个，房地产项目44个。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color w:val="auto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房地产销售面积减少。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2024年全年商品房销售面积65.56万平方米，同比减少8.1%，其中住宅销售面积60.7万平方米，同比减少17.8%。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四、国内贸易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消费品市场平稳增长。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全区实现全社会消费品零售总额1103.0亿元，同比增长3.8%。其中限上零售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额822.8亿元，同比增长2.0%。全区实现全口径贸易业销售额3748.4亿元，同比增长5.3%，其中批发业销售额2656.2亿元，同比增长5.1%，零售业销售额920.4亿元，同比增长6.1%，住宿业销售额18.8亿元，同比下降4.4%，餐饮业销售额153.1亿元，同比增长5.1%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五、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开放型经济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b/>
          <w:caps w:val="0"/>
          <w:color w:val="auto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外贸规模基本稳定。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完成外贸进出口759.1亿元，同比下降0.1%。全区实际利用外资9531.95万美元，同比下降67.3%。全年吸收外商直接投资新设立企业33家，新增合同外资8335万美元。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六、科学技术和教育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科技创新成果丰硕。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新增专利授权量4684件，其中新增发明专利授权2762件，有效发明专利拥有量达14736件，高维持年限（十年以上）发明专利数量达2375件。全年共1244家企业通过科技型中小企业评价。技术合同登记申报额达156.66亿元。189家企业通过高新技术企业认定，全区高新技术企业总数达608家。3家省级工程技术研究中心顺利通过验收，新建市级工程技术研究中心12家，16家企业入选市级工程技术研究中心培育库。24家企业入选省产研学合作项目，物联网产业全年营收超260亿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教育事业稳步推进。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现有普通高中5所、初中13所（含中华初中部、一中初中部）、小学39所（含2所特殊教育学校）、幼儿园67所（80个办学点）、高等职业学校1所，教师发展中心1所、少年宫（少年儿童校外活动基地）1所、开放大学1所。全年新增“全国教育系统先进工作者”1人、“全国优秀教师”1人，“江苏教师年度人物”1人、“苏教名家”培养对象1人、省名校长工作室主持人1人，省教学名师2人，“江苏省模范教师”1人，“宁教名家”培养对象1人，南京市教学名师5人，南京市名师工作室主持人2人，南京市中青年拔尖人才2人、正高级教师7人。全区学前教育普惠率91.3%，省市优质园幼儿占比97.0%以上。学前教育普及普惠监测达标率达100%，全市第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七、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文旅、卫生和体育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文旅服务能力增强。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共有市级以上文化产业园区14家，其中国家级1家，省级2家（1家同时为国家级），市级13家（1家同时为省级）。全区共有文化馆1个，公共图书馆1个，博物馆12个，市级以上文物保护单位95处。达到省级标准的社区综合性文化服务中心105个。全年开展线下文化活动1800余场，服务人次逾30万人。全年游客接待量突破8000万人次，同比增长20%，总收入830亿元，同比增长11%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color w:val="0000FF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卫生健康服务水平提升。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现有区属医疗卫生单位17家，其中现有二级医院2家、社区卫生服务中心12家、公共卫生单位3家；全区各类卫生机构拥有病床11981张，其中医院拥有病床10575张。共有卫生技术人员18963人，其中执业医师、执业助理医师7479人，注册护士8618人，疾病预防控制中心卫生技术人员65人，妇幼卫生保健机构卫生技术人员1980人（含市妇幼1933人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体育事业全面发展。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参加省级及以上比赛获10金19银5铜的成绩；组织承办2024年南京市第二十三届运动会速度轮滑、射箭、棋类、蹦技等4项赛事；秦淮区列23届市运会人才输送奖一等奖第一名、市运会突出贡献奖一等奖第一名。举办2024世界斯诺克国际锦标赛、世界华人狮王争霸赛、全国室外射箭锦标赛、中国街舞大赛（南京站）等大型国内外赛事。全年开展秦淮区全民健身运动会、社区运动会等各类健身活动750余次。率先在全市开展健身技能培训进校园活动，全年共完成24场。完成新建4片灯光球场，8公里健身步道，更新10套室外健身器材等民生实事项目。完成4700人免费国民体质测试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八、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环境保护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生态环境质量持续改善。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全年空气质量优良天数309天，优良率84.4%，较去年上升3个百分点，PM2.5平均浓度28.9微克/立方米，同比上升4.7%；降水77场，其中酸雨35场，酸雨率45.4%，平均pH值为5.59。2024年秦淮区降尘均值为2.70吨/平方公里·月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2024年全区重点断面水环境质量考核达标率100%。国考七桥瓮断面水质年均值为Ⅲ类，市考铁窗棂、西水关、凤台桥、解放南路桥、石杨路桥、双麒路桥、过兵桥断面年均值均达到或优于考核目标，其中铁窗棂、凤台桥、解放南路桥、双麒路桥、过兵桥5个断面年均值达到Ⅲ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全年区域环境噪声监测点位22个，昼间均值为54.9分贝，同比上升3.2dB。交通噪声共监测57条路，平均值67.4分贝，同比持平。其中达标53条，达标率93.0%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57" w:beforeLines="50" w:after="0" w:line="420" w:lineRule="exact"/>
        <w:ind w:leftChars="200"/>
        <w:jc w:val="both"/>
        <w:textAlignment w:val="auto"/>
        <w:outlineLvl w:val="9"/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</w:pP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  <w:lang w:val="en-US" w:eastAsia="zh-CN"/>
        </w:rPr>
        <w:t>九、</w:t>
      </w:r>
      <w:r>
        <w:rPr>
          <w:rFonts w:hint="eastAsia" w:ascii="Times New Roman" w:hAnsi="Times New Roman" w:eastAsia="方正黑体_GBK" w:cs="宋体"/>
          <w:b/>
          <w:caps w:val="0"/>
          <w:color w:val="0070C0"/>
          <w:spacing w:val="0"/>
          <w:w w:val="100"/>
          <w:sz w:val="20"/>
          <w:szCs w:val="20"/>
        </w:rPr>
        <w:t>人口、人民生活和社会保障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color w:val="auto"/>
          <w:spacing w:val="0"/>
          <w:w w:val="100"/>
          <w:kern w:val="0"/>
          <w:sz w:val="20"/>
          <w:szCs w:val="20"/>
        </w:rPr>
        <w:t>常住人口温和增长。</w:t>
      </w:r>
      <w:r>
        <w:rPr>
          <w:rFonts w:hint="eastAsia" w:ascii="Times New Roman" w:hAnsi="Times New Roman" w:eastAsiaTheme="minorEastAsia" w:cstheme="minorEastAsia"/>
          <w:caps w:val="0"/>
          <w:color w:val="auto"/>
          <w:spacing w:val="0"/>
          <w:w w:val="100"/>
          <w:kern w:val="0"/>
          <w:sz w:val="20"/>
          <w:szCs w:val="20"/>
        </w:rPr>
        <w:t>年末常住人口74.33万人，比上年末增长0.05%。年末全区户籍人口66.93万人，总户数26.48万户。按性别分：男性32.36万人，女性34.57万人。男女性别比93.6：100（女性为100）。按年龄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结构分，0-17岁8.69万人，18-34岁9.28万人，35-59岁25.38万人，60岁以上23.59万人。全年出生0.29万人，出生率4.30‰，死亡0.54万人，死亡率8.00‰，自然增长率为-3.70‰。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居民收支平稳增长。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全区城镇居民人均可支配收入84445元，同比增长4.3%。城镇居民人均生活消费支出49261元，同比增长3.6%。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社会保障有力有效</w:t>
      </w: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sz w:val="20"/>
          <w:szCs w:val="20"/>
        </w:rPr>
        <w:t>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年末参加企业职工基本养老保险人数37.1万人，参加城镇职工基本医疗保险人数39.0万人，城乡居民基本医疗保险人数11.6万人，参加工伤保险人数37.7万人，城乡居民基本养老保险缴费人数2696人，职业年金计发人数2798人，新增参保单位户数3035户，企业退休人员周期免费体检6.97万人。2024年度开展劳动保障书面审查8887家，受理劳动者举报投诉共计8860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2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b/>
          <w:bCs/>
          <w:caps w:val="0"/>
          <w:spacing w:val="0"/>
          <w:w w:val="100"/>
          <w:kern w:val="0"/>
          <w:sz w:val="20"/>
          <w:szCs w:val="20"/>
        </w:rPr>
        <w:t>政务服务能力提升。</w:t>
      </w: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全年办理审批和其他行政权力事项近5.5万件。扎实推进“高效办成一件事”，推行企业信息变更“一件事”和企业注销登记“一件事”近5000件；升级双视频“聊天办”智能政务导办服务，上线AI大模型，累计接受咨询8万余次，发送短信3.6万余条，电话回访满意度近88%。优化“政务管家”涉企帮办代办，全年提供代办服务2000余次。扩大跨区域办理“朋友圈”，累计与全国10省24市（县、区）签订政务服务“异地通办”协议，实现220个事项“异地通办”。全年办理12345工单18.18万件，综合满意率达95%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[1]本公报使用的数据为快报数。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[2]地区生产总值、规模以上工业增加值及其分类项目增长速度按可比价计算，为实际增长速度；其他指标除特殊说明外，按现价计算，为名义增长速度。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[3]部分数据因四舍五入问题，存在总计与分项合计不等的情况。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  <w:t>[4]部分指标数据因统计口径调整，较上年不具可比性。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0" w:line="420" w:lineRule="exact"/>
        <w:ind w:left="0" w:firstLine="400" w:firstLineChars="200"/>
        <w:jc w:val="both"/>
        <w:textAlignment w:val="auto"/>
        <w:rPr>
          <w:rFonts w:hint="eastAsia" w:ascii="Times New Roman" w:hAnsi="Times New Roman" w:eastAsiaTheme="minorEastAsia" w:cstheme="minorEastAsia"/>
          <w:caps w:val="0"/>
          <w:spacing w:val="0"/>
          <w:w w:val="100"/>
          <w:kern w:val="0"/>
          <w:sz w:val="20"/>
          <w:szCs w:val="20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" w:name="_Toc1258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地区生产总值及构成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110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现价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可比价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国内生产总值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1540.17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第二产业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建筑业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第三产业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1449.67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批发和零售业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交通运输、仓储和邮政业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住宿和餐饮业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房地产业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其他营利性服务业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" w:name="_Toc11970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全社会固定资产投资完成情况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459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#房地产投资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#服务业投资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#工业投资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#高技术产业投资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3" w:name="_Toc11099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房地产开发经营情况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单位：万元、平方米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781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3056228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商品房屋投资额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1004573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土地开发投资额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2051655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、按工程用途分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2221752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230783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商业用房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236998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366695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17"/>
                <w:rFonts w:ascii="Times New Roman" w:hAnsi="Times New Roman"/>
                <w:lang w:val="en-US" w:eastAsia="zh-CN" w:bidi="ar"/>
              </w:rPr>
              <w:t>、房屋建筑面积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5444216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#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3047422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828614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#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726028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、商品房销售面积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655633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#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607891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、房屋销售额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2645300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#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2530921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4" w:name="_Toc69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社零及贸易业销售情况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1104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全区社会消费品零售总额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1103.01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限额以上社会消费品零售总额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822.84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全区贸易业限额以上销售额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3114.71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其中：批发业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2263.74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零售业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699.42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住宿业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餐饮业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5" w:name="_Toc1966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规模以上服务业主要经济指标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978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行业类别 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营业收入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(±%)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531.04</w:t>
            </w:r>
          </w:p>
        </w:tc>
        <w:tc>
          <w:tcPr>
            <w:tcW w:w="83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hint="eastAsia"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t>注：规上服务业为1-11月数据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6" w:name="_Toc586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规模以上工业产值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50"/>
        <w:gridCol w:w="820"/>
        <w:gridCol w:w="743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工业总产值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180.81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1、轻工业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重工业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175.54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集体工业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-100.0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股份制工业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外商及港澳台投资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其他经济类型企业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3、总计中：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国有控股企业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私营企业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4、大中型企业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126.28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5、高技术行业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工业销售产值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181.80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#出口交货值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工业产销率（%）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7" w:name="_Toc13487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规模以上工业企业经济效益</w:t>
      </w:r>
      <w:bookmarkEnd w:id="7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76"/>
        <w:gridCol w:w="1239"/>
        <w:gridCol w:w="1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企业单位数</w:t>
            </w:r>
          </w:p>
        </w:tc>
        <w:tc>
          <w:tcPr>
            <w:tcW w:w="10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#亏损企业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实现利税总额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#应交增值税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亏损企业亏损额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流动资产合计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207.01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应收帐款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产成品存货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平均用工人数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8" w:name="_Toc2699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开放型经济完成情况</w:t>
      </w:r>
      <w:bookmarkEnd w:id="8"/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859"/>
        <w:gridCol w:w="1268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实际使用外资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万美元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9531.95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地方外贸进出口总额</w:t>
            </w:r>
          </w:p>
        </w:tc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759.1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进口总额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300.1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出口总额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459.0</w:t>
            </w:r>
          </w:p>
        </w:tc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9" w:name="_Toc2260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招商引资完成情况</w:t>
      </w:r>
      <w:bookmarkEnd w:id="9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31"/>
        <w:gridCol w:w="750"/>
        <w:gridCol w:w="887"/>
        <w:gridCol w:w="1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目标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完成进度（%）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实际投资总额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招引项目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开工/运营项目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大体量项目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标志性总部项目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标志性外资项目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0" w:name="_Toc166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就业和社会保障情况</w:t>
      </w:r>
      <w:bookmarkEnd w:id="10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5"/>
        <w:gridCol w:w="695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pacing w:val="-6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就业和社会保障情况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城镇新增就业人数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城镇失业人员就业人数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就业困难人员就业人数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支持离校5年内高校毕业生新创业人数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支持成功自主创业人数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城乡居民基本养老保险缴费人数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企业退休人员周期免费体检人数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新增参保单位户数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受理劳动者举报投诉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劳动保障书面审查单位数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补贴性职业技能培训人数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新增数字技能人才数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新型学徒制培训人数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1" w:name="_Toc1900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环境保护工作情况</w:t>
      </w:r>
      <w:bookmarkEnd w:id="11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238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环境保护现场监督检查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污染源监测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施工工地现场检查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降水监测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降尘监测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2" w:name="_Toc1863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民政优抚、社会救济工作情况</w:t>
      </w:r>
      <w:bookmarkEnd w:id="12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913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最低生活保障情况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城镇居民最低生活保障人次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城镇居民最低生活保障季末户数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支出城镇居民最低生活保障金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社区公共服务站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街道市民服务中心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区级社区服务中心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居家养老服务中心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社会福利单位情况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床位数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季末收养人数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民间组织情况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民非登记数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社团登记数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基金会登记数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3" w:name="_Toc2126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卫生健康工作情况</w:t>
      </w:r>
      <w:bookmarkEnd w:id="13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52"/>
        <w:gridCol w:w="1005"/>
        <w:gridCol w:w="111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医疗卫生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门（急）诊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社区卫生服务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社区门诊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计划免疫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万人次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医疗机构监督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办理健康证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公共场所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户次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计划生育政策法规情况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办理生育登记证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发放退休职工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一次性奖励金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发放独生子女父母奖励金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四项手术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3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药具发放情况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安全套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外用模（冻）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4" w:name="_Toc1455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信访工作完成情况</w:t>
      </w:r>
      <w:bookmarkEnd w:id="14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664"/>
        <w:gridCol w:w="1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受理群众来信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件（次）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接待群众来访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重复访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5" w:name="_Toc3030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政府事务办理概况</w:t>
      </w:r>
      <w:bookmarkEnd w:id="15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857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市、区长信箱办理情况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书记、区长信箱受理件数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3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政务大厅工作情况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政务大厅受理件数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办结件数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="313" w:afterLines="100"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6" w:name="_Toc15113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科技创新完成情况</w:t>
      </w:r>
      <w:bookmarkEnd w:id="16"/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296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计量单位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净增高新技术企业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科技型中小企业入库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累计新研孵化引进企业数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新增市级工程技术研究中心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7" w:name="_Toc22437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全区户籍人口变动情况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单位：户、人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022"/>
        <w:gridCol w:w="1391"/>
        <w:gridCol w:w="900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本期止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累计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人口自然增长（‰）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人口变动情况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总户数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264777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669317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323624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345693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93.62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死亡人口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死亡率（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‰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8" w:name="_Toc23418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全区分街道户籍人口情况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单位：户、人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639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街道名称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总户数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总人口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264777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秦虹街道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夫子庙街道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双塘街道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中华门街道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五老村街道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洪武路街道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大光路街道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月牙湖街道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光华路街道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朝天宫街道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19" w:name="_Toc14000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各区地区生产总值完成情况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18"/>
        <w:gridCol w:w="142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18500.81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1368.55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1540.17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1437.50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3181.14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684.18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2790.46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0" w:name="_Toc21984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各区一般公共预算收入完成情况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09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1596.02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184.78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245.67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150.15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各区固定资产投资额完成情况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82"/>
        <w:gridCol w:w="1514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-17.1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1" w:name="_Toc30472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各区实际使用外资完成情况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</w:t>
      </w:r>
      <w:r>
        <w:rPr>
          <w:rFonts w:hint="eastAsia" w:ascii="Times New Roman" w:hAnsi="Times New Roman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美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元</w:t>
      </w:r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687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各区进出口总额完成情况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687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同比（±%）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5459.2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759.1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853.3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1198.7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494.8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2" w:name="_Toc9176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各区社会消费品零售额完成情况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单位：亿元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83"/>
        <w:gridCol w:w="1537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8552.75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1133.82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1103.01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1289.32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551.06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1128.32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534.85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809.51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3" w:name="_Toc1859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各区城镇居民人均可支配收入完成情况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49"/>
        <w:gridCol w:w="1489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83084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91926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84445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81339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91490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81543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80501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79581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74498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72645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81072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  <w:r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40" w:lineRule="exact"/>
        <w:ind w:lef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</w:pPr>
      <w:bookmarkStart w:id="24" w:name="_Toc3935"/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olor w:val="0070C0"/>
          <w:kern w:val="0"/>
          <w:sz w:val="24"/>
          <w:szCs w:val="24"/>
          <w:u w:val="none"/>
          <w:lang w:val="en-US" w:eastAsia="zh-CN" w:bidi="ar"/>
        </w:rPr>
        <w:t>各区全体居民人均可支配收入完成情况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20" w:lineRule="exact"/>
        <w:ind w:left="0" w:firstLine="402" w:firstLineChars="200"/>
        <w:jc w:val="right"/>
        <w:textAlignment w:val="auto"/>
        <w:outlineLvl w:val="9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单位：元</w:t>
      </w:r>
    </w:p>
    <w:tbl>
      <w:tblPr>
        <w:tblStyle w:val="7"/>
        <w:tblW w:w="5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043"/>
        <w:gridCol w:w="1520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城区名称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绝对额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同比(±%)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548DD4" w:themeFill="text2" w:themeFillTint="9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增速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75180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91926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秦淮区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84445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建邺区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81339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91490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63840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80501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江宁区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68371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58769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溧水区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高淳区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81072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40" w:lineRule="exact"/>
        <w:ind w:left="0" w:firstLine="402" w:firstLineChars="200"/>
        <w:textAlignment w:val="auto"/>
        <w:outlineLvl w:val="9"/>
        <w:rPr>
          <w:rFonts w:ascii="Times New Roman" w:hAnsi="Times New Roman" w:cs="宋体"/>
          <w:b/>
          <w:caps w:val="0"/>
          <w:spacing w:val="0"/>
          <w:w w:val="100"/>
          <w:kern w:val="0"/>
          <w:sz w:val="20"/>
          <w:szCs w:val="20"/>
        </w:rPr>
      </w:pPr>
    </w:p>
    <w:sectPr>
      <w:footerReference r:id="rId3" w:type="default"/>
      <w:pgSz w:w="6803" w:h="11905"/>
      <w:pgMar w:top="1417" w:right="850" w:bottom="1134" w:left="85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YmE4N2FkYzczYmJkYmYzMzU5ODdjYTQ2NTJhMzkifQ=="/>
  </w:docVars>
  <w:rsids>
    <w:rsidRoot w:val="00DF2E11"/>
    <w:rsid w:val="00001247"/>
    <w:rsid w:val="0001254B"/>
    <w:rsid w:val="000154D9"/>
    <w:rsid w:val="00017AF6"/>
    <w:rsid w:val="000275DC"/>
    <w:rsid w:val="00031E1D"/>
    <w:rsid w:val="00035AB3"/>
    <w:rsid w:val="000444E3"/>
    <w:rsid w:val="0004673C"/>
    <w:rsid w:val="00064047"/>
    <w:rsid w:val="000648FC"/>
    <w:rsid w:val="00075F21"/>
    <w:rsid w:val="00076BC7"/>
    <w:rsid w:val="00086162"/>
    <w:rsid w:val="0009327D"/>
    <w:rsid w:val="000A1880"/>
    <w:rsid w:val="000D5DC0"/>
    <w:rsid w:val="000D71D8"/>
    <w:rsid w:val="001263D6"/>
    <w:rsid w:val="00130294"/>
    <w:rsid w:val="00132216"/>
    <w:rsid w:val="00152F2E"/>
    <w:rsid w:val="00156284"/>
    <w:rsid w:val="0018146E"/>
    <w:rsid w:val="001937DC"/>
    <w:rsid w:val="001B1040"/>
    <w:rsid w:val="001B6E8D"/>
    <w:rsid w:val="001C7D52"/>
    <w:rsid w:val="001E4FAC"/>
    <w:rsid w:val="00210AAF"/>
    <w:rsid w:val="002226B4"/>
    <w:rsid w:val="0022396F"/>
    <w:rsid w:val="00223CF3"/>
    <w:rsid w:val="00227103"/>
    <w:rsid w:val="002307FB"/>
    <w:rsid w:val="002377F5"/>
    <w:rsid w:val="00244C84"/>
    <w:rsid w:val="002660BE"/>
    <w:rsid w:val="002740DC"/>
    <w:rsid w:val="00275D93"/>
    <w:rsid w:val="002838A0"/>
    <w:rsid w:val="00284DA0"/>
    <w:rsid w:val="00295643"/>
    <w:rsid w:val="002A3E3D"/>
    <w:rsid w:val="002C2351"/>
    <w:rsid w:val="002C378A"/>
    <w:rsid w:val="002C5F89"/>
    <w:rsid w:val="002D1D88"/>
    <w:rsid w:val="002E447A"/>
    <w:rsid w:val="002E62B2"/>
    <w:rsid w:val="00300457"/>
    <w:rsid w:val="00302799"/>
    <w:rsid w:val="0030664B"/>
    <w:rsid w:val="00312EC3"/>
    <w:rsid w:val="0031395D"/>
    <w:rsid w:val="00323FEC"/>
    <w:rsid w:val="003421FE"/>
    <w:rsid w:val="003560E8"/>
    <w:rsid w:val="00375706"/>
    <w:rsid w:val="00396807"/>
    <w:rsid w:val="003A5513"/>
    <w:rsid w:val="003A7C69"/>
    <w:rsid w:val="003C4B55"/>
    <w:rsid w:val="003E09C5"/>
    <w:rsid w:val="003E31E6"/>
    <w:rsid w:val="003E4D2D"/>
    <w:rsid w:val="0040387D"/>
    <w:rsid w:val="00411D71"/>
    <w:rsid w:val="00415230"/>
    <w:rsid w:val="00435AD8"/>
    <w:rsid w:val="00476380"/>
    <w:rsid w:val="004B7D63"/>
    <w:rsid w:val="004C1055"/>
    <w:rsid w:val="004E0B99"/>
    <w:rsid w:val="004F2EDA"/>
    <w:rsid w:val="00512B79"/>
    <w:rsid w:val="00517D07"/>
    <w:rsid w:val="00527BD9"/>
    <w:rsid w:val="00574065"/>
    <w:rsid w:val="00587EB1"/>
    <w:rsid w:val="00595AD4"/>
    <w:rsid w:val="005A5188"/>
    <w:rsid w:val="005A7619"/>
    <w:rsid w:val="005C4FBC"/>
    <w:rsid w:val="00600030"/>
    <w:rsid w:val="00616A24"/>
    <w:rsid w:val="0061723C"/>
    <w:rsid w:val="00635D72"/>
    <w:rsid w:val="00640269"/>
    <w:rsid w:val="00646CC4"/>
    <w:rsid w:val="006555B1"/>
    <w:rsid w:val="00656942"/>
    <w:rsid w:val="00660BEF"/>
    <w:rsid w:val="00671605"/>
    <w:rsid w:val="0068582F"/>
    <w:rsid w:val="00685E6B"/>
    <w:rsid w:val="00690205"/>
    <w:rsid w:val="006C69FB"/>
    <w:rsid w:val="006D0559"/>
    <w:rsid w:val="006D29DC"/>
    <w:rsid w:val="006D7281"/>
    <w:rsid w:val="006E1E22"/>
    <w:rsid w:val="006F286D"/>
    <w:rsid w:val="006F5CB0"/>
    <w:rsid w:val="00704FEC"/>
    <w:rsid w:val="00745C98"/>
    <w:rsid w:val="00777CBE"/>
    <w:rsid w:val="00787EC9"/>
    <w:rsid w:val="007A6080"/>
    <w:rsid w:val="007A6D68"/>
    <w:rsid w:val="007B2DE0"/>
    <w:rsid w:val="007B3CF8"/>
    <w:rsid w:val="007B591C"/>
    <w:rsid w:val="007C6D92"/>
    <w:rsid w:val="00801369"/>
    <w:rsid w:val="00810357"/>
    <w:rsid w:val="00811B71"/>
    <w:rsid w:val="00820643"/>
    <w:rsid w:val="0083494A"/>
    <w:rsid w:val="008424C0"/>
    <w:rsid w:val="00850ADF"/>
    <w:rsid w:val="00851FEB"/>
    <w:rsid w:val="0085301F"/>
    <w:rsid w:val="00860AD1"/>
    <w:rsid w:val="00867F15"/>
    <w:rsid w:val="00874F01"/>
    <w:rsid w:val="00882F6F"/>
    <w:rsid w:val="00883D0F"/>
    <w:rsid w:val="00886A9F"/>
    <w:rsid w:val="00894A7F"/>
    <w:rsid w:val="008A1E10"/>
    <w:rsid w:val="008A3005"/>
    <w:rsid w:val="008B2891"/>
    <w:rsid w:val="008C53BA"/>
    <w:rsid w:val="00904BCC"/>
    <w:rsid w:val="00916020"/>
    <w:rsid w:val="00920CD4"/>
    <w:rsid w:val="00932355"/>
    <w:rsid w:val="00941ACE"/>
    <w:rsid w:val="00946547"/>
    <w:rsid w:val="00974F6F"/>
    <w:rsid w:val="00982A91"/>
    <w:rsid w:val="00984E78"/>
    <w:rsid w:val="00992A45"/>
    <w:rsid w:val="009B58B7"/>
    <w:rsid w:val="009C46DE"/>
    <w:rsid w:val="009D151A"/>
    <w:rsid w:val="00A15E88"/>
    <w:rsid w:val="00A16B53"/>
    <w:rsid w:val="00A5284B"/>
    <w:rsid w:val="00A53192"/>
    <w:rsid w:val="00A6270F"/>
    <w:rsid w:val="00A8083D"/>
    <w:rsid w:val="00A837E7"/>
    <w:rsid w:val="00A930DD"/>
    <w:rsid w:val="00A97751"/>
    <w:rsid w:val="00AC47E4"/>
    <w:rsid w:val="00AD295E"/>
    <w:rsid w:val="00AD7898"/>
    <w:rsid w:val="00B05460"/>
    <w:rsid w:val="00B411AD"/>
    <w:rsid w:val="00B41961"/>
    <w:rsid w:val="00B54E04"/>
    <w:rsid w:val="00B627B5"/>
    <w:rsid w:val="00B76CA9"/>
    <w:rsid w:val="00B82747"/>
    <w:rsid w:val="00B979F2"/>
    <w:rsid w:val="00BA35CA"/>
    <w:rsid w:val="00BB017F"/>
    <w:rsid w:val="00BB1DA6"/>
    <w:rsid w:val="00BB4CA5"/>
    <w:rsid w:val="00BB5847"/>
    <w:rsid w:val="00BF6727"/>
    <w:rsid w:val="00C057D8"/>
    <w:rsid w:val="00C11274"/>
    <w:rsid w:val="00C45FB3"/>
    <w:rsid w:val="00C56180"/>
    <w:rsid w:val="00C60DE5"/>
    <w:rsid w:val="00C92553"/>
    <w:rsid w:val="00CA22D4"/>
    <w:rsid w:val="00CB63FF"/>
    <w:rsid w:val="00CF00FA"/>
    <w:rsid w:val="00D4327D"/>
    <w:rsid w:val="00D46DFE"/>
    <w:rsid w:val="00D70CE7"/>
    <w:rsid w:val="00D720D4"/>
    <w:rsid w:val="00D82863"/>
    <w:rsid w:val="00D8314A"/>
    <w:rsid w:val="00D86C67"/>
    <w:rsid w:val="00D87B86"/>
    <w:rsid w:val="00D90C96"/>
    <w:rsid w:val="00D90EB1"/>
    <w:rsid w:val="00DA1D13"/>
    <w:rsid w:val="00DA3C9A"/>
    <w:rsid w:val="00DA5A3B"/>
    <w:rsid w:val="00DA7D78"/>
    <w:rsid w:val="00DB7E04"/>
    <w:rsid w:val="00DC0158"/>
    <w:rsid w:val="00DC6D3D"/>
    <w:rsid w:val="00DD5EEB"/>
    <w:rsid w:val="00DF17B7"/>
    <w:rsid w:val="00DF2E11"/>
    <w:rsid w:val="00E02634"/>
    <w:rsid w:val="00E07E48"/>
    <w:rsid w:val="00E1210F"/>
    <w:rsid w:val="00E210B6"/>
    <w:rsid w:val="00E27168"/>
    <w:rsid w:val="00E3786C"/>
    <w:rsid w:val="00E52211"/>
    <w:rsid w:val="00E612F7"/>
    <w:rsid w:val="00E71FF6"/>
    <w:rsid w:val="00E720B9"/>
    <w:rsid w:val="00E84DF9"/>
    <w:rsid w:val="00EB0E88"/>
    <w:rsid w:val="00ED41BC"/>
    <w:rsid w:val="00ED4902"/>
    <w:rsid w:val="00ED6891"/>
    <w:rsid w:val="00EE149E"/>
    <w:rsid w:val="00EF1742"/>
    <w:rsid w:val="00EF6CAF"/>
    <w:rsid w:val="00EF7885"/>
    <w:rsid w:val="00F012EA"/>
    <w:rsid w:val="00F02C51"/>
    <w:rsid w:val="00F13574"/>
    <w:rsid w:val="00F14661"/>
    <w:rsid w:val="00F2168B"/>
    <w:rsid w:val="00F220F5"/>
    <w:rsid w:val="00F42D1F"/>
    <w:rsid w:val="00F5711F"/>
    <w:rsid w:val="00F70D34"/>
    <w:rsid w:val="00F76A8D"/>
    <w:rsid w:val="00F83DB7"/>
    <w:rsid w:val="00FA1169"/>
    <w:rsid w:val="00FA1697"/>
    <w:rsid w:val="00FA5175"/>
    <w:rsid w:val="00FB054B"/>
    <w:rsid w:val="00FD38CA"/>
    <w:rsid w:val="00FE14FA"/>
    <w:rsid w:val="00FE1F93"/>
    <w:rsid w:val="00FE6D32"/>
    <w:rsid w:val="00FE6DEC"/>
    <w:rsid w:val="02261695"/>
    <w:rsid w:val="026A2DC5"/>
    <w:rsid w:val="03861C60"/>
    <w:rsid w:val="03D746CC"/>
    <w:rsid w:val="051B61E0"/>
    <w:rsid w:val="052D1065"/>
    <w:rsid w:val="05A14F91"/>
    <w:rsid w:val="063640D1"/>
    <w:rsid w:val="06407383"/>
    <w:rsid w:val="067B176A"/>
    <w:rsid w:val="068B6FB2"/>
    <w:rsid w:val="06BD7D81"/>
    <w:rsid w:val="06CC603E"/>
    <w:rsid w:val="091615E2"/>
    <w:rsid w:val="0E9A6317"/>
    <w:rsid w:val="0FEA06DC"/>
    <w:rsid w:val="10E50428"/>
    <w:rsid w:val="13F37300"/>
    <w:rsid w:val="14E37374"/>
    <w:rsid w:val="190743E6"/>
    <w:rsid w:val="196E49C7"/>
    <w:rsid w:val="1AA475A6"/>
    <w:rsid w:val="1B481CDF"/>
    <w:rsid w:val="1B58131F"/>
    <w:rsid w:val="1B8F3DB2"/>
    <w:rsid w:val="1BCB46BE"/>
    <w:rsid w:val="1C272A2D"/>
    <w:rsid w:val="1CCD1E3D"/>
    <w:rsid w:val="1D24677C"/>
    <w:rsid w:val="1F061F30"/>
    <w:rsid w:val="206C0B11"/>
    <w:rsid w:val="21F726B1"/>
    <w:rsid w:val="22FF1E06"/>
    <w:rsid w:val="23F17B23"/>
    <w:rsid w:val="24E16D01"/>
    <w:rsid w:val="2755685C"/>
    <w:rsid w:val="27AF30E6"/>
    <w:rsid w:val="2C6A2B59"/>
    <w:rsid w:val="2DB9081B"/>
    <w:rsid w:val="2EBE223B"/>
    <w:rsid w:val="2ED06383"/>
    <w:rsid w:val="33753C6E"/>
    <w:rsid w:val="34225F03"/>
    <w:rsid w:val="372431A9"/>
    <w:rsid w:val="378B2626"/>
    <w:rsid w:val="397B3D3B"/>
    <w:rsid w:val="3A453DB6"/>
    <w:rsid w:val="3B8561E0"/>
    <w:rsid w:val="3BCB4B28"/>
    <w:rsid w:val="3C5A141B"/>
    <w:rsid w:val="3E7A3FF6"/>
    <w:rsid w:val="3F03339E"/>
    <w:rsid w:val="3F6902F3"/>
    <w:rsid w:val="3FE91433"/>
    <w:rsid w:val="404D63DB"/>
    <w:rsid w:val="40606713"/>
    <w:rsid w:val="40DB1452"/>
    <w:rsid w:val="41737C8B"/>
    <w:rsid w:val="424B4AFF"/>
    <w:rsid w:val="44B126A5"/>
    <w:rsid w:val="46807EE0"/>
    <w:rsid w:val="48B3438D"/>
    <w:rsid w:val="4E740A62"/>
    <w:rsid w:val="52AC4215"/>
    <w:rsid w:val="54411272"/>
    <w:rsid w:val="548F2152"/>
    <w:rsid w:val="558E71EB"/>
    <w:rsid w:val="568A7075"/>
    <w:rsid w:val="569E4219"/>
    <w:rsid w:val="571A1A7B"/>
    <w:rsid w:val="57BD306D"/>
    <w:rsid w:val="59226B83"/>
    <w:rsid w:val="59AA59C5"/>
    <w:rsid w:val="5AEF54BF"/>
    <w:rsid w:val="5B3060BC"/>
    <w:rsid w:val="5E316B07"/>
    <w:rsid w:val="5F922570"/>
    <w:rsid w:val="60EE27F2"/>
    <w:rsid w:val="617A7850"/>
    <w:rsid w:val="65AB6F91"/>
    <w:rsid w:val="68E47C6B"/>
    <w:rsid w:val="692403DD"/>
    <w:rsid w:val="696C6B84"/>
    <w:rsid w:val="6AB2229E"/>
    <w:rsid w:val="6B824366"/>
    <w:rsid w:val="6C1F6C8D"/>
    <w:rsid w:val="6D176D30"/>
    <w:rsid w:val="6F161326"/>
    <w:rsid w:val="6F790F01"/>
    <w:rsid w:val="6F8E17AF"/>
    <w:rsid w:val="6FBC61AE"/>
    <w:rsid w:val="72606407"/>
    <w:rsid w:val="72747633"/>
    <w:rsid w:val="728341B0"/>
    <w:rsid w:val="74101D88"/>
    <w:rsid w:val="74561EEC"/>
    <w:rsid w:val="764364A0"/>
    <w:rsid w:val="76B636C0"/>
    <w:rsid w:val="771340C5"/>
    <w:rsid w:val="77BD503B"/>
    <w:rsid w:val="790E548B"/>
    <w:rsid w:val="7A51414C"/>
    <w:rsid w:val="7A682739"/>
    <w:rsid w:val="7AA17C39"/>
    <w:rsid w:val="7C3D3992"/>
    <w:rsid w:val="7C4A6A3D"/>
    <w:rsid w:val="7CE87DA1"/>
    <w:rsid w:val="7D831878"/>
    <w:rsid w:val="7DAF266D"/>
    <w:rsid w:val="7F8017DF"/>
    <w:rsid w:val="7FE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Times New Roman" w:hAnsi="Times New Roman" w:cs="Times New Roman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</w:style>
  <w:style w:type="paragraph" w:customStyle="1" w:styleId="10">
    <w:name w:val="Char Char Char Char"/>
    <w:basedOn w:val="1"/>
    <w:qFormat/>
    <w:uiPriority w:val="0"/>
    <w:rPr>
      <w:rFonts w:ascii="宋体" w:hAnsi="宋体" w:eastAsia="仿宋_GB2312" w:cs="Courier New"/>
      <w:sz w:val="32"/>
      <w:szCs w:val="32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Times New Roma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37</Pages>
  <Words>6863</Words>
  <Characters>9387</Characters>
  <Lines>29</Lines>
  <Paragraphs>8</Paragraphs>
  <TotalTime>25</TotalTime>
  <ScaleCrop>false</ScaleCrop>
  <LinksUpToDate>false</LinksUpToDate>
  <CharactersWithSpaces>11044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2023-03-03T07:48:00Z</dcterms:created>
  <dc:creator>dreamsummit</dc:creator>
  <cp:lastModifiedBy>统计局收发员(tjjsfy)</cp:lastModifiedBy>
  <dcterms:modified xsi:type="dcterms:W3CDTF">2025-10-13T08:05:24Z</dcterms:modified>
  <dc:title>2020年秦淮区国民经济和社会发展统计公报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D6E28D3D2A3B46C9A48631E93AC1C80D_13</vt:lpwstr>
  </property>
  <property fmtid="{D5CDD505-2E9C-101B-9397-08002B2CF9AE}" pid="4" name="KSOTemplateDocerSaveRecord">
    <vt:lpwstr>eyJoZGlkIjoiNmNlYmE4N2FkYzczYmJkYmYzMzU5ODdjYTQ2NTJhMzkiLCJ1c2VySWQiOiI0MzA0MzcyMjIifQ==</vt:lpwstr>
  </property>
</Properties>
</file>