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</w:pPr>
      <w:bookmarkStart w:id="25" w:name="_GoBack"/>
      <w:bookmarkEnd w:id="25"/>
      <w:r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b w:val="0"/>
          <w:bCs/>
          <w:caps w:val="0"/>
          <w:spacing w:val="0"/>
          <w:w w:val="100"/>
          <w:kern w:val="0"/>
          <w:sz w:val="20"/>
          <w:szCs w:val="20"/>
          <w:lang w:val="en-US" w:eastAsia="zh-CN"/>
        </w:rPr>
        <w:t>1．</w:t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instrText xml:space="preserve">TOC \o "1-1" \h \u </w:instrText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_Toc26464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kern w:val="0"/>
          <w:sz w:val="20"/>
          <w:szCs w:val="20"/>
        </w:rPr>
        <w:t>202</w:t>
      </w:r>
      <w:r>
        <w:rPr>
          <w:rFonts w:hint="eastAsia" w:ascii="Times New Roman" w:hAnsi="Times New Roman" w:cs="宋体"/>
          <w:kern w:val="0"/>
          <w:sz w:val="20"/>
          <w:szCs w:val="20"/>
          <w:lang w:val="en-US" w:eastAsia="zh-CN"/>
        </w:rPr>
        <w:t>4</w:t>
      </w:r>
      <w:r>
        <w:rPr>
          <w:rFonts w:hint="eastAsia" w:ascii="Times New Roman" w:hAnsi="Times New Roman" w:eastAsia="宋体" w:cs="宋体"/>
          <w:kern w:val="0"/>
          <w:sz w:val="20"/>
          <w:szCs w:val="20"/>
        </w:rPr>
        <w:t>年秦淮区国民经济和社会发展统计公报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_Toc26464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_Toc12582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地区生产总值及构成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_Toc12582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_Toc11970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全社会固定资产投资完成情况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_Toc11970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_Toc11099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房地产开发经营情况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_Toc11099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_Toc698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社零及贸易业销售情况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_Toc698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_Toc19662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规模以上服务业主要经济指标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_Toc19662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_Toc5868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规模以上工业产值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_Toc5868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8．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_Toc13487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规模以上工业企业经济效益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_Toc13487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15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9．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_Toc26998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开放型经济完成情况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_Toc26998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16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10．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_Toc22602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招商引资完成情况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_Toc22602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17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11．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_Toc1666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就业和社会保障情况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_Toc1666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18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_Toc19004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环境保护工作情况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_Toc19004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_Toc18636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民政优抚、社会救济工作情况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_Toc18636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_Toc21264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卫生健康工作情况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_Toc21264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_Toc14556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信访工作完成情况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_Toc14556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_Toc30304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政府事务办理概况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_Toc30304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_Toc15113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科技创新完成情况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_Toc15113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18．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_Toc22437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全区户籍人口变动情况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_Toc22437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25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19．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_Toc23418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全区分街道户籍人口情况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_Toc23418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26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20．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_Toc14000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各区地区生产总值完成情况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_Toc14000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27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default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21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．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各区一般公共预算收入完成情况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28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instrText xml:space="preserve"> HYPERLINK \l _Toc21984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highlight w:val="none"/>
          <w:lang w:val="en-US" w:eastAsia="zh-CN" w:bidi="ar"/>
        </w:rPr>
        <w:t>各区固定资产投资额完成情况</w:t>
      </w:r>
      <w:r>
        <w:rPr>
          <w:rFonts w:hint="eastAsia" w:ascii="Times New Roman" w:hAnsi="Times New Roman" w:eastAsia="宋体" w:cs="宋体"/>
          <w:sz w:val="20"/>
          <w:szCs w:val="20"/>
          <w:highlight w:val="none"/>
        </w:rPr>
        <w:tab/>
      </w:r>
      <w:r>
        <w:rPr>
          <w:rFonts w:hint="eastAsia" w:ascii="Times New Roman" w:hAnsi="Times New Roman" w:cs="宋体"/>
          <w:sz w:val="20"/>
          <w:szCs w:val="20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end"/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9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default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23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．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各区实际使用外资完成情况</w:t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30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  <w:highlight w:val="none"/>
          <w:lang w:val="en-US" w:eastAsia="zh-CN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24．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instrText xml:space="preserve"> HYPERLINK \l _Toc30472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highlight w:val="none"/>
          <w:lang w:val="en-US" w:eastAsia="zh-CN" w:bidi="ar"/>
        </w:rPr>
        <w:t>各区</w:t>
      </w:r>
      <w:r>
        <w:rPr>
          <w:rFonts w:hint="eastAsia" w:ascii="Times New Roman" w:hAnsi="Times New Roman" w:cs="宋体"/>
          <w:bCs/>
          <w:i w:val="0"/>
          <w:iCs w:val="0"/>
          <w:kern w:val="0"/>
          <w:sz w:val="20"/>
          <w:szCs w:val="20"/>
          <w:highlight w:val="none"/>
          <w:lang w:val="en-US" w:eastAsia="zh-CN" w:bidi="ar"/>
        </w:rPr>
        <w:t>进出口总额</w:t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highlight w:val="none"/>
          <w:lang w:val="en-US" w:eastAsia="zh-CN" w:bidi="ar"/>
        </w:rPr>
        <w:t>完成情况</w:t>
      </w:r>
      <w:r>
        <w:rPr>
          <w:rFonts w:hint="eastAsia" w:ascii="Times New Roman" w:hAnsi="Times New Roman" w:eastAsia="宋体" w:cs="宋体"/>
          <w:sz w:val="20"/>
          <w:szCs w:val="20"/>
          <w:highlight w:val="none"/>
        </w:rPr>
        <w:tab/>
      </w:r>
      <w:r>
        <w:rPr>
          <w:rFonts w:hint="eastAsia" w:ascii="Times New Roman" w:hAnsi="Times New Roman" w:cs="宋体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  <w:highlight w:val="none"/>
        </w:rPr>
        <w:fldChar w:fldCharType="end"/>
      </w: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highlight w:val="none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_Toc9176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各区社会消费品零售额完成情况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_Toc9176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_Toc1859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各区城镇居民人均可支配收入完成情况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_Toc1859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_Toc3935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各区全体居民人均可支配收入完成情况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_Toc3935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2" w:beforeLines="100" w:after="312" w:afterLines="100" w:line="40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kern w:val="0"/>
          <w:sz w:val="24"/>
          <w:szCs w:val="24"/>
        </w:rPr>
        <w:sectPr>
          <w:pgSz w:w="6803" w:h="11905"/>
          <w:pgMar w:top="1417" w:right="850" w:bottom="1134" w:left="85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2" w:beforeLines="100" w:after="312" w:afterLines="100" w:line="44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caps w:val="0"/>
          <w:spacing w:val="0"/>
          <w:w w:val="100"/>
          <w:kern w:val="0"/>
          <w:sz w:val="24"/>
          <w:szCs w:val="24"/>
        </w:rPr>
      </w:pPr>
      <w:bookmarkStart w:id="0" w:name="_Toc26464"/>
      <w:r>
        <w:rPr>
          <w:rFonts w:hint="eastAsia" w:ascii="Times New Roman" w:hAnsi="Times New Roman" w:eastAsia="方正小标宋_GBK" w:cs="宋体"/>
          <w:caps w:val="0"/>
          <w:spacing w:val="0"/>
          <w:w w:val="100"/>
          <w:kern w:val="0"/>
          <w:sz w:val="24"/>
          <w:szCs w:val="24"/>
        </w:rPr>
        <w:t>2024年秦淮区国民经济和社会发展统计公报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2024年，全区上下坚持以习近平新时代中国特色社会主义思想为指导，认真落实国家、省、市各项决策部署，坚持稳中求进工作总基调，完整准确全面贯彻新发展理念，加快构建新发展格局，扎实推进高质量发展，经济运行总体平稳，新质生产力稳步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提升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，民生保障措施有力，生态环境持续改善。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一、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综合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经济总量稳步增长。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初步核算，全区全年实现地区生产总值1540.17亿元，按可比价格计算，比上年增长4.7%。分产业看，第二产业增加值90.50亿元，增长1.9%，占GDP比重5.9%；第三产业增加值1449.67亿元，增长4.8%，占GDP比重94.1%。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市场主体发展壮大。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全年经工商登记新设立市场主体1.62万户，其中新设立企业0.55万户，新设立个体经营户1.07万户。年末市场主体累计18.30万户，其中企业6.28万户，个体经营户12.02万户。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0000FF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就业创业保障有力。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城镇新增就业2.24万人、城镇失业人员就业1.2万人、援助困难人员就业1356人。培育自主创业3771人、培育离校5年内高校毕业生新创业934人。开展补贴性职业技能培训1.02万人次、开展学徒制培训216人、开发高质量就业见习岗位数3020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财政收支结构优化。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全区财政总收入219.14亿元，一般公共预算收入112.13亿元，比上年增长1%，其中税收收入99.94亿元，减少4.6%。一般公共预算支出88.05亿元，比上年下降5.4%。其中，社会保障和就业支出20.35亿元，增长3.1%；教育支出27.35亿元，下降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1.8%；卫生健康支出4.90亿元，下降27.4%；科学技术支出2.15亿元，下降13.7%；农林水支出0.33亿元，增长50%。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二、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工业产值较快增长。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全区实现规模以上工业总产值180.81亿元，同比增长5.9%。分轻重工业看，轻工业产值5.27亿元，同比下降56.9%；重工业产值175.54亿元，同比增长10.8%。规模以上工业企业实现利税总额15.53亿元，同比增长1.5%，利润总额12.46亿元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，同比增长14.0%。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建筑业企业产值略降。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2024年全区资质以上建筑业企业128家，其中一级资质27家，二级资质42家，三级及其他资质59家。全年实现建筑业总产值156.3亿元，同比减少1.7%。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三、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固定资产投资和房地产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投资增速保持稳定。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全区固定资产投资同比增长4.1%，其中完成服务业投资379.98亿元，同比增长4.4%，工业投资3.12亿元，同比下降22.7%。全年固定资产投资项目共220个，其中固定资产项目176个，房地产项目44个。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color w:val="auto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房地产销售面积减少。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2024年全年完成房地产开发投资305.6亿元，同比增长11.2%。其中住宅投资222.2亿元，同比增长29.2%。全年商品房销售面积65.56万平方米，同比减少8.1%，其中住宅销售面积60.7万平方米，同比减少17.8%。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四、国内贸易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消费品市场平稳增长。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全区实现全社会消费品零售总额1103.0亿元，同比增长3.8%。其中限上零售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额822.8亿元，同比增长2.0%。全区实现全口径贸易业销售额3748.4亿元，同比增长5.3%，其中批发业销售额2656.2亿元，同比增长5.1%，零售业销售额920.4亿元，同比增长6.1%，住宿业销售额18.8亿元，同比下降4.4%，餐饮业销售额153.1亿元，同比增长5.1%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五、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开放型经济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color w:val="auto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外贸规模基本稳定。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完成外贸进出口759.1亿元，同比下降0.1%。其中进口300.1亿元，下降10.3%；出口459.0亿元，增长8.0%。全区实际利用外资9531.95万美元，同比下降67.3%。全年吸收外商直接投资新设立企业33家，新增合同外资8335万美元。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六、科学技术和教育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科技创新成果丰硕。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新增专利授权量4684件，其中新增发明专利授权2762件，有效发明专利拥有量达14736件，高维持年限（十年以上）发明专利数量达2375件。全年共1244家企业通过科技型中小企业评价。技术合同登记申报额达156.66亿元。189家企业通过高新技术企业认定，全区高新技术企业总数达608家。3家省级工程技术研究中心顺利通过验收，新建市级工程技术研究中心12家，16家企业入选市级工程技术研究中心培育库。24家企业入选省产研学合作项目，物联网产业全年营收超260亿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教育事业稳步推进。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现有普通高中5所、初中13所（含中华初中部、一中初中部）、小学39所（含2所特殊教育学校）、幼儿园67所（80个办学点）、高等职业学校1所，教师发展中心1所、少年宫（少年儿童校外活动基地）1所、开放大学1所。全年新增“全国教育系统先进工作者”1人、“全国优秀教师”1人，“江苏教师年度人物”1人、“苏教名家”培养对象1人、省名校长工作室主持人1人，省教学名师2人，“江苏省模范教师”1人，“宁教名家”培养对象1人，南京市教学名师5人，南京市名师工作室主持人2人，南京市中青年拔尖人才2人、正高级教师7人。全区学前教育普惠率91.3%，省市优质园幼儿占比97.0%以上。学前教育普及普惠监测达标率达100%，全市第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七、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文旅、卫生和体育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文旅服务能力增强。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共有市级以上文化产业园区14家，其中国家级1家，省级2家（1家同时为国家级），市级13家（1家同时为省级）。全区共有文化馆1个，公共图书馆1个，博物馆12个，市级以上文物保护单位95处。达到省级标准的社区综合性文化服务中心105个。全年开展线下文化活动1800余场，服务人次逾30万人。全年游客接待量突破8000万人次，同比增长20%，总收入830亿元，同比增长11%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0000FF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卫生健康服务水平提升。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现有区属医疗卫生单位17家，其中现有二级医院2家、社区卫生服务中心12家、公共卫生单位3家；全区各类卫生机构拥有病床11981张，其中医院拥有病床10575张。共有卫生技术人员18963人，其中执业医师、执业助理医师7479人，注册护士8618人，疾病预防控制中心卫生技术人员65人，妇幼卫生保健机构卫生技术人员1980人（含市妇幼1933人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体育事业全面发展。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参加省级及以上比赛获10金19银5铜的成绩；组织承办2024年南京市第二十三届运动会速度轮滑、射箭、棋类、蹦技等4项赛事；秦淮区列23届市运会人才输送奖一等奖第一名、市运会突出贡献奖一等奖第一名。举办2024世界斯诺克国际锦标赛、世界华人狮王争霸赛、全国室外射箭锦标赛、中国街舞大赛（南京站）等大型国内外赛事。全年开展秦淮区全民健身运动会、社区运动会等各类健身活动750余次。率先在全市开展健身技能培训进校园活动，全年共完成24场。完成新建4片灯光球场，8公里健身步道，更新10套室外健身器材等民生实事项目。完成4700人免费国民体质测试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八、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环境保护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eastAsia="zh-CN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生态环境质量持续改善。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全年空气质量优良天数309天，优良率84.4%，较去年上升3个百分点，PM2.5平均浓度28.9微克/立方米，同比上升4.7%；降水77场，其中酸雨35场，酸雨率45.4%，平均pH值为5.59。2024年秦淮区降尘均值为2.70吨/平方公里·月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2024年全区重点断面水环境质量考核达标率100%。国考七桥瓮断面水质年均值为Ⅲ类，市考铁窗棂、西水关、凤台桥、解放南路桥、石杨路桥、双麒路桥、过兵桥断面年均值均达到或优于考核目标，其中铁窗棂、凤台桥、解放南路桥、双麒路桥、过兵桥5个断面年均值达到Ⅲ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全年区域环境噪声监测点位22个，昼间均值为54.9分贝，同比上升3.2dB。交通噪声共监测57条路，平均值67.4分贝，同比持平。其中达标53条，达标率93.0%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  <w:lang w:val="en-US" w:eastAsia="zh-CN"/>
        </w:rPr>
        <w:t>九、</w:t>
      </w: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人口、人民生活和社会保障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pacing w:val="0"/>
          <w:w w:val="100"/>
          <w:kern w:val="0"/>
          <w:sz w:val="20"/>
          <w:szCs w:val="20"/>
        </w:rPr>
        <w:t>常住人口温和增长。</w:t>
      </w:r>
      <w:r>
        <w:rPr>
          <w:rFonts w:hint="eastAsia" w:ascii="Times New Roman" w:hAnsi="Times New Roman" w:eastAsiaTheme="minorEastAsia" w:cstheme="minorEastAsia"/>
          <w:caps w:val="0"/>
          <w:color w:val="auto"/>
          <w:spacing w:val="0"/>
          <w:w w:val="100"/>
          <w:kern w:val="0"/>
          <w:sz w:val="20"/>
          <w:szCs w:val="20"/>
        </w:rPr>
        <w:t>年末常住人口74.33万人，比上年末增长0.05%。年末全区户籍人口66.93万人，总户数26.48万户。按性别分：男性32.36万人，女性34.57万人。男女性别比93.6：100（女性为100）。按年龄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结构分，0-17岁8.69万人，18-34岁9.28万人，35-59岁25.38万人，60岁以上23.59万人。全年出生0.29万人，出生率4.30‰，死亡0.54万人，死亡率8.00‰，自然增长率为-3.70‰。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居民收支平稳增长。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全区城镇居民人均可支配收入84445元，同比增长4.3%。城镇居民人均生活消费支出49261元，同比增长3.6%。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社会保障有力有效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sz w:val="20"/>
          <w:szCs w:val="20"/>
        </w:rPr>
        <w:t>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年末参加企业职工基本养老保险人数37.1万人，参加城镇职工基本医疗保险人数39.0万人，城乡居民基本医疗保险人数11.6万人，参加工伤保险人数37.7万人，城乡居民基本养老保险缴费人数2696人，职业年金计发人数2798人，新增参保单位户数3035户，企业退休人员周期免费体检6.97万人。2024年度开展劳动保障书面审查8887家，受理劳动者举报投诉共计8860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政务服务能力提升。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办理审批和其他行政权力事项近5.5万件。扎实推进“高效办成一件事”，推行企业信息变更“一件事”和企业注销登记“一件事”近5000件；升级双视频“聊天办”智能政务导办服务，上线AI大模型，累计接受咨询8万余次，发送短信3.6万余条，电话回访满意度近88%。优化“政务管家”涉企帮办代办，全年提供代办服务2000余次。扩大跨区域办理“朋友圈”，累计与全国10省24市（县、区）签订政务服务“异地通办”协议，实现220个事项“异地通办”。全年办理12345工单18.18万件，综合满意率达95%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[1]本公报使用的数据为快报数。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[2]地区生产总值、规模以上工业增加值及其分类项目增长速度按可比价计算，为实际增长速度；其他指标除特殊说明外，按现价计算，为名义增长速度。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[3]部分数据因四舍五入问题，存在总计与分项合计不等的情况。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[4]部分指标数据因统计口径调整，较上年不具可比性。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" w:name="_Toc1258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地区生产总值及构成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873"/>
        <w:gridCol w:w="900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现价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可比价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占GDP比重（%）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国内生产总值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1540.17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建筑业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批发和零售业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批发业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零售业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交通运输、仓储和邮政业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住宿和餐饮业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住宿业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餐饮业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房地产业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其他营利性服务业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11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租赁和商务服务业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科学研究和技术服务业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11"/>
                <w:w w:val="85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文化、体育和娱乐业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非营利性服务业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11"/>
                <w:w w:val="85"/>
                <w:kern w:val="0"/>
                <w:sz w:val="20"/>
                <w:szCs w:val="20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卫生和社会工作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11"/>
                <w:w w:val="82"/>
                <w:kern w:val="0"/>
                <w:sz w:val="20"/>
                <w:szCs w:val="20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" w:name="_Toc11970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全社会固定资产投资完成情况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459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#房地产投资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#服务业投资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#工业投资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#高技术产业投资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3" w:name="_Toc11099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房地产开发经营情况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单位：万元、平方米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781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3056228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商品房屋投资额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1004573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土地开发投资额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2051655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、按工程用途分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2221752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230783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236998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366695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、房屋建筑面积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5444216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3047422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828614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726028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、商品房销售面积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655633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607891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、房屋销售额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2645300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2530921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4" w:name="_Toc69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社零及贸易业销售情况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104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全区社会消费品零售总额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限额以上社会消费品零售总额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822.84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全区贸易业限额以上销售额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3114.71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其中：批发业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2263.74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零售业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699.42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住宿业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餐饮业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134.79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5" w:name="_Toc1966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规模以上服务业主要经济指标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978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     行业类别 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134.07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531.04</w:t>
            </w: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t>注：规上服务业为1-11月数据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6" w:name="_Toc586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规模以上工业产值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50"/>
        <w:gridCol w:w="820"/>
        <w:gridCol w:w="743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工业总产值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180.81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1、轻工业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重工业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175.54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2、国有工业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集体工业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股份制工业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外商及港澳台投资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其他经济类型企业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3、总计中：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国有控股企业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私营企业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4、大中型企业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126.28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5、高技术行业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工业销售产值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181.80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#出口交货值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工业产销率（%）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7" w:name="_Toc13487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规模以上工业企业经济效益</w:t>
      </w:r>
      <w:bookmarkEnd w:id="7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76"/>
        <w:gridCol w:w="1239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企业单位数</w:t>
            </w:r>
          </w:p>
        </w:tc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#亏损企业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实现利税总额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#应交增值税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亏损企业亏损额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流动资产合计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应收帐款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产成品存货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平均用工人数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8" w:name="_Toc2699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开放型经济完成情况</w:t>
      </w:r>
      <w:bookmarkEnd w:id="8"/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859"/>
        <w:gridCol w:w="1268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实际使用外资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9531.95</w:t>
            </w: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地方外贸进出口总额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759.1</w:t>
            </w: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进口总额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300.1</w:t>
            </w: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出口总额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459.0</w:t>
            </w: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9" w:name="_Toc2260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招商引资完成情况</w:t>
      </w:r>
      <w:bookmarkEnd w:id="9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831"/>
        <w:gridCol w:w="750"/>
        <w:gridCol w:w="887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目标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完成进度（%）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实际投资总额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招引项目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开工/运营项目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大体量项目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标志性总部项目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标志性外资项目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0" w:name="_Toc166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就业和社会保障情况</w:t>
      </w:r>
      <w:bookmarkEnd w:id="10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695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就业和社会保障情况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城镇新增就业人数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城镇失业人员就业人数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就业困难人员就业人数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支持离校5年内高校毕业生新创业人数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支持成功自主创业人数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城乡居民基本养老保险缴费人数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企业退休人员周期免费体检人数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新增参保单位户数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受理劳动者举报投诉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劳动保障书面审查单位数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补贴性职业技能培训人数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新增数字技能人才数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新型学徒制培训人数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1" w:name="_Toc1900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环境保护工作情况</w:t>
      </w:r>
      <w:bookmarkEnd w:id="11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238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环境保护现场监督检查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污染源监测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地表水监测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施工工地现场检查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降水监测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降尘监测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2" w:name="_Toc1863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民政优抚、社会救济工作情况</w:t>
      </w:r>
      <w:bookmarkEnd w:id="12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913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最低生活保障情况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城镇居民最低生活保障人次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城镇居民最低生活保障季末户数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支出城镇居民最低生活保障金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社区服务情况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社区公共服务站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街道市民服务中心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区级社区服务中心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居家养老服务中心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社会福利单位情况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季末收养人数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民间组织情况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民非登记数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3" w:name="_Toc2126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卫生健康工作情况</w:t>
      </w:r>
      <w:bookmarkEnd w:id="13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52"/>
        <w:gridCol w:w="1005"/>
        <w:gridCol w:w="111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门（急）诊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出院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社区卫生服务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社区门诊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计划免疫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医疗机构监督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办理健康证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公共场所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计划生育政策法规情况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办理生育登记证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发放退休职工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一次性奖励金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发放独生子女父母奖励金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四项手术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药具发放情况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安全套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外用模（冻）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4" w:name="_Toc1455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信访工作完成情况</w:t>
      </w:r>
      <w:bookmarkEnd w:id="14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64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受理群众来信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件（次）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接待群众来访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重复访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5" w:name="_Toc3030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政府事务办理概况</w:t>
      </w:r>
      <w:bookmarkEnd w:id="15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85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市、区长信箱办理情况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87" w:hRule="atLeast"/>
          <w:jc w:val="center"/>
        </w:trPr>
        <w:tc>
          <w:tcPr>
            <w:tcW w:w="3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书记、区长信箱受理件数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政务大厅工作情况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3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政务大厅受理件数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3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6" w:name="_Toc15113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科技创新完成情况</w:t>
      </w:r>
      <w:bookmarkEnd w:id="16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296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净增高新技术企业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科技型中小企业入库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累计新研孵化引进企业数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新增市级工程技术研究中心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7" w:name="_Toc22437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全区户籍人口变动情况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单位：户、人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022"/>
        <w:gridCol w:w="1391"/>
        <w:gridCol w:w="900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人口自然增长（‰）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人口变动情况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总户数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264777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669317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323624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93.62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8" w:name="_Toc2341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全区分街道户籍人口情况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单位：户、人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639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街道名称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总户数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总人口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264777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秦虹街道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夫子庙街道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双塘街道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中华门街道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五老村街道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洪武路街道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大光路街道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月牙湖街道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朝天宫街道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9" w:name="_Toc14000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各区地区生产总值完成情况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18"/>
        <w:gridCol w:w="1420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18500.81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1368.55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1540.17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1437.50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2140.40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592.33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1843.15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1163.92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3181.14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684.18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1110.60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627.56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2790.46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0" w:name="_Toc2198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09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1596.02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184.78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148.22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245.67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各区固定资产投资额完成情况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82"/>
        <w:gridCol w:w="1514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-44.9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1" w:name="_Toc3047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各区实际使用外资完成情况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</w:t>
      </w:r>
      <w:r>
        <w:rPr>
          <w:rFonts w:hint="eastAsia" w:ascii="Times New Roman" w:hAnsi="Times New Roman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美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7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各区进出口总额完成情况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7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5459.2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853.3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1198.7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2" w:name="_Toc917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各区社会消费品零售额完成情况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83"/>
        <w:gridCol w:w="1537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8552.75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1133.82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1103.01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540.24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1289.32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150.53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729.38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1128.32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338.78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534.85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243.92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809.51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3" w:name="_Toc1859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各区城镇居民人均可支配收入完成情况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49"/>
        <w:gridCol w:w="1489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83084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91926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81339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91490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76920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81543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79581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74498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72645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81072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4" w:name="_Toc3935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各区全体居民人均可支配收入完成情况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43"/>
        <w:gridCol w:w="1520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75180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91926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84445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81339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91490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63840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81543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68371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58769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58327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58853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81072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" w:lineRule="exact"/>
        <w:ind w:left="0" w:firstLine="402" w:firstLineChars="200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sectPr>
      <w:footerReference r:id="rId3" w:type="default"/>
      <w:pgSz w:w="6803" w:h="11905"/>
      <w:pgMar w:top="1417" w:right="850" w:bottom="1134" w:left="85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YmE4N2FkYzczYmJkYmYzMzU5ODdjYTQ2NTJhMzkifQ=="/>
  </w:docVars>
  <w:rsids>
    <w:rsidRoot w:val="00DF2E11"/>
    <w:rsid w:val="00001247"/>
    <w:rsid w:val="0001254B"/>
    <w:rsid w:val="000154D9"/>
    <w:rsid w:val="00017AF6"/>
    <w:rsid w:val="000275DC"/>
    <w:rsid w:val="00031E1D"/>
    <w:rsid w:val="00035AB3"/>
    <w:rsid w:val="000444E3"/>
    <w:rsid w:val="0004673C"/>
    <w:rsid w:val="00064047"/>
    <w:rsid w:val="000648FC"/>
    <w:rsid w:val="00075F21"/>
    <w:rsid w:val="00076BC7"/>
    <w:rsid w:val="00086162"/>
    <w:rsid w:val="0009327D"/>
    <w:rsid w:val="000A1880"/>
    <w:rsid w:val="000D5DC0"/>
    <w:rsid w:val="000D71D8"/>
    <w:rsid w:val="001263D6"/>
    <w:rsid w:val="00130294"/>
    <w:rsid w:val="00132216"/>
    <w:rsid w:val="00152F2E"/>
    <w:rsid w:val="00156284"/>
    <w:rsid w:val="0018146E"/>
    <w:rsid w:val="001937DC"/>
    <w:rsid w:val="001B1040"/>
    <w:rsid w:val="001B6E8D"/>
    <w:rsid w:val="001C7D52"/>
    <w:rsid w:val="001E4FAC"/>
    <w:rsid w:val="00210AAF"/>
    <w:rsid w:val="002226B4"/>
    <w:rsid w:val="0022396F"/>
    <w:rsid w:val="00223CF3"/>
    <w:rsid w:val="00227103"/>
    <w:rsid w:val="002307FB"/>
    <w:rsid w:val="002377F5"/>
    <w:rsid w:val="00244C84"/>
    <w:rsid w:val="002660BE"/>
    <w:rsid w:val="002740DC"/>
    <w:rsid w:val="00275D93"/>
    <w:rsid w:val="002838A0"/>
    <w:rsid w:val="00284DA0"/>
    <w:rsid w:val="00295643"/>
    <w:rsid w:val="002A3E3D"/>
    <w:rsid w:val="002C2351"/>
    <w:rsid w:val="002C378A"/>
    <w:rsid w:val="002C5F89"/>
    <w:rsid w:val="002D1D88"/>
    <w:rsid w:val="002E447A"/>
    <w:rsid w:val="002E62B2"/>
    <w:rsid w:val="00300457"/>
    <w:rsid w:val="00302799"/>
    <w:rsid w:val="0030664B"/>
    <w:rsid w:val="00312EC3"/>
    <w:rsid w:val="0031395D"/>
    <w:rsid w:val="00323FEC"/>
    <w:rsid w:val="003421FE"/>
    <w:rsid w:val="003560E8"/>
    <w:rsid w:val="00375706"/>
    <w:rsid w:val="00396807"/>
    <w:rsid w:val="003A5513"/>
    <w:rsid w:val="003A7C69"/>
    <w:rsid w:val="003C4B55"/>
    <w:rsid w:val="003E09C5"/>
    <w:rsid w:val="003E31E6"/>
    <w:rsid w:val="003E4D2D"/>
    <w:rsid w:val="0040387D"/>
    <w:rsid w:val="00411D71"/>
    <w:rsid w:val="00415230"/>
    <w:rsid w:val="00435AD8"/>
    <w:rsid w:val="00476380"/>
    <w:rsid w:val="004B7D63"/>
    <w:rsid w:val="004C1055"/>
    <w:rsid w:val="004E0B99"/>
    <w:rsid w:val="004F2EDA"/>
    <w:rsid w:val="00512B79"/>
    <w:rsid w:val="00517D07"/>
    <w:rsid w:val="00527BD9"/>
    <w:rsid w:val="00574065"/>
    <w:rsid w:val="00587EB1"/>
    <w:rsid w:val="00595AD4"/>
    <w:rsid w:val="005A5188"/>
    <w:rsid w:val="005A7619"/>
    <w:rsid w:val="005C4FBC"/>
    <w:rsid w:val="00600030"/>
    <w:rsid w:val="00616A24"/>
    <w:rsid w:val="0061723C"/>
    <w:rsid w:val="00635D72"/>
    <w:rsid w:val="00640269"/>
    <w:rsid w:val="00646CC4"/>
    <w:rsid w:val="006555B1"/>
    <w:rsid w:val="00656942"/>
    <w:rsid w:val="00660BEF"/>
    <w:rsid w:val="00671605"/>
    <w:rsid w:val="0068582F"/>
    <w:rsid w:val="00685E6B"/>
    <w:rsid w:val="00690205"/>
    <w:rsid w:val="006C69FB"/>
    <w:rsid w:val="006D0559"/>
    <w:rsid w:val="006D29DC"/>
    <w:rsid w:val="006D7281"/>
    <w:rsid w:val="006E1E22"/>
    <w:rsid w:val="006F286D"/>
    <w:rsid w:val="006F5CB0"/>
    <w:rsid w:val="00704FEC"/>
    <w:rsid w:val="00745C98"/>
    <w:rsid w:val="00777CBE"/>
    <w:rsid w:val="00787EC9"/>
    <w:rsid w:val="007A6080"/>
    <w:rsid w:val="007A6D68"/>
    <w:rsid w:val="007B2DE0"/>
    <w:rsid w:val="007B3CF8"/>
    <w:rsid w:val="007B591C"/>
    <w:rsid w:val="007C6D92"/>
    <w:rsid w:val="00801369"/>
    <w:rsid w:val="00810357"/>
    <w:rsid w:val="00811B71"/>
    <w:rsid w:val="00820643"/>
    <w:rsid w:val="0083494A"/>
    <w:rsid w:val="008424C0"/>
    <w:rsid w:val="00850ADF"/>
    <w:rsid w:val="00851FEB"/>
    <w:rsid w:val="0085301F"/>
    <w:rsid w:val="00860AD1"/>
    <w:rsid w:val="00867F15"/>
    <w:rsid w:val="00874F01"/>
    <w:rsid w:val="00882F6F"/>
    <w:rsid w:val="00883D0F"/>
    <w:rsid w:val="00886A9F"/>
    <w:rsid w:val="00894A7F"/>
    <w:rsid w:val="008A1E10"/>
    <w:rsid w:val="008A3005"/>
    <w:rsid w:val="008B2891"/>
    <w:rsid w:val="008C53BA"/>
    <w:rsid w:val="00904BCC"/>
    <w:rsid w:val="00916020"/>
    <w:rsid w:val="00920CD4"/>
    <w:rsid w:val="00932355"/>
    <w:rsid w:val="00941ACE"/>
    <w:rsid w:val="00946547"/>
    <w:rsid w:val="00974F6F"/>
    <w:rsid w:val="00982A91"/>
    <w:rsid w:val="00984E78"/>
    <w:rsid w:val="00992A45"/>
    <w:rsid w:val="009B58B7"/>
    <w:rsid w:val="009C46DE"/>
    <w:rsid w:val="009D151A"/>
    <w:rsid w:val="00A15E88"/>
    <w:rsid w:val="00A16B53"/>
    <w:rsid w:val="00A5284B"/>
    <w:rsid w:val="00A53192"/>
    <w:rsid w:val="00A6270F"/>
    <w:rsid w:val="00A8083D"/>
    <w:rsid w:val="00A837E7"/>
    <w:rsid w:val="00A930DD"/>
    <w:rsid w:val="00A97751"/>
    <w:rsid w:val="00AC47E4"/>
    <w:rsid w:val="00AD295E"/>
    <w:rsid w:val="00AD7898"/>
    <w:rsid w:val="00B05460"/>
    <w:rsid w:val="00B411AD"/>
    <w:rsid w:val="00B41961"/>
    <w:rsid w:val="00B54E04"/>
    <w:rsid w:val="00B627B5"/>
    <w:rsid w:val="00B76CA9"/>
    <w:rsid w:val="00B82747"/>
    <w:rsid w:val="00B979F2"/>
    <w:rsid w:val="00BA35CA"/>
    <w:rsid w:val="00BB017F"/>
    <w:rsid w:val="00BB1DA6"/>
    <w:rsid w:val="00BB4CA5"/>
    <w:rsid w:val="00BB5847"/>
    <w:rsid w:val="00BF6727"/>
    <w:rsid w:val="00C057D8"/>
    <w:rsid w:val="00C11274"/>
    <w:rsid w:val="00C45FB3"/>
    <w:rsid w:val="00C56180"/>
    <w:rsid w:val="00C60DE5"/>
    <w:rsid w:val="00C92553"/>
    <w:rsid w:val="00CA22D4"/>
    <w:rsid w:val="00CB63FF"/>
    <w:rsid w:val="00CF00FA"/>
    <w:rsid w:val="00D4327D"/>
    <w:rsid w:val="00D46DFE"/>
    <w:rsid w:val="00D70CE7"/>
    <w:rsid w:val="00D720D4"/>
    <w:rsid w:val="00D82863"/>
    <w:rsid w:val="00D8314A"/>
    <w:rsid w:val="00D86C67"/>
    <w:rsid w:val="00D87B86"/>
    <w:rsid w:val="00D90C96"/>
    <w:rsid w:val="00D90EB1"/>
    <w:rsid w:val="00DA1D13"/>
    <w:rsid w:val="00DA3C9A"/>
    <w:rsid w:val="00DA5A3B"/>
    <w:rsid w:val="00DA7D78"/>
    <w:rsid w:val="00DB7E04"/>
    <w:rsid w:val="00DC0158"/>
    <w:rsid w:val="00DC6D3D"/>
    <w:rsid w:val="00DD5EEB"/>
    <w:rsid w:val="00DF17B7"/>
    <w:rsid w:val="00DF2E11"/>
    <w:rsid w:val="00E02634"/>
    <w:rsid w:val="00E07E48"/>
    <w:rsid w:val="00E1210F"/>
    <w:rsid w:val="00E210B6"/>
    <w:rsid w:val="00E27168"/>
    <w:rsid w:val="00E3786C"/>
    <w:rsid w:val="00E52211"/>
    <w:rsid w:val="00E612F7"/>
    <w:rsid w:val="00E71FF6"/>
    <w:rsid w:val="00E720B9"/>
    <w:rsid w:val="00E84DF9"/>
    <w:rsid w:val="00EB0E88"/>
    <w:rsid w:val="00ED41BC"/>
    <w:rsid w:val="00ED4902"/>
    <w:rsid w:val="00ED6891"/>
    <w:rsid w:val="00EE149E"/>
    <w:rsid w:val="00EF1742"/>
    <w:rsid w:val="00EF6CAF"/>
    <w:rsid w:val="00EF7885"/>
    <w:rsid w:val="00F012EA"/>
    <w:rsid w:val="00F02C51"/>
    <w:rsid w:val="00F13574"/>
    <w:rsid w:val="00F14661"/>
    <w:rsid w:val="00F2168B"/>
    <w:rsid w:val="00F220F5"/>
    <w:rsid w:val="00F42D1F"/>
    <w:rsid w:val="00F5711F"/>
    <w:rsid w:val="00F70D34"/>
    <w:rsid w:val="00F76A8D"/>
    <w:rsid w:val="00F83DB7"/>
    <w:rsid w:val="00FA1169"/>
    <w:rsid w:val="00FA1697"/>
    <w:rsid w:val="00FA5175"/>
    <w:rsid w:val="00FB054B"/>
    <w:rsid w:val="00FD38CA"/>
    <w:rsid w:val="00FE14FA"/>
    <w:rsid w:val="00FE1F93"/>
    <w:rsid w:val="00FE6D32"/>
    <w:rsid w:val="00FE6DEC"/>
    <w:rsid w:val="02261695"/>
    <w:rsid w:val="026A2DC5"/>
    <w:rsid w:val="03861C60"/>
    <w:rsid w:val="03D746CC"/>
    <w:rsid w:val="051B61E0"/>
    <w:rsid w:val="052D1065"/>
    <w:rsid w:val="05A14F91"/>
    <w:rsid w:val="063640D1"/>
    <w:rsid w:val="06407383"/>
    <w:rsid w:val="067B176A"/>
    <w:rsid w:val="068B6FB2"/>
    <w:rsid w:val="06CC603E"/>
    <w:rsid w:val="091615E2"/>
    <w:rsid w:val="0E9A6317"/>
    <w:rsid w:val="0FEA06DC"/>
    <w:rsid w:val="10E50428"/>
    <w:rsid w:val="13F37300"/>
    <w:rsid w:val="14E37374"/>
    <w:rsid w:val="190743E6"/>
    <w:rsid w:val="196E49C7"/>
    <w:rsid w:val="1AA475A6"/>
    <w:rsid w:val="1B481CDF"/>
    <w:rsid w:val="1B58131F"/>
    <w:rsid w:val="1B8F3DB2"/>
    <w:rsid w:val="1BCB46BE"/>
    <w:rsid w:val="1C272A2D"/>
    <w:rsid w:val="1CCD1E3D"/>
    <w:rsid w:val="1D24677C"/>
    <w:rsid w:val="1F061F30"/>
    <w:rsid w:val="206C0B11"/>
    <w:rsid w:val="21F726B1"/>
    <w:rsid w:val="22FF1E06"/>
    <w:rsid w:val="23F17B23"/>
    <w:rsid w:val="24E16D01"/>
    <w:rsid w:val="2755685C"/>
    <w:rsid w:val="27AF30E6"/>
    <w:rsid w:val="2C6A2B59"/>
    <w:rsid w:val="2DB9081B"/>
    <w:rsid w:val="2EBE223B"/>
    <w:rsid w:val="2ED06383"/>
    <w:rsid w:val="33753C6E"/>
    <w:rsid w:val="34225F03"/>
    <w:rsid w:val="372431A9"/>
    <w:rsid w:val="378B2626"/>
    <w:rsid w:val="397B3D3B"/>
    <w:rsid w:val="3A453DB6"/>
    <w:rsid w:val="3B8561E0"/>
    <w:rsid w:val="3BCB4B28"/>
    <w:rsid w:val="3C5A141B"/>
    <w:rsid w:val="3E7A3FF6"/>
    <w:rsid w:val="3F03339E"/>
    <w:rsid w:val="3F6902F3"/>
    <w:rsid w:val="3FE91433"/>
    <w:rsid w:val="404D63DB"/>
    <w:rsid w:val="40606713"/>
    <w:rsid w:val="40DB1452"/>
    <w:rsid w:val="41737C8B"/>
    <w:rsid w:val="424B4AFF"/>
    <w:rsid w:val="44B126A5"/>
    <w:rsid w:val="46807EE0"/>
    <w:rsid w:val="48B3438D"/>
    <w:rsid w:val="4E740A62"/>
    <w:rsid w:val="52AC4215"/>
    <w:rsid w:val="54411272"/>
    <w:rsid w:val="548F2152"/>
    <w:rsid w:val="558E71EB"/>
    <w:rsid w:val="568A7075"/>
    <w:rsid w:val="569E4219"/>
    <w:rsid w:val="571A1A7B"/>
    <w:rsid w:val="57BD306D"/>
    <w:rsid w:val="59226B83"/>
    <w:rsid w:val="59AA59C5"/>
    <w:rsid w:val="5AEF54BF"/>
    <w:rsid w:val="5B3060BC"/>
    <w:rsid w:val="5E316B07"/>
    <w:rsid w:val="5F922570"/>
    <w:rsid w:val="60EE27F2"/>
    <w:rsid w:val="617A7850"/>
    <w:rsid w:val="65AB6F91"/>
    <w:rsid w:val="68E47C6B"/>
    <w:rsid w:val="692403DD"/>
    <w:rsid w:val="696C6B84"/>
    <w:rsid w:val="6AB2229E"/>
    <w:rsid w:val="6B824366"/>
    <w:rsid w:val="6C1F6C8D"/>
    <w:rsid w:val="6D176D30"/>
    <w:rsid w:val="6F161326"/>
    <w:rsid w:val="6F790F01"/>
    <w:rsid w:val="6F8E17AF"/>
    <w:rsid w:val="6FBC61AE"/>
    <w:rsid w:val="72606407"/>
    <w:rsid w:val="72747633"/>
    <w:rsid w:val="728341B0"/>
    <w:rsid w:val="74101D88"/>
    <w:rsid w:val="74561EEC"/>
    <w:rsid w:val="764364A0"/>
    <w:rsid w:val="76B636C0"/>
    <w:rsid w:val="771340C5"/>
    <w:rsid w:val="77BD503B"/>
    <w:rsid w:val="790E548B"/>
    <w:rsid w:val="7A51414C"/>
    <w:rsid w:val="7A682739"/>
    <w:rsid w:val="7AA17C39"/>
    <w:rsid w:val="7C3D3992"/>
    <w:rsid w:val="7C4A6A3D"/>
    <w:rsid w:val="7CE87DA1"/>
    <w:rsid w:val="7D831878"/>
    <w:rsid w:val="7DAF266D"/>
    <w:rsid w:val="7F8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Times New Roman" w:hAnsi="Times New Roman" w:cs="Times New Roman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Char Char Char Char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37</Pages>
  <Words>6863</Words>
  <Characters>9387</Characters>
  <Lines>29</Lines>
  <Paragraphs>8</Paragraphs>
  <TotalTime>17</TotalTime>
  <ScaleCrop>false</ScaleCrop>
  <LinksUpToDate>false</LinksUpToDate>
  <CharactersWithSpaces>11044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2023-03-03T07:48:00Z</dcterms:created>
  <dc:creator>dreamsummit</dc:creator>
  <cp:lastModifiedBy>THTF</cp:lastModifiedBy>
  <dcterms:modified xsi:type="dcterms:W3CDTF">2025-04-24T02:50:02Z</dcterms:modified>
  <dc:title>2020年秦淮区国民经济和社会发展统计公报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D6E28D3D2A3B46C9A48631E93AC1C80D_13</vt:lpwstr>
  </property>
  <property fmtid="{D5CDD505-2E9C-101B-9397-08002B2CF9AE}" pid="4" name="KSOTemplateDocerSaveRecord">
    <vt:lpwstr>eyJoZGlkIjoiNmNlYmE4N2FkYzczYmJkYmYzMzU5ODdjYTQ2NTJhMzkiLCJ1c2VySWQiOiI0MzA0MzcyMjIifQ==</vt:lpwstr>
  </property>
</Properties>
</file>