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DC" w:rsidRDefault="00C129DC">
      <w:pPr>
        <w:spacing w:line="540" w:lineRule="exact"/>
        <w:rPr>
          <w:rFonts w:eastAsia="仿宋_GB2312"/>
          <w:color w:val="000000"/>
          <w:sz w:val="32"/>
          <w:szCs w:val="32"/>
        </w:rPr>
      </w:pPr>
      <w:r>
        <w:rPr>
          <w:rFonts w:eastAsia="仿宋_GB2312" w:hint="eastAsia"/>
          <w:color w:val="000000"/>
          <w:sz w:val="32"/>
          <w:szCs w:val="32"/>
        </w:rPr>
        <w:t>附件</w:t>
      </w:r>
    </w:p>
    <w:p w:rsidR="00C129DC" w:rsidRPr="0063417E" w:rsidRDefault="00C129DC" w:rsidP="001A483F">
      <w:pPr>
        <w:spacing w:line="540" w:lineRule="exact"/>
        <w:jc w:val="center"/>
        <w:rPr>
          <w:rStyle w:val="NormalCharacter"/>
          <w:rFonts w:ascii="方正小标宋_GBK" w:eastAsia="方正小标宋_GBK"/>
          <w:sz w:val="44"/>
          <w:szCs w:val="44"/>
        </w:rPr>
      </w:pPr>
      <w:r w:rsidRPr="0063417E">
        <w:rPr>
          <w:rFonts w:ascii="方正小标宋_GBK" w:eastAsia="方正小标宋_GBK" w:hint="eastAsia"/>
          <w:color w:val="000000"/>
          <w:sz w:val="44"/>
          <w:szCs w:val="44"/>
        </w:rPr>
        <w:t>药品网络零售配送检查要点</w:t>
      </w:r>
    </w:p>
    <w:tbl>
      <w:tblPr>
        <w:tblpPr w:leftFromText="180" w:rightFromText="180" w:vertAnchor="text" w:horzAnchor="page" w:tblpX="1238" w:tblpY="543"/>
        <w:tblOverlap w:val="never"/>
        <w:tblW w:w="1423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000"/>
      </w:tblPr>
      <w:tblGrid>
        <w:gridCol w:w="933"/>
        <w:gridCol w:w="910"/>
        <w:gridCol w:w="3482"/>
        <w:gridCol w:w="5600"/>
        <w:gridCol w:w="3312"/>
      </w:tblGrid>
      <w:tr w:rsidR="00C129DC" w:rsidTr="001A483F">
        <w:trPr>
          <w:trHeight w:hRule="exact" w:val="759"/>
        </w:trPr>
        <w:tc>
          <w:tcPr>
            <w:tcW w:w="933" w:type="dxa"/>
            <w:shd w:val="clear" w:color="auto" w:fill="FFFFFF"/>
            <w:vAlign w:val="center"/>
          </w:tcPr>
          <w:p w:rsidR="00C129DC" w:rsidRDefault="00C129DC" w:rsidP="00FA6C84">
            <w:pPr>
              <w:pStyle w:val="Other10"/>
              <w:spacing w:line="240" w:lineRule="auto"/>
              <w:ind w:firstLine="0"/>
              <w:jc w:val="center"/>
              <w:rPr>
                <w:rFonts w:ascii="CESI黑体-GB2312" w:eastAsia="CESI黑体-GB2312" w:hAnsi="CESI黑体-GB2312" w:cs="CESI黑体-GB2312"/>
                <w:b/>
                <w:bCs/>
                <w:sz w:val="24"/>
                <w:szCs w:val="24"/>
                <w:lang w:eastAsia="zh-CN"/>
              </w:rPr>
            </w:pPr>
            <w:r>
              <w:rPr>
                <w:rFonts w:ascii="CESI黑体-GB2312" w:eastAsia="CESI黑体-GB2312" w:hAnsi="CESI黑体-GB2312" w:cs="CESI黑体-GB2312" w:hint="eastAsia"/>
                <w:b/>
                <w:bCs/>
                <w:sz w:val="24"/>
                <w:szCs w:val="24"/>
                <w:lang w:eastAsia="zh-CN"/>
              </w:rPr>
              <w:t>项目号</w:t>
            </w:r>
          </w:p>
        </w:tc>
        <w:tc>
          <w:tcPr>
            <w:tcW w:w="910" w:type="dxa"/>
            <w:tcBorders>
              <w:left w:val="single" w:sz="4" w:space="0" w:color="auto"/>
            </w:tcBorders>
            <w:shd w:val="clear" w:color="auto" w:fill="FFFFFF"/>
            <w:vAlign w:val="center"/>
          </w:tcPr>
          <w:p w:rsidR="00C129DC" w:rsidRDefault="00C129DC" w:rsidP="00FA6C84">
            <w:pPr>
              <w:pStyle w:val="Other10"/>
              <w:spacing w:line="260" w:lineRule="exact"/>
              <w:ind w:firstLine="0"/>
              <w:jc w:val="center"/>
              <w:rPr>
                <w:rFonts w:ascii="CESI黑体-GB2312" w:eastAsia="CESI黑体-GB2312" w:hAnsi="CESI黑体-GB2312" w:cs="CESI黑体-GB2312"/>
                <w:b/>
                <w:bCs/>
                <w:sz w:val="24"/>
                <w:szCs w:val="24"/>
                <w:lang w:eastAsia="zh-CN"/>
              </w:rPr>
            </w:pPr>
            <w:r>
              <w:rPr>
                <w:rFonts w:ascii="CESI黑体-GB2312" w:eastAsia="CESI黑体-GB2312" w:hAnsi="CESI黑体-GB2312" w:cs="CESI黑体-GB2312" w:hint="eastAsia"/>
                <w:b/>
                <w:bCs/>
                <w:sz w:val="24"/>
                <w:szCs w:val="24"/>
              </w:rPr>
              <w:t>检查</w:t>
            </w:r>
          </w:p>
          <w:p w:rsidR="00C129DC" w:rsidRDefault="00C129DC" w:rsidP="00FA6C84">
            <w:pPr>
              <w:pStyle w:val="Other10"/>
              <w:spacing w:line="260" w:lineRule="exact"/>
              <w:ind w:firstLine="0"/>
              <w:jc w:val="center"/>
              <w:rPr>
                <w:rFonts w:ascii="CESI黑体-GB2312" w:eastAsia="CESI黑体-GB2312" w:hAnsi="CESI黑体-GB2312" w:cs="CESI黑体-GB2312"/>
                <w:b/>
                <w:bCs/>
                <w:sz w:val="24"/>
                <w:szCs w:val="24"/>
              </w:rPr>
            </w:pPr>
            <w:r>
              <w:rPr>
                <w:rFonts w:ascii="CESI黑体-GB2312" w:eastAsia="CESI黑体-GB2312" w:hAnsi="CESI黑体-GB2312" w:cs="CESI黑体-GB2312" w:hint="eastAsia"/>
                <w:b/>
                <w:bCs/>
                <w:sz w:val="24"/>
                <w:szCs w:val="24"/>
              </w:rPr>
              <w:t>项目</w:t>
            </w:r>
          </w:p>
        </w:tc>
        <w:tc>
          <w:tcPr>
            <w:tcW w:w="3482" w:type="dxa"/>
            <w:tcBorders>
              <w:left w:val="single" w:sz="4" w:space="0" w:color="auto"/>
            </w:tcBorders>
            <w:shd w:val="clear" w:color="auto" w:fill="FFFFFF"/>
            <w:vAlign w:val="center"/>
          </w:tcPr>
          <w:p w:rsidR="00C129DC" w:rsidRDefault="00C129DC" w:rsidP="00FA6C84">
            <w:pPr>
              <w:pStyle w:val="Other10"/>
              <w:spacing w:line="240" w:lineRule="auto"/>
              <w:ind w:firstLine="0"/>
              <w:jc w:val="center"/>
              <w:rPr>
                <w:rFonts w:ascii="CESI黑体-GB2312" w:eastAsia="CESI黑体-GB2312" w:hAnsi="CESI黑体-GB2312" w:cs="CESI黑体-GB2312"/>
                <w:b/>
                <w:bCs/>
                <w:sz w:val="24"/>
                <w:szCs w:val="24"/>
                <w:lang w:eastAsia="zh-CN"/>
              </w:rPr>
            </w:pPr>
            <w:r>
              <w:rPr>
                <w:rFonts w:ascii="CESI黑体-GB2312" w:eastAsia="CESI黑体-GB2312" w:hAnsi="CESI黑体-GB2312" w:cs="CESI黑体-GB2312" w:hint="eastAsia"/>
                <w:b/>
                <w:bCs/>
                <w:sz w:val="24"/>
                <w:szCs w:val="24"/>
              </w:rPr>
              <w:t>检查</w:t>
            </w:r>
            <w:r>
              <w:rPr>
                <w:rFonts w:ascii="CESI黑体-GB2312" w:eastAsia="CESI黑体-GB2312" w:hAnsi="CESI黑体-GB2312" w:cs="CESI黑体-GB2312" w:hint="eastAsia"/>
                <w:b/>
                <w:bCs/>
                <w:sz w:val="24"/>
                <w:szCs w:val="24"/>
                <w:lang w:eastAsia="zh-CN"/>
              </w:rPr>
              <w:t>要点</w:t>
            </w:r>
          </w:p>
        </w:tc>
        <w:tc>
          <w:tcPr>
            <w:tcW w:w="5600" w:type="dxa"/>
            <w:tcBorders>
              <w:left w:val="single" w:sz="4" w:space="0" w:color="auto"/>
            </w:tcBorders>
            <w:shd w:val="clear" w:color="auto" w:fill="FFFFFF"/>
            <w:vAlign w:val="center"/>
          </w:tcPr>
          <w:p w:rsidR="00C129DC" w:rsidRDefault="00C129DC" w:rsidP="00FA6C84">
            <w:pPr>
              <w:pStyle w:val="Other10"/>
              <w:spacing w:line="240" w:lineRule="auto"/>
              <w:ind w:firstLine="0"/>
              <w:jc w:val="center"/>
              <w:rPr>
                <w:rFonts w:ascii="CESI黑体-GB2312" w:eastAsia="CESI黑体-GB2312" w:hAnsi="CESI黑体-GB2312" w:cs="CESI黑体-GB2312"/>
                <w:b/>
                <w:bCs/>
                <w:sz w:val="24"/>
                <w:szCs w:val="24"/>
                <w:lang w:eastAsia="zh-CN"/>
              </w:rPr>
            </w:pPr>
            <w:r>
              <w:rPr>
                <w:rFonts w:ascii="CESI黑体-GB2312" w:eastAsia="CESI黑体-GB2312" w:hAnsi="CESI黑体-GB2312" w:cs="CESI黑体-GB2312" w:hint="eastAsia"/>
                <w:b/>
                <w:bCs/>
                <w:sz w:val="24"/>
                <w:szCs w:val="24"/>
              </w:rPr>
              <w:t>检查</w:t>
            </w:r>
            <w:r>
              <w:rPr>
                <w:rFonts w:ascii="CESI黑体-GB2312" w:eastAsia="CESI黑体-GB2312" w:hAnsi="CESI黑体-GB2312" w:cs="CESI黑体-GB2312" w:hint="eastAsia"/>
                <w:b/>
                <w:bCs/>
                <w:sz w:val="24"/>
                <w:szCs w:val="24"/>
                <w:lang w:eastAsia="zh-CN"/>
              </w:rPr>
              <w:t>内容</w:t>
            </w:r>
          </w:p>
        </w:tc>
        <w:tc>
          <w:tcPr>
            <w:tcW w:w="3312" w:type="dxa"/>
            <w:tcBorders>
              <w:left w:val="single" w:sz="4" w:space="0" w:color="auto"/>
            </w:tcBorders>
            <w:shd w:val="clear" w:color="auto" w:fill="FFFFFF"/>
            <w:vAlign w:val="center"/>
          </w:tcPr>
          <w:p w:rsidR="00C129DC" w:rsidRDefault="00C129DC" w:rsidP="00FA6C84">
            <w:pPr>
              <w:pStyle w:val="Other10"/>
              <w:spacing w:line="240" w:lineRule="auto"/>
              <w:ind w:firstLine="0"/>
              <w:jc w:val="center"/>
              <w:rPr>
                <w:rFonts w:ascii="CESI黑体-GB2312" w:eastAsia="CESI黑体-GB2312" w:hAnsi="CESI黑体-GB2312" w:cs="CESI黑体-GB2312"/>
                <w:b/>
                <w:bCs/>
                <w:sz w:val="24"/>
                <w:szCs w:val="24"/>
              </w:rPr>
            </w:pPr>
            <w:r>
              <w:rPr>
                <w:rFonts w:ascii="CESI黑体-GB2312" w:eastAsia="CESI黑体-GB2312" w:hAnsi="CESI黑体-GB2312" w:cs="CESI黑体-GB2312" w:hint="eastAsia"/>
                <w:b/>
                <w:bCs/>
                <w:sz w:val="24"/>
                <w:szCs w:val="24"/>
              </w:rPr>
              <w:t>条款依据</w:t>
            </w:r>
          </w:p>
        </w:tc>
      </w:tr>
      <w:tr w:rsidR="00C129DC" w:rsidTr="00FA6C84">
        <w:trPr>
          <w:trHeight w:hRule="exact" w:val="701"/>
        </w:trPr>
        <w:tc>
          <w:tcPr>
            <w:tcW w:w="14237" w:type="dxa"/>
            <w:gridSpan w:val="5"/>
            <w:tcBorders>
              <w:top w:val="single" w:sz="4" w:space="0" w:color="auto"/>
            </w:tcBorders>
            <w:shd w:val="clear" w:color="auto" w:fill="FFFFFF"/>
            <w:vAlign w:val="center"/>
          </w:tcPr>
          <w:p w:rsidR="00C129DC" w:rsidRPr="001A483F" w:rsidRDefault="00C129DC" w:rsidP="00FA6C84">
            <w:pPr>
              <w:pStyle w:val="Other10"/>
              <w:spacing w:line="240" w:lineRule="auto"/>
              <w:ind w:right="380" w:firstLine="0"/>
              <w:jc w:val="center"/>
              <w:rPr>
                <w:rFonts w:ascii="黑体" w:eastAsia="黑体" w:hAnsi="黑体" w:cs="CESI仿宋-GB2312"/>
                <w:sz w:val="22"/>
                <w:szCs w:val="22"/>
                <w:lang w:eastAsia="zh-CN"/>
              </w:rPr>
            </w:pPr>
            <w:r w:rsidRPr="001A483F">
              <w:rPr>
                <w:rFonts w:ascii="黑体" w:eastAsia="黑体" w:hAnsi="黑体" w:cs="CESI黑体-GB2312" w:hint="eastAsia"/>
                <w:sz w:val="32"/>
                <w:szCs w:val="32"/>
                <w:lang w:eastAsia="zh-CN"/>
              </w:rPr>
              <w:t>一、质量管理体系（药品网售企业）</w:t>
            </w:r>
          </w:p>
        </w:tc>
      </w:tr>
      <w:tr w:rsidR="00C129DC" w:rsidTr="00C129DC">
        <w:trPr>
          <w:trHeight w:hRule="exact" w:val="3363"/>
        </w:trPr>
        <w:tc>
          <w:tcPr>
            <w:tcW w:w="933" w:type="dxa"/>
            <w:tcBorders>
              <w:top w:val="single" w:sz="4" w:space="0" w:color="auto"/>
            </w:tcBorders>
            <w:shd w:val="clear" w:color="auto" w:fill="FFFFFF"/>
            <w:vAlign w:val="center"/>
          </w:tcPr>
          <w:p w:rsidR="00C129DC" w:rsidRDefault="00C129DC" w:rsidP="00FA6C84">
            <w:pPr>
              <w:pStyle w:val="Other10"/>
              <w:spacing w:line="240" w:lineRule="auto"/>
              <w:ind w:firstLine="0"/>
              <w:jc w:val="center"/>
              <w:rPr>
                <w:rFonts w:ascii="楷体" w:eastAsia="楷体" w:hAnsi="楷体" w:cs="楷体"/>
                <w:b/>
                <w:bCs/>
                <w:sz w:val="22"/>
                <w:szCs w:val="22"/>
                <w:lang w:val="en-US" w:eastAsia="zh-CN"/>
              </w:rPr>
            </w:pPr>
            <w:r>
              <w:rPr>
                <w:rFonts w:ascii="楷体" w:eastAsia="楷体" w:hAnsi="楷体" w:cs="楷体" w:hint="eastAsia"/>
                <w:b/>
                <w:bCs/>
                <w:sz w:val="32"/>
                <w:szCs w:val="32"/>
                <w:lang w:val="en-US" w:eastAsia="zh-CN"/>
              </w:rPr>
              <w:t>（一）</w:t>
            </w:r>
          </w:p>
        </w:tc>
        <w:tc>
          <w:tcPr>
            <w:tcW w:w="910" w:type="dxa"/>
            <w:tcBorders>
              <w:top w:val="single" w:sz="4" w:space="0" w:color="auto"/>
              <w:left w:val="single" w:sz="4" w:space="0" w:color="auto"/>
            </w:tcBorders>
            <w:shd w:val="clear" w:color="auto" w:fill="FFFFFF"/>
            <w:vAlign w:val="center"/>
          </w:tcPr>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管理</w:t>
            </w:r>
          </w:p>
          <w:p w:rsidR="00C129DC" w:rsidRDefault="00C129DC" w:rsidP="00FA6C84">
            <w:pPr>
              <w:spacing w:line="320" w:lineRule="exact"/>
              <w:jc w:val="center"/>
              <w:rPr>
                <w:rFonts w:ascii="楷体" w:eastAsia="楷体" w:hAnsi="楷体" w:cs="楷体"/>
                <w:b/>
                <w:bCs/>
              </w:rPr>
            </w:pPr>
            <w:r>
              <w:rPr>
                <w:rFonts w:ascii="楷体" w:eastAsia="楷体" w:hAnsi="楷体" w:cs="楷体" w:hint="eastAsia"/>
                <w:b/>
                <w:bCs/>
                <w:sz w:val="28"/>
                <w:szCs w:val="28"/>
              </w:rPr>
              <w:t>机构</w:t>
            </w:r>
          </w:p>
        </w:tc>
        <w:tc>
          <w:tcPr>
            <w:tcW w:w="3482"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1.检查企业是否配备与经营规模相适应的药品配送质量管理人员，相关人员是否熟悉有关药品流通管理的法律法规，并在药品配送质量管理工作中具备独立正确判断和保障实施的能力。</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2.从事冷藏、冷冻药品配送等工作的人员，上岗前是否按照相关规定，接受相关法律法规和专业知识培训并经考核合格。</w:t>
            </w:r>
          </w:p>
        </w:tc>
        <w:tc>
          <w:tcPr>
            <w:tcW w:w="5600"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（1）查看组织机构图及各部门职能、人员职责管理文件；</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（2）对照人员花名册，确认部门、岗位、人员配置情况；</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（3）查看相关岗位的职责与权限文件；</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（4）抽选相关岗位人员进行谈话，了解其对岗位职责的熟悉程度。</w:t>
            </w:r>
          </w:p>
          <w:p w:rsidR="00C129DC" w:rsidRPr="001A483F" w:rsidRDefault="00C129DC" w:rsidP="00C129DC">
            <w:pPr>
              <w:widowControl/>
              <w:adjustRightInd w:val="0"/>
              <w:snapToGrid w:val="0"/>
              <w:textAlignment w:val="top"/>
              <w:rPr>
                <w:rStyle w:val="font01"/>
                <w:rFonts w:cs="CESI仿宋-GB2312"/>
                <w:color w:val="auto"/>
                <w:sz w:val="22"/>
                <w:szCs w:val="22"/>
              </w:rPr>
            </w:pPr>
            <w:r w:rsidRPr="001A483F">
              <w:rPr>
                <w:rFonts w:ascii="宋体" w:hAnsi="宋体" w:cs="CESI仿宋-GB2312" w:hint="eastAsia"/>
                <w:sz w:val="22"/>
                <w:szCs w:val="22"/>
              </w:rPr>
              <w:t>（5）查看配送人员相关法律法规培训计划、记录和档案，包括培训材料、考核记录、培训照片等，检查是否制定年度培训计划并按计划开展培训。</w:t>
            </w:r>
          </w:p>
        </w:tc>
        <w:tc>
          <w:tcPr>
            <w:tcW w:w="3312" w:type="dxa"/>
            <w:tcBorders>
              <w:top w:val="single" w:sz="4" w:space="0" w:color="auto"/>
              <w:left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right="380" w:firstLine="0"/>
              <w:jc w:val="both"/>
              <w:rPr>
                <w:rFonts w:cs="CESI仿宋-GB2312"/>
                <w:sz w:val="22"/>
                <w:szCs w:val="22"/>
                <w:lang w:val="en-US" w:eastAsia="zh-CN"/>
              </w:rPr>
            </w:pPr>
            <w:r w:rsidRPr="001A483F">
              <w:rPr>
                <w:rFonts w:cs="CESI仿宋-GB2312" w:hint="eastAsia"/>
                <w:sz w:val="22"/>
                <w:szCs w:val="22"/>
                <w:lang w:eastAsia="zh-CN"/>
              </w:rPr>
              <w:t>《药品经营质量管理规范附录</w:t>
            </w:r>
            <w:r w:rsidRPr="001A483F">
              <w:rPr>
                <w:rFonts w:cs="CESI仿宋-GB2312" w:hint="eastAsia"/>
                <w:sz w:val="22"/>
                <w:szCs w:val="22"/>
                <w:lang w:val="en-US" w:eastAsia="zh-CN"/>
              </w:rPr>
              <w:t>6：药品零售配送质量管理</w:t>
            </w:r>
            <w:r w:rsidRPr="001A483F">
              <w:rPr>
                <w:rFonts w:cs="CESI仿宋-GB2312" w:hint="eastAsia"/>
                <w:sz w:val="22"/>
                <w:szCs w:val="22"/>
                <w:lang w:eastAsia="zh-CN"/>
              </w:rPr>
              <w:t>》（以下简称《规范》）第四条第一款、第二款</w:t>
            </w:r>
          </w:p>
        </w:tc>
      </w:tr>
      <w:tr w:rsidR="00C129DC" w:rsidTr="00C129DC">
        <w:trPr>
          <w:trHeight w:hRule="exact" w:val="1853"/>
        </w:trPr>
        <w:tc>
          <w:tcPr>
            <w:tcW w:w="933" w:type="dxa"/>
            <w:tcBorders>
              <w:top w:val="single" w:sz="4" w:space="0" w:color="auto"/>
            </w:tcBorders>
            <w:shd w:val="clear" w:color="auto" w:fill="FFFFFF"/>
            <w:vAlign w:val="center"/>
          </w:tcPr>
          <w:p w:rsidR="00C129DC" w:rsidRDefault="00C129DC" w:rsidP="00FA6C84">
            <w:pPr>
              <w:pStyle w:val="Other10"/>
              <w:spacing w:line="240" w:lineRule="auto"/>
              <w:ind w:firstLine="0"/>
              <w:jc w:val="center"/>
              <w:rPr>
                <w:rFonts w:ascii="楷体" w:eastAsia="楷体" w:hAnsi="楷体" w:cs="楷体"/>
                <w:b/>
                <w:bCs/>
                <w:sz w:val="32"/>
                <w:szCs w:val="32"/>
                <w:lang w:val="en-US" w:eastAsia="zh-CN"/>
              </w:rPr>
            </w:pPr>
            <w:r>
              <w:rPr>
                <w:rFonts w:ascii="楷体" w:eastAsia="楷体" w:hAnsi="楷体" w:cs="楷体" w:hint="eastAsia"/>
                <w:b/>
                <w:bCs/>
                <w:sz w:val="32"/>
                <w:szCs w:val="32"/>
                <w:lang w:val="en-US" w:eastAsia="zh-CN"/>
              </w:rPr>
              <w:t>（二）</w:t>
            </w:r>
          </w:p>
        </w:tc>
        <w:tc>
          <w:tcPr>
            <w:tcW w:w="910" w:type="dxa"/>
            <w:tcBorders>
              <w:top w:val="single" w:sz="4" w:space="0" w:color="auto"/>
              <w:left w:val="single" w:sz="4" w:space="0" w:color="auto"/>
            </w:tcBorders>
            <w:shd w:val="clear" w:color="auto" w:fill="FFFFFF"/>
            <w:vAlign w:val="center"/>
          </w:tcPr>
          <w:p w:rsidR="00C129DC" w:rsidRPr="00C129DC" w:rsidRDefault="00C129DC" w:rsidP="00C129DC">
            <w:pPr>
              <w:spacing w:line="320" w:lineRule="exact"/>
              <w:jc w:val="center"/>
              <w:rPr>
                <w:rFonts w:ascii="楷体" w:eastAsia="楷体" w:hAnsi="楷体" w:cs="楷体"/>
                <w:b/>
                <w:bCs/>
                <w:sz w:val="28"/>
                <w:szCs w:val="28"/>
              </w:rPr>
            </w:pPr>
            <w:r w:rsidRPr="00C129DC">
              <w:rPr>
                <w:rFonts w:ascii="楷体" w:eastAsia="楷体" w:hAnsi="楷体" w:cs="楷体" w:hint="eastAsia"/>
                <w:b/>
                <w:bCs/>
                <w:sz w:val="28"/>
                <w:szCs w:val="28"/>
              </w:rPr>
              <w:t>健康</w:t>
            </w:r>
          </w:p>
          <w:p w:rsidR="00C129DC" w:rsidRDefault="00C129DC" w:rsidP="00C129DC">
            <w:pPr>
              <w:spacing w:line="320" w:lineRule="exact"/>
              <w:jc w:val="center"/>
              <w:rPr>
                <w:rFonts w:ascii="CESI黑体-GB2312" w:eastAsia="CESI黑体-GB2312" w:hAnsi="CESI黑体-GB2312" w:cs="CESI黑体-GB2312"/>
                <w:b/>
                <w:bCs/>
                <w:sz w:val="24"/>
              </w:rPr>
            </w:pPr>
            <w:r w:rsidRPr="00C129DC">
              <w:rPr>
                <w:rFonts w:ascii="楷体" w:eastAsia="楷体" w:hAnsi="楷体" w:cs="楷体" w:hint="eastAsia"/>
                <w:b/>
                <w:bCs/>
                <w:sz w:val="28"/>
                <w:szCs w:val="28"/>
              </w:rPr>
              <w:t>管理</w:t>
            </w:r>
          </w:p>
        </w:tc>
        <w:tc>
          <w:tcPr>
            <w:tcW w:w="3482"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Fonts w:ascii="宋体" w:hAnsi="宋体" w:cs="CESI仿宋-GB2312"/>
                <w:sz w:val="22"/>
                <w:szCs w:val="22"/>
              </w:rPr>
            </w:pPr>
            <w:r w:rsidRPr="001A483F">
              <w:rPr>
                <w:rStyle w:val="font01"/>
                <w:rFonts w:cs="CESI仿宋-GB2312" w:hint="eastAsia"/>
                <w:sz w:val="22"/>
                <w:szCs w:val="22"/>
              </w:rPr>
              <w:t>3.企业是否对员工个人卫生进行管理，是否对员工每年进行健康体检。</w:t>
            </w:r>
          </w:p>
        </w:tc>
        <w:tc>
          <w:tcPr>
            <w:tcW w:w="5600"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（1）查看质量管理、拣选、复核、包装等直接接触药品岗位人员的岗前和年度健康体检记录；</w:t>
            </w:r>
          </w:p>
          <w:p w:rsidR="00C129DC" w:rsidRPr="001A483F" w:rsidRDefault="00C129DC" w:rsidP="00C129DC">
            <w:pPr>
              <w:widowControl/>
              <w:adjustRightInd w:val="0"/>
              <w:snapToGrid w:val="0"/>
              <w:textAlignment w:val="top"/>
              <w:rPr>
                <w:rFonts w:ascii="宋体" w:hAnsi="宋体" w:cs="CESI仿宋-GB2312"/>
                <w:sz w:val="22"/>
                <w:szCs w:val="22"/>
              </w:rPr>
            </w:pPr>
            <w:r w:rsidRPr="001A483F">
              <w:rPr>
                <w:rStyle w:val="font01"/>
                <w:rFonts w:cs="CESI仿宋-GB2312" w:hint="eastAsia"/>
                <w:sz w:val="22"/>
                <w:szCs w:val="22"/>
              </w:rPr>
              <w:t>（2）抽查直接接触药品岗位人员的健康档案。</w:t>
            </w:r>
          </w:p>
        </w:tc>
        <w:tc>
          <w:tcPr>
            <w:tcW w:w="3312" w:type="dxa"/>
            <w:tcBorders>
              <w:top w:val="single" w:sz="4" w:space="0" w:color="auto"/>
              <w:left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firstLine="0"/>
              <w:jc w:val="center"/>
              <w:rPr>
                <w:rFonts w:cs="CESI仿宋-GB2312"/>
                <w:sz w:val="22"/>
                <w:szCs w:val="22"/>
              </w:rPr>
            </w:pPr>
            <w:r w:rsidRPr="001A483F">
              <w:rPr>
                <w:rFonts w:cs="CESI仿宋-GB2312" w:hint="eastAsia"/>
                <w:sz w:val="22"/>
                <w:szCs w:val="22"/>
                <w:lang w:eastAsia="zh-CN"/>
              </w:rPr>
              <w:t>《规范》第五条</w:t>
            </w:r>
          </w:p>
        </w:tc>
      </w:tr>
      <w:tr w:rsidR="00C129DC" w:rsidTr="001A483F">
        <w:trPr>
          <w:trHeight w:hRule="exact" w:val="2839"/>
        </w:trPr>
        <w:tc>
          <w:tcPr>
            <w:tcW w:w="933" w:type="dxa"/>
            <w:tcBorders>
              <w:top w:val="single" w:sz="4" w:space="0" w:color="auto"/>
            </w:tcBorders>
            <w:shd w:val="clear" w:color="auto" w:fill="FFFFFF"/>
            <w:vAlign w:val="center"/>
          </w:tcPr>
          <w:p w:rsidR="00C129DC" w:rsidRDefault="00C129DC" w:rsidP="00FA6C84">
            <w:pPr>
              <w:pStyle w:val="Other10"/>
              <w:spacing w:line="240" w:lineRule="auto"/>
              <w:ind w:firstLine="0"/>
              <w:jc w:val="center"/>
              <w:rPr>
                <w:rFonts w:ascii="楷体" w:eastAsia="楷体" w:hAnsi="楷体" w:cs="楷体"/>
                <w:b/>
                <w:bCs/>
                <w:sz w:val="32"/>
                <w:szCs w:val="32"/>
                <w:lang w:val="en-US" w:eastAsia="zh-CN"/>
              </w:rPr>
            </w:pPr>
            <w:r>
              <w:rPr>
                <w:rFonts w:ascii="楷体" w:eastAsia="楷体" w:hAnsi="楷体" w:cs="楷体" w:hint="eastAsia"/>
                <w:b/>
                <w:bCs/>
                <w:sz w:val="32"/>
                <w:szCs w:val="32"/>
                <w:lang w:val="en-US" w:eastAsia="zh-CN"/>
              </w:rPr>
              <w:lastRenderedPageBreak/>
              <w:t>（三）</w:t>
            </w:r>
          </w:p>
        </w:tc>
        <w:tc>
          <w:tcPr>
            <w:tcW w:w="910" w:type="dxa"/>
            <w:tcBorders>
              <w:top w:val="single" w:sz="4" w:space="0" w:color="auto"/>
              <w:left w:val="single" w:sz="4" w:space="0" w:color="auto"/>
            </w:tcBorders>
            <w:shd w:val="clear" w:color="auto" w:fill="FFFFFF"/>
            <w:vAlign w:val="center"/>
          </w:tcPr>
          <w:p w:rsidR="00C129DC" w:rsidRDefault="00C129DC" w:rsidP="001A483F">
            <w:pPr>
              <w:spacing w:line="320" w:lineRule="exact"/>
              <w:jc w:val="left"/>
              <w:rPr>
                <w:rFonts w:ascii="楷体" w:eastAsia="楷体" w:hAnsi="楷体" w:cs="楷体"/>
                <w:b/>
                <w:bCs/>
                <w:sz w:val="28"/>
                <w:szCs w:val="28"/>
              </w:rPr>
            </w:pPr>
            <w:r>
              <w:rPr>
                <w:rFonts w:ascii="楷体" w:eastAsia="楷体" w:hAnsi="楷体" w:cs="楷体" w:hint="eastAsia"/>
                <w:b/>
                <w:bCs/>
                <w:sz w:val="28"/>
                <w:szCs w:val="28"/>
              </w:rPr>
              <w:t>管理</w:t>
            </w:r>
          </w:p>
          <w:p w:rsidR="00C129DC" w:rsidRDefault="00C129DC" w:rsidP="001A483F">
            <w:pPr>
              <w:spacing w:line="320" w:lineRule="exact"/>
              <w:jc w:val="left"/>
              <w:rPr>
                <w:rFonts w:ascii="楷体" w:eastAsia="楷体" w:hAnsi="楷体" w:cs="楷体"/>
                <w:b/>
                <w:bCs/>
                <w:sz w:val="32"/>
                <w:szCs w:val="32"/>
              </w:rPr>
            </w:pPr>
            <w:r>
              <w:rPr>
                <w:rFonts w:ascii="楷体" w:eastAsia="楷体" w:hAnsi="楷体" w:cs="楷体" w:hint="eastAsia"/>
                <w:b/>
                <w:bCs/>
                <w:sz w:val="28"/>
                <w:szCs w:val="28"/>
              </w:rPr>
              <w:t>制度</w:t>
            </w:r>
          </w:p>
        </w:tc>
        <w:tc>
          <w:tcPr>
            <w:tcW w:w="3482" w:type="dxa"/>
            <w:tcBorders>
              <w:top w:val="single" w:sz="4" w:space="0" w:color="auto"/>
              <w:left w:val="single" w:sz="4" w:space="0" w:color="auto"/>
            </w:tcBorders>
            <w:shd w:val="clear" w:color="auto" w:fill="FFFFFF"/>
            <w:vAlign w:val="center"/>
          </w:tcPr>
          <w:p w:rsidR="00C129DC" w:rsidRPr="001A483F" w:rsidRDefault="001A483F" w:rsidP="001A483F">
            <w:pPr>
              <w:widowControl/>
              <w:adjustRightInd w:val="0"/>
              <w:snapToGrid w:val="0"/>
              <w:jc w:val="left"/>
              <w:textAlignment w:val="top"/>
              <w:rPr>
                <w:rStyle w:val="font01"/>
                <w:rFonts w:cs="CESI仿宋-GB2312"/>
                <w:sz w:val="22"/>
                <w:szCs w:val="22"/>
              </w:rPr>
            </w:pPr>
            <w:r w:rsidRPr="001A483F">
              <w:rPr>
                <w:rStyle w:val="font01"/>
                <w:rFonts w:cs="CESI仿宋-GB2312" w:hint="eastAsia"/>
                <w:sz w:val="22"/>
                <w:szCs w:val="22"/>
              </w:rPr>
              <w:t>4.</w:t>
            </w:r>
            <w:r w:rsidR="00C129DC" w:rsidRPr="001A483F">
              <w:rPr>
                <w:rStyle w:val="font01"/>
                <w:rFonts w:cs="CESI仿宋-GB2312" w:hint="eastAsia"/>
                <w:sz w:val="22"/>
                <w:szCs w:val="22"/>
              </w:rPr>
              <w:t>企业是否建立括药品配送质量管理制度、药品配送质量评审管理制度、药品网络销售退回管理制度，是否制定药品拣选、复核、包装、封签、发货、配送、确认收货等各环节操作规程。</w:t>
            </w:r>
          </w:p>
          <w:p w:rsidR="00C129DC" w:rsidRPr="001A483F" w:rsidRDefault="001A483F" w:rsidP="001A483F">
            <w:pPr>
              <w:widowControl/>
              <w:adjustRightInd w:val="0"/>
              <w:snapToGrid w:val="0"/>
              <w:jc w:val="left"/>
              <w:textAlignment w:val="top"/>
              <w:rPr>
                <w:rStyle w:val="font01"/>
                <w:rFonts w:cs="CESI仿宋-GB2312"/>
                <w:sz w:val="22"/>
                <w:szCs w:val="22"/>
              </w:rPr>
            </w:pPr>
            <w:r w:rsidRPr="001A483F">
              <w:rPr>
                <w:rStyle w:val="font01"/>
                <w:rFonts w:cs="CESI仿宋-GB2312" w:hint="eastAsia"/>
                <w:sz w:val="22"/>
                <w:szCs w:val="22"/>
              </w:rPr>
              <w:t>5.</w:t>
            </w:r>
            <w:r w:rsidR="00C129DC" w:rsidRPr="001A483F">
              <w:rPr>
                <w:rStyle w:val="font01"/>
                <w:rFonts w:cs="CESI仿宋-GB2312" w:hint="eastAsia"/>
                <w:sz w:val="22"/>
                <w:szCs w:val="22"/>
              </w:rPr>
              <w:t>配送冷藏、冷冻药品的，是否建立冷链药品配送管理制度。</w:t>
            </w:r>
          </w:p>
        </w:tc>
        <w:tc>
          <w:tcPr>
            <w:tcW w:w="5600" w:type="dxa"/>
            <w:tcBorders>
              <w:top w:val="single" w:sz="4" w:space="0" w:color="auto"/>
              <w:left w:val="single" w:sz="4" w:space="0" w:color="auto"/>
            </w:tcBorders>
            <w:shd w:val="clear" w:color="auto" w:fill="FFFFFF"/>
            <w:vAlign w:val="center"/>
          </w:tcPr>
          <w:p w:rsidR="00C129DC" w:rsidRPr="001A483F" w:rsidRDefault="00C129DC" w:rsidP="001A483F">
            <w:pPr>
              <w:widowControl/>
              <w:adjustRightInd w:val="0"/>
              <w:snapToGrid w:val="0"/>
              <w:jc w:val="left"/>
              <w:textAlignment w:val="top"/>
              <w:rPr>
                <w:rStyle w:val="font01"/>
                <w:rFonts w:cs="CESI仿宋-GB2312"/>
                <w:sz w:val="22"/>
                <w:szCs w:val="22"/>
              </w:rPr>
            </w:pPr>
            <w:r w:rsidRPr="001A483F">
              <w:rPr>
                <w:rStyle w:val="font01"/>
                <w:rFonts w:cs="CESI仿宋-GB2312" w:hint="eastAsia"/>
                <w:sz w:val="22"/>
                <w:szCs w:val="22"/>
              </w:rPr>
              <w:t>（1）</w:t>
            </w:r>
            <w:r w:rsidRPr="001A483F">
              <w:rPr>
                <w:rFonts w:ascii="宋体" w:hAnsi="宋体" w:cs="CESI仿宋-GB2312" w:hint="eastAsia"/>
                <w:sz w:val="22"/>
                <w:szCs w:val="22"/>
              </w:rPr>
              <w:t>查看制度文件目录，制度文件应当包含：</w:t>
            </w:r>
            <w:r w:rsidRPr="001A483F">
              <w:rPr>
                <w:rStyle w:val="font01"/>
                <w:rFonts w:cs="CESI仿宋-GB2312" w:hint="eastAsia"/>
                <w:sz w:val="22"/>
                <w:szCs w:val="22"/>
              </w:rPr>
              <w:t>人员管理、岗位职责、设施设备、操作规程、记录和凭证、应急管理等内容，确认相关内容的合规性；</w:t>
            </w:r>
          </w:p>
          <w:p w:rsidR="00C129DC" w:rsidRPr="001A483F" w:rsidRDefault="00C129DC" w:rsidP="001A483F">
            <w:pPr>
              <w:widowControl/>
              <w:adjustRightInd w:val="0"/>
              <w:snapToGrid w:val="0"/>
              <w:jc w:val="left"/>
              <w:textAlignment w:val="top"/>
              <w:rPr>
                <w:rStyle w:val="font01"/>
                <w:rFonts w:cs="CESI仿宋-GB2312"/>
                <w:sz w:val="22"/>
                <w:szCs w:val="22"/>
              </w:rPr>
            </w:pPr>
            <w:r w:rsidRPr="001A483F">
              <w:rPr>
                <w:rStyle w:val="font01"/>
                <w:rFonts w:cs="CESI仿宋-GB2312" w:hint="eastAsia"/>
                <w:sz w:val="22"/>
                <w:szCs w:val="22"/>
              </w:rPr>
              <w:t>（2）查看文件修订记录，确认企业按照文件管理操作规程定期审核、及时修订文件；</w:t>
            </w:r>
          </w:p>
          <w:p w:rsidR="00C129DC" w:rsidRPr="001A483F" w:rsidRDefault="00C129DC" w:rsidP="001A483F">
            <w:pPr>
              <w:widowControl/>
              <w:adjustRightInd w:val="0"/>
              <w:snapToGrid w:val="0"/>
              <w:jc w:val="left"/>
              <w:textAlignment w:val="top"/>
              <w:rPr>
                <w:rStyle w:val="font01"/>
                <w:rFonts w:cs="CESI仿宋-GB2312"/>
                <w:sz w:val="22"/>
                <w:szCs w:val="22"/>
              </w:rPr>
            </w:pPr>
            <w:r w:rsidRPr="001A483F">
              <w:rPr>
                <w:rStyle w:val="font01"/>
                <w:rFonts w:cs="CESI仿宋-GB2312" w:hint="eastAsia"/>
                <w:sz w:val="22"/>
                <w:szCs w:val="22"/>
              </w:rPr>
              <w:t>（3）抽选相关岗位人员进行谈话，了解质量管理制度的执行情况。</w:t>
            </w:r>
          </w:p>
        </w:tc>
        <w:tc>
          <w:tcPr>
            <w:tcW w:w="3312" w:type="dxa"/>
            <w:tcBorders>
              <w:top w:val="single" w:sz="4" w:space="0" w:color="auto"/>
              <w:left w:val="single" w:sz="4" w:space="0" w:color="auto"/>
            </w:tcBorders>
            <w:shd w:val="clear" w:color="auto" w:fill="FFFFFF"/>
            <w:vAlign w:val="center"/>
          </w:tcPr>
          <w:p w:rsidR="00C129DC" w:rsidRPr="001A483F" w:rsidRDefault="00C129DC" w:rsidP="001A483F">
            <w:pPr>
              <w:pStyle w:val="Other10"/>
              <w:adjustRightInd w:val="0"/>
              <w:snapToGrid w:val="0"/>
              <w:spacing w:line="240" w:lineRule="auto"/>
              <w:ind w:firstLine="0"/>
              <w:rPr>
                <w:rFonts w:cs="CESI仿宋-GB2312"/>
                <w:sz w:val="22"/>
                <w:szCs w:val="22"/>
                <w:lang w:eastAsia="zh-CN"/>
              </w:rPr>
            </w:pPr>
            <w:r w:rsidRPr="001A483F">
              <w:rPr>
                <w:rFonts w:cs="CESI仿宋-GB2312" w:hint="eastAsia"/>
                <w:sz w:val="22"/>
                <w:szCs w:val="22"/>
                <w:lang w:eastAsia="zh-CN"/>
              </w:rPr>
              <w:t>《药品网络销售监督管理办法》（以下简称《办法》）</w:t>
            </w:r>
          </w:p>
          <w:p w:rsidR="00C129DC" w:rsidRPr="001A483F" w:rsidRDefault="00C129DC" w:rsidP="001A483F">
            <w:pPr>
              <w:pStyle w:val="Other10"/>
              <w:adjustRightInd w:val="0"/>
              <w:snapToGrid w:val="0"/>
              <w:spacing w:line="240" w:lineRule="auto"/>
              <w:ind w:firstLine="0"/>
              <w:rPr>
                <w:rFonts w:cs="CESI仿宋-GB2312"/>
                <w:sz w:val="22"/>
                <w:szCs w:val="22"/>
              </w:rPr>
            </w:pPr>
            <w:r w:rsidRPr="001A483F">
              <w:rPr>
                <w:rFonts w:cs="CESI仿宋-GB2312" w:hint="eastAsia"/>
                <w:sz w:val="22"/>
                <w:szCs w:val="22"/>
                <w:lang w:eastAsia="zh-CN"/>
              </w:rPr>
              <w:t>第十四条、《规范》第六条、第八条</w:t>
            </w:r>
          </w:p>
        </w:tc>
      </w:tr>
      <w:tr w:rsidR="00C129DC" w:rsidTr="001A483F">
        <w:trPr>
          <w:trHeight w:hRule="exact" w:val="874"/>
        </w:trPr>
        <w:tc>
          <w:tcPr>
            <w:tcW w:w="14237" w:type="dxa"/>
            <w:gridSpan w:val="5"/>
            <w:tcBorders>
              <w:top w:val="single" w:sz="4" w:space="0" w:color="auto"/>
            </w:tcBorders>
            <w:shd w:val="clear" w:color="auto" w:fill="FFFFFF"/>
            <w:vAlign w:val="center"/>
          </w:tcPr>
          <w:p w:rsidR="00C129DC" w:rsidRPr="001A483F" w:rsidRDefault="00C129DC" w:rsidP="001A483F">
            <w:pPr>
              <w:pStyle w:val="Other10"/>
              <w:spacing w:line="240" w:lineRule="auto"/>
              <w:ind w:right="380" w:firstLine="0"/>
              <w:jc w:val="center"/>
              <w:rPr>
                <w:rFonts w:ascii="黑体" w:eastAsia="黑体" w:hAnsi="黑体" w:cs="CESI黑体-GB2312"/>
                <w:sz w:val="32"/>
                <w:szCs w:val="32"/>
                <w:lang w:eastAsia="zh-CN"/>
              </w:rPr>
            </w:pPr>
            <w:r w:rsidRPr="001A483F">
              <w:rPr>
                <w:rFonts w:ascii="黑体" w:eastAsia="黑体" w:hAnsi="黑体" w:cs="CESI黑体-GB2312" w:hint="eastAsia"/>
                <w:sz w:val="32"/>
                <w:szCs w:val="32"/>
                <w:lang w:eastAsia="zh-CN"/>
              </w:rPr>
              <w:t>二、配送管理（药品网售企业）</w:t>
            </w:r>
          </w:p>
        </w:tc>
      </w:tr>
      <w:tr w:rsidR="00C129DC" w:rsidTr="001A483F">
        <w:trPr>
          <w:trHeight w:hRule="exact" w:val="3382"/>
        </w:trPr>
        <w:tc>
          <w:tcPr>
            <w:tcW w:w="933" w:type="dxa"/>
            <w:tcBorders>
              <w:top w:val="single" w:sz="4" w:space="0" w:color="auto"/>
            </w:tcBorders>
            <w:shd w:val="clear" w:color="auto" w:fill="FFFFFF"/>
            <w:vAlign w:val="center"/>
          </w:tcPr>
          <w:p w:rsidR="00C129DC" w:rsidRDefault="00C129DC" w:rsidP="00FA6C84">
            <w:pPr>
              <w:pStyle w:val="Other10"/>
              <w:spacing w:line="240" w:lineRule="auto"/>
              <w:ind w:firstLine="0"/>
              <w:jc w:val="center"/>
              <w:rPr>
                <w:rFonts w:ascii="CESI黑体-GB2312" w:eastAsia="CESI黑体-GB2312" w:hAnsi="CESI黑体-GB2312" w:cs="CESI黑体-GB2312"/>
                <w:b/>
                <w:bCs/>
                <w:sz w:val="24"/>
                <w:szCs w:val="24"/>
                <w:lang w:val="en-US" w:eastAsia="zh-CN"/>
              </w:rPr>
            </w:pPr>
            <w:r w:rsidRPr="00C129DC">
              <w:rPr>
                <w:rFonts w:ascii="楷体" w:eastAsia="楷体" w:hAnsi="楷体" w:cs="楷体" w:hint="eastAsia"/>
                <w:b/>
                <w:bCs/>
                <w:sz w:val="32"/>
                <w:szCs w:val="32"/>
                <w:lang w:val="en-US" w:eastAsia="zh-CN"/>
              </w:rPr>
              <w:t>（四）</w:t>
            </w:r>
          </w:p>
        </w:tc>
        <w:tc>
          <w:tcPr>
            <w:tcW w:w="910" w:type="dxa"/>
            <w:tcBorders>
              <w:top w:val="single" w:sz="4" w:space="0" w:color="auto"/>
              <w:left w:val="single" w:sz="4" w:space="0" w:color="auto"/>
            </w:tcBorders>
            <w:shd w:val="clear" w:color="auto" w:fill="FFFFFF"/>
            <w:vAlign w:val="center"/>
          </w:tcPr>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配送</w:t>
            </w:r>
          </w:p>
          <w:p w:rsidR="00C129DC" w:rsidRDefault="00C129DC" w:rsidP="00FA6C84">
            <w:pPr>
              <w:spacing w:line="320" w:lineRule="exact"/>
              <w:jc w:val="center"/>
              <w:rPr>
                <w:rFonts w:ascii="CESI黑体-GB2312" w:eastAsia="CESI黑体-GB2312" w:hAnsi="CESI黑体-GB2312" w:cs="CESI黑体-GB2312"/>
                <w:b/>
                <w:bCs/>
                <w:lang w:bidi="zh-TW"/>
              </w:rPr>
            </w:pPr>
            <w:r>
              <w:rPr>
                <w:rFonts w:ascii="楷体" w:eastAsia="楷体" w:hAnsi="楷体" w:cs="楷体" w:hint="eastAsia"/>
                <w:b/>
                <w:bCs/>
                <w:sz w:val="28"/>
                <w:szCs w:val="28"/>
              </w:rPr>
              <w:t>要求</w:t>
            </w:r>
          </w:p>
        </w:tc>
        <w:tc>
          <w:tcPr>
            <w:tcW w:w="3482"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6.企业是否根据距离、路况等因素评估和确定送达时限，是否根据业务类型、范围和送达时限等，选择合适的配送工具、配送设备和包装。</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7.冷藏、冷冻药品的配送过程是否严格遵守《规范》的有关规定，有无脱离冷链。</w:t>
            </w:r>
          </w:p>
        </w:tc>
        <w:tc>
          <w:tcPr>
            <w:tcW w:w="5600"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（1）查看药品配送质量管理制度的合规性，是否符合《药品经营质量管理规范附录6：药品零售配送质量管理》第九条、第十条、第十六条的要求。</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（2）配送冷藏、冷冻药品的，应当按照《药品经营质量管理规范-附录1冷藏、冷冻药品的储存与运输管理》的要求进行检查。</w:t>
            </w:r>
          </w:p>
        </w:tc>
        <w:tc>
          <w:tcPr>
            <w:tcW w:w="3312" w:type="dxa"/>
            <w:tcBorders>
              <w:top w:val="single" w:sz="4" w:space="0" w:color="auto"/>
              <w:left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firstLine="0"/>
              <w:jc w:val="center"/>
              <w:rPr>
                <w:rFonts w:cs="CESI仿宋-GB2312"/>
                <w:sz w:val="22"/>
                <w:szCs w:val="22"/>
                <w:lang w:eastAsia="zh-CN"/>
              </w:rPr>
            </w:pPr>
            <w:r w:rsidRPr="001A483F">
              <w:rPr>
                <w:rFonts w:cs="CESI仿宋-GB2312" w:hint="eastAsia"/>
                <w:sz w:val="22"/>
                <w:szCs w:val="22"/>
                <w:lang w:eastAsia="zh-CN"/>
              </w:rPr>
              <w:t>《办法》第十四条第一款、《规范》第八条</w:t>
            </w:r>
          </w:p>
        </w:tc>
      </w:tr>
      <w:tr w:rsidR="00C129DC" w:rsidTr="001A483F">
        <w:trPr>
          <w:trHeight w:hRule="exact" w:val="5108"/>
        </w:trPr>
        <w:tc>
          <w:tcPr>
            <w:tcW w:w="933" w:type="dxa"/>
            <w:tcBorders>
              <w:top w:val="single" w:sz="4" w:space="0" w:color="auto"/>
            </w:tcBorders>
            <w:shd w:val="clear" w:color="auto" w:fill="FFFFFF"/>
            <w:vAlign w:val="center"/>
          </w:tcPr>
          <w:p w:rsidR="00C129DC" w:rsidRDefault="00C129DC" w:rsidP="00FA6C84">
            <w:pPr>
              <w:pStyle w:val="Other10"/>
              <w:spacing w:line="240" w:lineRule="auto"/>
              <w:ind w:firstLine="0"/>
              <w:jc w:val="center"/>
              <w:rPr>
                <w:rFonts w:ascii="CESI黑体-GB2312" w:eastAsia="CESI黑体-GB2312" w:hAnsi="CESI黑体-GB2312" w:cs="CESI黑体-GB2312"/>
                <w:b/>
                <w:bCs/>
                <w:sz w:val="24"/>
                <w:szCs w:val="24"/>
                <w:lang w:val="en-US" w:eastAsia="zh-CN"/>
              </w:rPr>
            </w:pPr>
            <w:r w:rsidRPr="00C129DC">
              <w:rPr>
                <w:rFonts w:ascii="楷体" w:eastAsia="楷体" w:hAnsi="楷体" w:cs="楷体" w:hint="eastAsia"/>
                <w:b/>
                <w:bCs/>
                <w:sz w:val="32"/>
                <w:szCs w:val="32"/>
                <w:lang w:val="en-US" w:eastAsia="zh-CN"/>
              </w:rPr>
              <w:lastRenderedPageBreak/>
              <w:t>（五）</w:t>
            </w:r>
          </w:p>
        </w:tc>
        <w:tc>
          <w:tcPr>
            <w:tcW w:w="910" w:type="dxa"/>
            <w:tcBorders>
              <w:top w:val="single" w:sz="4" w:space="0" w:color="auto"/>
              <w:left w:val="single" w:sz="4" w:space="0" w:color="auto"/>
            </w:tcBorders>
            <w:shd w:val="clear" w:color="auto" w:fill="FFFFFF"/>
            <w:vAlign w:val="center"/>
          </w:tcPr>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包装</w:t>
            </w:r>
          </w:p>
          <w:p w:rsidR="00C129DC" w:rsidRDefault="00C129DC" w:rsidP="00FA6C84">
            <w:pPr>
              <w:spacing w:line="320" w:lineRule="exact"/>
              <w:jc w:val="center"/>
              <w:rPr>
                <w:rFonts w:ascii="CESI黑体-GB2312" w:eastAsia="CESI黑体-GB2312" w:hAnsi="CESI黑体-GB2312" w:cs="CESI黑体-GB2312"/>
                <w:b/>
                <w:bCs/>
                <w:lang w:bidi="zh-TW"/>
              </w:rPr>
            </w:pPr>
            <w:r>
              <w:rPr>
                <w:rFonts w:ascii="楷体" w:eastAsia="楷体" w:hAnsi="楷体" w:cs="楷体" w:hint="eastAsia"/>
                <w:b/>
                <w:bCs/>
                <w:sz w:val="28"/>
                <w:szCs w:val="28"/>
              </w:rPr>
              <w:t>要求</w:t>
            </w:r>
          </w:p>
        </w:tc>
        <w:tc>
          <w:tcPr>
            <w:tcW w:w="3482"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Fonts w:ascii="宋体" w:hAnsi="宋体" w:cs="CESI仿宋-GB2312"/>
                <w:sz w:val="22"/>
                <w:szCs w:val="22"/>
              </w:rPr>
            </w:pPr>
            <w:r w:rsidRPr="001A483F">
              <w:rPr>
                <w:rStyle w:val="font01"/>
                <w:rFonts w:cs="CESI仿宋-GB2312" w:hint="eastAsia"/>
                <w:sz w:val="22"/>
                <w:szCs w:val="22"/>
              </w:rPr>
              <w:t>8.根据药品质量特性和管理要求，企业对配送的药品是否选取无毒、无污染、不易损坏的包装材料进行妥善包装。</w:t>
            </w:r>
          </w:p>
        </w:tc>
        <w:tc>
          <w:tcPr>
            <w:tcW w:w="5600" w:type="dxa"/>
            <w:tcBorders>
              <w:top w:val="single" w:sz="4" w:space="0" w:color="auto"/>
              <w:left w:val="single" w:sz="4" w:space="0" w:color="auto"/>
            </w:tcBorders>
            <w:shd w:val="clear" w:color="auto" w:fill="FFFFFF"/>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（1）通过现场实操等方式了解相关人员对操作规程的熟悉程度；</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（2）查看有温湿度、避光等要求的药品其包装物是否选取隔温、防潮、避光的包装材料。</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（3）查看寄递配送单是否涵盖药品零售企业名称及联系方式、配送企业名称及联系方式、药品储存要求（如常温、阴凉、冷藏、冷冻等）等信息；</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（4）抽查寄递配送单，对照查看系统配送记录相应信息是否一致；</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（5）抽查待配送区包装件，确认包装、封签的合规性；</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（6）查看待配送区的温湿度、光照、通风等情况，是否符合配送药品贮藏条件。</w:t>
            </w:r>
          </w:p>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（7）查看寄递配送单和包装封签实物，查看制作材料是否易损坏，确认封签上是否明显标示“药”的字样，打印信息的油墨是否易被擦拭或字迹模糊不清；</w:t>
            </w:r>
          </w:p>
          <w:p w:rsidR="00C129DC" w:rsidRPr="001A483F" w:rsidRDefault="00C129DC" w:rsidP="00C129DC">
            <w:pPr>
              <w:widowControl/>
              <w:adjustRightInd w:val="0"/>
              <w:snapToGrid w:val="0"/>
              <w:textAlignment w:val="top"/>
              <w:rPr>
                <w:rFonts w:ascii="宋体" w:hAnsi="宋体" w:cs="CESI仿宋-GB2312"/>
                <w:sz w:val="22"/>
                <w:szCs w:val="22"/>
                <w:lang w:val="zh-TW"/>
              </w:rPr>
            </w:pPr>
            <w:r w:rsidRPr="001A483F">
              <w:rPr>
                <w:rStyle w:val="font01"/>
                <w:rFonts w:cs="CESI仿宋-GB2312" w:hint="eastAsia"/>
                <w:sz w:val="22"/>
                <w:szCs w:val="22"/>
              </w:rPr>
              <w:t>（8）查看封签是否覆盖包装开口，确认包装被拆启后，封签无法恢复原状。</w:t>
            </w:r>
          </w:p>
        </w:tc>
        <w:tc>
          <w:tcPr>
            <w:tcW w:w="3312" w:type="dxa"/>
            <w:tcBorders>
              <w:top w:val="single" w:sz="4" w:space="0" w:color="auto"/>
              <w:left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firstLine="0"/>
              <w:jc w:val="center"/>
              <w:rPr>
                <w:rFonts w:cs="CESI黑体-GB2312"/>
                <w:b/>
                <w:bCs/>
                <w:sz w:val="22"/>
                <w:szCs w:val="22"/>
              </w:rPr>
            </w:pPr>
            <w:r w:rsidRPr="001A483F">
              <w:rPr>
                <w:rFonts w:cs="CESI仿宋-GB2312" w:hint="eastAsia"/>
                <w:sz w:val="22"/>
                <w:szCs w:val="22"/>
                <w:lang w:eastAsia="zh-CN"/>
              </w:rPr>
              <w:t>《规范》第十一条、十二条</w:t>
            </w:r>
          </w:p>
        </w:tc>
      </w:tr>
      <w:tr w:rsidR="00C129DC" w:rsidTr="00C129DC">
        <w:trPr>
          <w:trHeight w:hRule="exact" w:val="1669"/>
        </w:trPr>
        <w:tc>
          <w:tcPr>
            <w:tcW w:w="933" w:type="dxa"/>
            <w:tcBorders>
              <w:top w:val="single" w:sz="4" w:space="0" w:color="auto"/>
            </w:tcBorders>
            <w:shd w:val="clear" w:color="auto" w:fill="FFFFFF"/>
            <w:vAlign w:val="center"/>
          </w:tcPr>
          <w:p w:rsidR="00C129DC" w:rsidRDefault="00C129DC" w:rsidP="00FA6C84">
            <w:pPr>
              <w:pStyle w:val="Other10"/>
              <w:spacing w:line="240" w:lineRule="auto"/>
              <w:ind w:firstLine="0"/>
              <w:jc w:val="center"/>
              <w:rPr>
                <w:rFonts w:ascii="楷体" w:eastAsia="楷体" w:hAnsi="楷体" w:cs="楷体"/>
                <w:b/>
                <w:bCs/>
                <w:sz w:val="32"/>
                <w:szCs w:val="32"/>
                <w:lang w:val="en-US" w:eastAsia="zh-CN"/>
              </w:rPr>
            </w:pPr>
            <w:r>
              <w:rPr>
                <w:rFonts w:ascii="楷体" w:eastAsia="楷体" w:hAnsi="楷体" w:cs="楷体" w:hint="eastAsia"/>
                <w:b/>
                <w:bCs/>
                <w:sz w:val="32"/>
                <w:szCs w:val="32"/>
                <w:lang w:val="en-US" w:eastAsia="zh-CN"/>
              </w:rPr>
              <w:t>（六）</w:t>
            </w:r>
          </w:p>
        </w:tc>
        <w:tc>
          <w:tcPr>
            <w:tcW w:w="910" w:type="dxa"/>
            <w:tcBorders>
              <w:top w:val="single" w:sz="4" w:space="0" w:color="auto"/>
              <w:left w:val="single" w:sz="4" w:space="0" w:color="auto"/>
            </w:tcBorders>
            <w:shd w:val="clear" w:color="auto" w:fill="FFFFFF"/>
            <w:vAlign w:val="center"/>
          </w:tcPr>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设备</w:t>
            </w:r>
          </w:p>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管理</w:t>
            </w:r>
          </w:p>
        </w:tc>
        <w:tc>
          <w:tcPr>
            <w:tcW w:w="3482"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Fonts w:ascii="宋体" w:hAnsi="宋体" w:cs="CESI仿宋-GB2312"/>
                <w:sz w:val="22"/>
                <w:szCs w:val="22"/>
              </w:rPr>
            </w:pPr>
            <w:r w:rsidRPr="001A483F">
              <w:rPr>
                <w:rStyle w:val="font01"/>
                <w:rFonts w:cs="CESI仿宋-GB2312" w:hint="eastAsia"/>
                <w:sz w:val="22"/>
                <w:szCs w:val="22"/>
              </w:rPr>
              <w:t>9.企业是否对配送设备进行定期检查、清洁和维护，并由专人负责管理，建立记录和档案。</w:t>
            </w:r>
          </w:p>
        </w:tc>
        <w:tc>
          <w:tcPr>
            <w:tcW w:w="5600"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（1）抽查配送设备检查、清洁和维护记录；</w:t>
            </w:r>
          </w:p>
          <w:p w:rsidR="00C129DC" w:rsidRPr="001A483F" w:rsidRDefault="00C129DC" w:rsidP="00C129DC">
            <w:pPr>
              <w:widowControl/>
              <w:adjustRightInd w:val="0"/>
              <w:snapToGrid w:val="0"/>
              <w:textAlignment w:val="top"/>
              <w:rPr>
                <w:rFonts w:ascii="宋体" w:hAnsi="宋体" w:cs="CESI仿宋-GB2312"/>
                <w:sz w:val="22"/>
                <w:szCs w:val="22"/>
                <w:lang w:val="zh-TW"/>
              </w:rPr>
            </w:pPr>
            <w:r w:rsidRPr="001A483F">
              <w:rPr>
                <w:rStyle w:val="font01"/>
                <w:rFonts w:cs="CESI仿宋-GB2312" w:hint="eastAsia"/>
                <w:sz w:val="22"/>
                <w:szCs w:val="22"/>
              </w:rPr>
              <w:t>（2）与相关岗位人员进行谈话，了解其对操作规程责的熟悉情况。</w:t>
            </w:r>
          </w:p>
        </w:tc>
        <w:tc>
          <w:tcPr>
            <w:tcW w:w="3312" w:type="dxa"/>
            <w:tcBorders>
              <w:top w:val="single" w:sz="4" w:space="0" w:color="auto"/>
              <w:left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firstLine="0"/>
              <w:jc w:val="center"/>
              <w:rPr>
                <w:rFonts w:cs="CESI仿宋-GB2312"/>
                <w:sz w:val="22"/>
                <w:szCs w:val="22"/>
                <w:lang w:eastAsia="zh-CN"/>
              </w:rPr>
            </w:pPr>
            <w:r w:rsidRPr="001A483F">
              <w:rPr>
                <w:rFonts w:cs="CESI仿宋-GB2312" w:hint="eastAsia"/>
                <w:sz w:val="22"/>
                <w:szCs w:val="22"/>
                <w:lang w:eastAsia="zh-CN"/>
              </w:rPr>
              <w:t>《规范》第十三条</w:t>
            </w:r>
          </w:p>
        </w:tc>
      </w:tr>
      <w:tr w:rsidR="00C129DC" w:rsidTr="00C129DC">
        <w:trPr>
          <w:trHeight w:hRule="exact" w:val="4257"/>
        </w:trPr>
        <w:tc>
          <w:tcPr>
            <w:tcW w:w="933" w:type="dxa"/>
            <w:tcBorders>
              <w:top w:val="single" w:sz="4" w:space="0" w:color="auto"/>
              <w:bottom w:val="single" w:sz="4" w:space="0" w:color="auto"/>
            </w:tcBorders>
            <w:shd w:val="clear" w:color="auto" w:fill="FFFFFF"/>
            <w:vAlign w:val="center"/>
          </w:tcPr>
          <w:p w:rsidR="00C129DC" w:rsidRDefault="00C129DC" w:rsidP="00FA6C84">
            <w:pPr>
              <w:pStyle w:val="Other10"/>
              <w:spacing w:line="240" w:lineRule="auto"/>
              <w:ind w:firstLine="0"/>
              <w:jc w:val="center"/>
              <w:rPr>
                <w:rFonts w:ascii="楷体" w:eastAsia="楷体" w:hAnsi="楷体" w:cs="楷体"/>
                <w:b/>
                <w:bCs/>
                <w:sz w:val="22"/>
                <w:szCs w:val="22"/>
                <w:lang w:val="en-US" w:eastAsia="zh-CN"/>
              </w:rPr>
            </w:pPr>
            <w:r>
              <w:rPr>
                <w:rFonts w:ascii="楷体" w:eastAsia="楷体" w:hAnsi="楷体" w:cs="楷体" w:hint="eastAsia"/>
                <w:b/>
                <w:bCs/>
                <w:sz w:val="32"/>
                <w:szCs w:val="32"/>
                <w:lang w:val="en-US" w:eastAsia="zh-CN"/>
              </w:rPr>
              <w:lastRenderedPageBreak/>
              <w:t>（七）</w:t>
            </w:r>
          </w:p>
        </w:tc>
        <w:tc>
          <w:tcPr>
            <w:tcW w:w="910" w:type="dxa"/>
            <w:tcBorders>
              <w:top w:val="single" w:sz="4" w:space="0" w:color="auto"/>
              <w:left w:val="single" w:sz="4" w:space="0" w:color="auto"/>
              <w:bottom w:val="single" w:sz="4" w:space="0" w:color="auto"/>
            </w:tcBorders>
            <w:shd w:val="clear" w:color="auto" w:fill="FFFFFF"/>
            <w:vAlign w:val="center"/>
          </w:tcPr>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发货</w:t>
            </w:r>
          </w:p>
          <w:p w:rsidR="00C129DC" w:rsidRDefault="00C129DC" w:rsidP="00FA6C84">
            <w:pPr>
              <w:spacing w:line="320" w:lineRule="exact"/>
              <w:jc w:val="center"/>
              <w:rPr>
                <w:rFonts w:ascii="楷体" w:eastAsia="楷体" w:hAnsi="楷体" w:cs="楷体"/>
                <w:b/>
                <w:bCs/>
              </w:rPr>
            </w:pPr>
            <w:r>
              <w:rPr>
                <w:rFonts w:ascii="楷体" w:eastAsia="楷体" w:hAnsi="楷体" w:cs="楷体" w:hint="eastAsia"/>
                <w:b/>
                <w:bCs/>
                <w:sz w:val="28"/>
                <w:szCs w:val="28"/>
              </w:rPr>
              <w:t>要求</w:t>
            </w:r>
          </w:p>
        </w:tc>
        <w:tc>
          <w:tcPr>
            <w:tcW w:w="3482" w:type="dxa"/>
            <w:tcBorders>
              <w:top w:val="single" w:sz="4" w:space="0" w:color="auto"/>
              <w:left w:val="single" w:sz="4" w:space="0" w:color="auto"/>
              <w:bottom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10.企业是否对照消费者购买记录进行拣选、复核、包装、与发货，是否存在以下不得发货情况：</w:t>
            </w:r>
          </w:p>
          <w:p w:rsidR="00C129DC" w:rsidRPr="001A483F" w:rsidRDefault="00C129DC" w:rsidP="00C129DC">
            <w:pPr>
              <w:widowControl/>
              <w:adjustRightInd w:val="0"/>
              <w:snapToGrid w:val="0"/>
              <w:textAlignment w:val="top"/>
              <w:rPr>
                <w:rStyle w:val="font01"/>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（1）药品包装出现破损、污染、封条破坏等问题；</w:t>
            </w:r>
          </w:p>
          <w:p w:rsidR="00C129DC" w:rsidRPr="001A483F" w:rsidRDefault="00C129DC" w:rsidP="00C129DC">
            <w:pPr>
              <w:widowControl/>
              <w:adjustRightInd w:val="0"/>
              <w:snapToGrid w:val="0"/>
              <w:textAlignment w:val="top"/>
              <w:rPr>
                <w:rStyle w:val="font01"/>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（2）药品包装内有异常响动或者液体渗漏；</w:t>
            </w:r>
          </w:p>
          <w:p w:rsidR="00C129DC" w:rsidRPr="001A483F" w:rsidRDefault="00C129DC" w:rsidP="00C129DC">
            <w:pPr>
              <w:widowControl/>
              <w:adjustRightInd w:val="0"/>
              <w:snapToGrid w:val="0"/>
              <w:textAlignment w:val="top"/>
              <w:rPr>
                <w:rStyle w:val="font01"/>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（3）药品标签脱落、字迹模糊不清或者标识内容与实物不符；</w:t>
            </w:r>
          </w:p>
          <w:p w:rsidR="00C129DC" w:rsidRPr="001A483F" w:rsidRDefault="00C129DC" w:rsidP="00C129DC">
            <w:pPr>
              <w:widowControl/>
              <w:adjustRightInd w:val="0"/>
              <w:snapToGrid w:val="0"/>
              <w:textAlignment w:val="top"/>
              <w:rPr>
                <w:rStyle w:val="font01"/>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（4）药品已超过有效期或无法在有效期内送达消费者；</w:t>
            </w:r>
          </w:p>
          <w:p w:rsidR="00C129DC" w:rsidRPr="001A483F" w:rsidRDefault="00C129DC" w:rsidP="00C129DC">
            <w:pPr>
              <w:widowControl/>
              <w:adjustRightInd w:val="0"/>
              <w:snapToGrid w:val="0"/>
              <w:textAlignment w:val="top"/>
              <w:rPr>
                <w:rFonts w:asciiTheme="minorEastAsia" w:eastAsiaTheme="minorEastAsia" w:hAnsiTheme="minorEastAsia" w:cs="CESI仿宋-GB2312"/>
                <w:sz w:val="22"/>
                <w:szCs w:val="22"/>
                <w:lang w:val="zh-TW"/>
              </w:rPr>
            </w:pPr>
            <w:r w:rsidRPr="001A483F">
              <w:rPr>
                <w:rStyle w:val="font01"/>
                <w:rFonts w:asciiTheme="minorEastAsia" w:eastAsiaTheme="minorEastAsia" w:hAnsiTheme="minorEastAsia" w:cs="CESI仿宋-GB2312" w:hint="eastAsia"/>
                <w:sz w:val="22"/>
                <w:szCs w:val="22"/>
              </w:rPr>
              <w:t>（5）其他异常情况的药品。</w:t>
            </w:r>
          </w:p>
        </w:tc>
        <w:tc>
          <w:tcPr>
            <w:tcW w:w="5600" w:type="dxa"/>
            <w:tcBorders>
              <w:top w:val="single" w:sz="4" w:space="0" w:color="auto"/>
              <w:left w:val="single" w:sz="4" w:space="0" w:color="auto"/>
            </w:tcBorders>
            <w:shd w:val="clear" w:color="auto" w:fill="FFFFFF"/>
            <w:vAlign w:val="center"/>
          </w:tcPr>
          <w:p w:rsidR="00C129DC" w:rsidRPr="001A483F" w:rsidRDefault="00C129DC" w:rsidP="00C129DC">
            <w:pPr>
              <w:widowControl/>
              <w:adjustRightInd w:val="0"/>
              <w:snapToGrid w:val="0"/>
              <w:textAlignment w:val="top"/>
              <w:rPr>
                <w:rStyle w:val="font01"/>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（1）通过现场实操等方式了解相关人员对操作规程的熟悉程度；</w:t>
            </w:r>
          </w:p>
          <w:p w:rsidR="00C129DC" w:rsidRPr="001A483F" w:rsidRDefault="00C129DC" w:rsidP="00C129DC">
            <w:pPr>
              <w:widowControl/>
              <w:adjustRightInd w:val="0"/>
              <w:snapToGrid w:val="0"/>
              <w:textAlignment w:val="top"/>
              <w:rPr>
                <w:rFonts w:asciiTheme="minorEastAsia" w:eastAsiaTheme="minorEastAsia" w:hAnsiTheme="minorEastAsia" w:cs="CESI仿宋-GB2312"/>
                <w:sz w:val="22"/>
                <w:szCs w:val="22"/>
                <w:lang w:val="zh-TW"/>
              </w:rPr>
            </w:pPr>
            <w:r w:rsidRPr="001A483F">
              <w:rPr>
                <w:rStyle w:val="font01"/>
                <w:rFonts w:asciiTheme="minorEastAsia" w:eastAsiaTheme="minorEastAsia" w:hAnsiTheme="minorEastAsia" w:cs="CESI仿宋-GB2312" w:hint="eastAsia"/>
                <w:sz w:val="22"/>
                <w:szCs w:val="22"/>
              </w:rPr>
              <w:t>（2）抽查异常情况药品处理记录，确认相关内容。</w:t>
            </w:r>
          </w:p>
        </w:tc>
        <w:tc>
          <w:tcPr>
            <w:tcW w:w="3312" w:type="dxa"/>
            <w:tcBorders>
              <w:top w:val="single" w:sz="4" w:space="0" w:color="auto"/>
              <w:left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firstLine="0"/>
              <w:jc w:val="center"/>
              <w:rPr>
                <w:rFonts w:asciiTheme="minorEastAsia" w:eastAsiaTheme="minorEastAsia" w:hAnsiTheme="minorEastAsia" w:cs="CESI仿宋-GB2312"/>
                <w:sz w:val="22"/>
                <w:szCs w:val="22"/>
              </w:rPr>
            </w:pPr>
            <w:r w:rsidRPr="001A483F">
              <w:rPr>
                <w:rFonts w:asciiTheme="minorEastAsia" w:eastAsiaTheme="minorEastAsia" w:hAnsiTheme="minorEastAsia" w:cs="CESI仿宋-GB2312" w:hint="eastAsia"/>
                <w:sz w:val="22"/>
                <w:szCs w:val="22"/>
                <w:lang w:eastAsia="zh-CN"/>
              </w:rPr>
              <w:t>《规范》第十四条</w:t>
            </w:r>
          </w:p>
        </w:tc>
      </w:tr>
      <w:tr w:rsidR="00C129DC" w:rsidTr="0063417E">
        <w:trPr>
          <w:trHeight w:hRule="exact" w:val="1130"/>
        </w:trPr>
        <w:tc>
          <w:tcPr>
            <w:tcW w:w="933" w:type="dxa"/>
            <w:tcBorders>
              <w:top w:val="single" w:sz="4" w:space="0" w:color="auto"/>
              <w:bottom w:val="single" w:sz="4" w:space="0" w:color="auto"/>
            </w:tcBorders>
            <w:shd w:val="clear" w:color="auto" w:fill="FFFFFF"/>
            <w:vAlign w:val="center"/>
          </w:tcPr>
          <w:p w:rsidR="00C129DC" w:rsidRDefault="00C129DC" w:rsidP="00FA6C84">
            <w:pPr>
              <w:pStyle w:val="Other10"/>
              <w:spacing w:line="240" w:lineRule="auto"/>
              <w:ind w:firstLine="0"/>
              <w:jc w:val="both"/>
              <w:rPr>
                <w:rFonts w:ascii="楷体" w:eastAsia="楷体" w:hAnsi="楷体" w:cs="楷体"/>
                <w:b/>
                <w:bCs/>
                <w:sz w:val="32"/>
                <w:szCs w:val="32"/>
                <w:lang w:val="en-US" w:eastAsia="zh-CN"/>
              </w:rPr>
            </w:pPr>
            <w:r>
              <w:rPr>
                <w:rFonts w:ascii="楷体" w:eastAsia="楷体" w:hAnsi="楷体" w:cs="楷体" w:hint="eastAsia"/>
                <w:b/>
                <w:bCs/>
                <w:sz w:val="32"/>
                <w:szCs w:val="32"/>
                <w:lang w:val="en-US" w:eastAsia="zh-CN"/>
              </w:rPr>
              <w:t>（八）</w:t>
            </w:r>
          </w:p>
        </w:tc>
        <w:tc>
          <w:tcPr>
            <w:tcW w:w="910" w:type="dxa"/>
            <w:tcBorders>
              <w:top w:val="single" w:sz="4" w:space="0" w:color="auto"/>
              <w:left w:val="single" w:sz="4" w:space="0" w:color="auto"/>
              <w:bottom w:val="single" w:sz="4" w:space="0" w:color="auto"/>
            </w:tcBorders>
            <w:shd w:val="clear" w:color="auto" w:fill="FFFFFF"/>
            <w:vAlign w:val="center"/>
          </w:tcPr>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收货</w:t>
            </w:r>
          </w:p>
          <w:p w:rsidR="00C129DC" w:rsidRDefault="00C129DC" w:rsidP="00FA6C84">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确认</w:t>
            </w:r>
          </w:p>
        </w:tc>
        <w:tc>
          <w:tcPr>
            <w:tcW w:w="3482" w:type="dxa"/>
            <w:tcBorders>
              <w:top w:val="single" w:sz="4" w:space="0" w:color="auto"/>
              <w:left w:val="single" w:sz="4" w:space="0" w:color="auto"/>
              <w:bottom w:val="single" w:sz="4" w:space="0" w:color="auto"/>
            </w:tcBorders>
            <w:shd w:val="clear" w:color="auto" w:fill="FFFFFF"/>
            <w:vAlign w:val="center"/>
          </w:tcPr>
          <w:p w:rsidR="00C129DC" w:rsidRPr="001A483F" w:rsidRDefault="00C129DC" w:rsidP="00C129DC">
            <w:pPr>
              <w:widowControl/>
              <w:adjustRightInd w:val="0"/>
              <w:snapToGrid w:val="0"/>
              <w:textAlignment w:val="top"/>
              <w:rPr>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11.药品送达后，企业是否通过有效方式提示消费者确认药品的配送信息以及配送包装内药品有无破损或差错等情况。</w:t>
            </w:r>
          </w:p>
        </w:tc>
        <w:tc>
          <w:tcPr>
            <w:tcW w:w="5600" w:type="dxa"/>
            <w:tcBorders>
              <w:top w:val="single" w:sz="4" w:space="0" w:color="auto"/>
              <w:left w:val="single" w:sz="4" w:space="0" w:color="auto"/>
              <w:bottom w:val="single" w:sz="4" w:space="0" w:color="auto"/>
            </w:tcBorders>
            <w:shd w:val="clear" w:color="auto" w:fill="FFFFFF"/>
            <w:vAlign w:val="center"/>
          </w:tcPr>
          <w:p w:rsidR="00C129DC" w:rsidRPr="001A483F" w:rsidRDefault="00C129DC" w:rsidP="00C129DC">
            <w:pPr>
              <w:widowControl/>
              <w:adjustRightInd w:val="0"/>
              <w:snapToGrid w:val="0"/>
              <w:textAlignment w:val="top"/>
              <w:rPr>
                <w:rFonts w:asciiTheme="minorEastAsia" w:eastAsiaTheme="minorEastAsia" w:hAnsiTheme="minorEastAsia" w:cs="CESI仿宋-GB2312"/>
                <w:sz w:val="22"/>
                <w:szCs w:val="22"/>
              </w:rPr>
            </w:pPr>
            <w:r w:rsidRPr="001A483F">
              <w:rPr>
                <w:rStyle w:val="font01"/>
                <w:rFonts w:asciiTheme="minorEastAsia" w:eastAsiaTheme="minorEastAsia" w:hAnsiTheme="minorEastAsia" w:cs="CESI仿宋-GB2312" w:hint="eastAsia"/>
                <w:sz w:val="22"/>
                <w:szCs w:val="22"/>
              </w:rPr>
              <w:t xml:space="preserve">查看网站或网络客户端应用程序中药品销售页面，是否醒目提示消费者要进行收货确认，或是否采取其他方式提示消费者。 </w:t>
            </w:r>
          </w:p>
        </w:tc>
        <w:tc>
          <w:tcPr>
            <w:tcW w:w="3312" w:type="dxa"/>
            <w:tcBorders>
              <w:top w:val="single" w:sz="4" w:space="0" w:color="auto"/>
              <w:left w:val="single" w:sz="4" w:space="0" w:color="auto"/>
              <w:bottom w:val="single" w:sz="4" w:space="0" w:color="auto"/>
            </w:tcBorders>
            <w:shd w:val="clear" w:color="auto" w:fill="FFFFFF"/>
            <w:vAlign w:val="center"/>
          </w:tcPr>
          <w:p w:rsidR="00C129DC" w:rsidRPr="001A483F" w:rsidRDefault="00C129DC" w:rsidP="00C129DC">
            <w:pPr>
              <w:pStyle w:val="Other10"/>
              <w:adjustRightInd w:val="0"/>
              <w:snapToGrid w:val="0"/>
              <w:spacing w:line="240" w:lineRule="auto"/>
              <w:ind w:firstLine="260"/>
              <w:jc w:val="center"/>
              <w:rPr>
                <w:rFonts w:asciiTheme="minorEastAsia" w:eastAsiaTheme="minorEastAsia" w:hAnsiTheme="minorEastAsia" w:cs="CESI仿宋-GB2312"/>
                <w:sz w:val="22"/>
                <w:szCs w:val="22"/>
                <w:lang w:val="en-US" w:eastAsia="en-US"/>
              </w:rPr>
            </w:pPr>
            <w:r w:rsidRPr="001A483F">
              <w:rPr>
                <w:rFonts w:asciiTheme="minorEastAsia" w:eastAsiaTheme="minorEastAsia" w:hAnsiTheme="minorEastAsia" w:cs="CESI仿宋-GB2312" w:hint="eastAsia"/>
                <w:sz w:val="22"/>
                <w:szCs w:val="22"/>
                <w:lang w:eastAsia="zh-CN"/>
              </w:rPr>
              <w:t>《规范》第十八条</w:t>
            </w:r>
          </w:p>
        </w:tc>
      </w:tr>
      <w:tr w:rsidR="001A483F" w:rsidTr="001A483F">
        <w:trPr>
          <w:trHeight w:hRule="exact" w:val="718"/>
        </w:trPr>
        <w:tc>
          <w:tcPr>
            <w:tcW w:w="14237" w:type="dxa"/>
            <w:gridSpan w:val="5"/>
            <w:tcBorders>
              <w:top w:val="single" w:sz="4" w:space="0" w:color="auto"/>
              <w:bottom w:val="single" w:sz="4" w:space="0" w:color="auto"/>
            </w:tcBorders>
            <w:shd w:val="clear" w:color="auto" w:fill="FFFFFF"/>
            <w:vAlign w:val="center"/>
          </w:tcPr>
          <w:p w:rsidR="001A483F" w:rsidRPr="001A483F" w:rsidRDefault="001A483F" w:rsidP="00C129DC">
            <w:pPr>
              <w:pStyle w:val="Other10"/>
              <w:adjustRightInd w:val="0"/>
              <w:snapToGrid w:val="0"/>
              <w:spacing w:line="240" w:lineRule="auto"/>
              <w:ind w:firstLine="260"/>
              <w:jc w:val="center"/>
              <w:rPr>
                <w:rFonts w:ascii="黑体" w:eastAsia="黑体" w:hAnsi="黑体" w:cs="CESI黑体-GB2312"/>
                <w:sz w:val="32"/>
                <w:szCs w:val="32"/>
                <w:lang w:eastAsia="zh-CN"/>
              </w:rPr>
            </w:pPr>
            <w:r w:rsidRPr="001A483F">
              <w:rPr>
                <w:rFonts w:ascii="黑体" w:eastAsia="黑体" w:hAnsi="黑体" w:cs="CESI黑体-GB2312" w:hint="eastAsia"/>
                <w:sz w:val="32"/>
                <w:szCs w:val="32"/>
                <w:lang w:eastAsia="zh-CN"/>
              </w:rPr>
              <w:t>三、退货管理（药品网售企业）</w:t>
            </w:r>
          </w:p>
        </w:tc>
      </w:tr>
      <w:tr w:rsidR="0063417E" w:rsidTr="001A483F">
        <w:trPr>
          <w:trHeight w:hRule="exact" w:val="2414"/>
        </w:trPr>
        <w:tc>
          <w:tcPr>
            <w:tcW w:w="933" w:type="dxa"/>
            <w:tcBorders>
              <w:top w:val="single" w:sz="4" w:space="0" w:color="auto"/>
              <w:bottom w:val="single" w:sz="4" w:space="0" w:color="auto"/>
            </w:tcBorders>
            <w:shd w:val="clear" w:color="auto" w:fill="FFFFFF"/>
            <w:vAlign w:val="center"/>
          </w:tcPr>
          <w:p w:rsidR="0063417E" w:rsidRDefault="0063417E" w:rsidP="0063417E">
            <w:pPr>
              <w:pStyle w:val="Other10"/>
              <w:spacing w:line="240" w:lineRule="auto"/>
              <w:ind w:firstLine="0"/>
              <w:jc w:val="both"/>
              <w:rPr>
                <w:rFonts w:ascii="楷体" w:eastAsia="楷体" w:hAnsi="楷体" w:cs="楷体"/>
                <w:b/>
                <w:bCs/>
                <w:sz w:val="32"/>
                <w:szCs w:val="32"/>
                <w:lang w:val="en-US" w:eastAsia="zh-CN"/>
              </w:rPr>
            </w:pPr>
            <w:r>
              <w:rPr>
                <w:rFonts w:ascii="楷体" w:eastAsia="楷体" w:hAnsi="楷体" w:cs="楷体" w:hint="eastAsia"/>
                <w:b/>
                <w:bCs/>
                <w:sz w:val="32"/>
                <w:szCs w:val="32"/>
                <w:lang w:val="en-US" w:eastAsia="zh-CN"/>
              </w:rPr>
              <w:t>（九）</w:t>
            </w:r>
          </w:p>
        </w:tc>
        <w:tc>
          <w:tcPr>
            <w:tcW w:w="910" w:type="dxa"/>
            <w:tcBorders>
              <w:top w:val="single" w:sz="4" w:space="0" w:color="auto"/>
              <w:left w:val="single" w:sz="4" w:space="0" w:color="auto"/>
              <w:bottom w:val="single" w:sz="4" w:space="0" w:color="auto"/>
            </w:tcBorders>
            <w:shd w:val="clear" w:color="auto" w:fill="FFFFFF"/>
            <w:vAlign w:val="center"/>
          </w:tcPr>
          <w:p w:rsidR="0063417E" w:rsidRDefault="0063417E" w:rsidP="0063417E">
            <w:pPr>
              <w:spacing w:line="320" w:lineRule="exact"/>
              <w:jc w:val="center"/>
              <w:rPr>
                <w:rFonts w:ascii="楷体" w:eastAsia="楷体" w:hAnsi="楷体" w:cs="楷体"/>
                <w:b/>
                <w:bCs/>
                <w:sz w:val="28"/>
                <w:szCs w:val="28"/>
              </w:rPr>
            </w:pPr>
            <w:r>
              <w:rPr>
                <w:rFonts w:ascii="楷体" w:eastAsia="楷体" w:hAnsi="楷体" w:cs="楷体" w:hint="eastAsia"/>
                <w:b/>
                <w:bCs/>
                <w:sz w:val="28"/>
                <w:szCs w:val="28"/>
              </w:rPr>
              <w:t>退货</w:t>
            </w:r>
          </w:p>
          <w:p w:rsidR="0063417E" w:rsidRDefault="0063417E" w:rsidP="0063417E">
            <w:pPr>
              <w:spacing w:line="320" w:lineRule="exact"/>
              <w:jc w:val="center"/>
              <w:rPr>
                <w:rFonts w:ascii="楷体" w:eastAsia="楷体" w:hAnsi="楷体" w:cs="楷体"/>
                <w:b/>
                <w:bCs/>
              </w:rPr>
            </w:pPr>
            <w:r>
              <w:rPr>
                <w:rFonts w:ascii="楷体" w:eastAsia="楷体" w:hAnsi="楷体" w:cs="楷体" w:hint="eastAsia"/>
                <w:b/>
                <w:bCs/>
                <w:sz w:val="28"/>
                <w:szCs w:val="28"/>
              </w:rPr>
              <w:t>要求</w:t>
            </w:r>
          </w:p>
          <w:p w:rsidR="0063417E" w:rsidRDefault="0063417E" w:rsidP="0063417E">
            <w:pPr>
              <w:spacing w:line="500" w:lineRule="exact"/>
              <w:jc w:val="center"/>
              <w:rPr>
                <w:rFonts w:ascii="楷体" w:eastAsia="楷体" w:hAnsi="楷体" w:cs="楷体"/>
                <w:b/>
                <w:bCs/>
                <w:sz w:val="10"/>
                <w:szCs w:val="10"/>
              </w:rPr>
            </w:pPr>
          </w:p>
        </w:tc>
        <w:tc>
          <w:tcPr>
            <w:tcW w:w="3482" w:type="dxa"/>
            <w:tcBorders>
              <w:top w:val="single" w:sz="4" w:space="0" w:color="auto"/>
              <w:left w:val="single" w:sz="4" w:space="0" w:color="auto"/>
              <w:bottom w:val="single" w:sz="4" w:space="0" w:color="auto"/>
            </w:tcBorders>
            <w:shd w:val="clear" w:color="auto" w:fill="FFFFFF"/>
            <w:vAlign w:val="center"/>
          </w:tcPr>
          <w:p w:rsidR="0063417E" w:rsidRPr="001A483F" w:rsidRDefault="0063417E" w:rsidP="0063417E">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12.药品送达时，因包装损坏、封签损坏、配送信息不符等情形，消费者不予签收的，企业是否给予退货并加强对退货的管理，保证退货环节药品的质量和安全。</w:t>
            </w:r>
          </w:p>
          <w:p w:rsidR="0063417E" w:rsidRPr="001A483F" w:rsidRDefault="0063417E" w:rsidP="0063417E">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13.药品送达时或药品签收后，发现药品质量存在问题的，企业是否给予退货，退回药品是否继续销售。</w:t>
            </w:r>
          </w:p>
        </w:tc>
        <w:tc>
          <w:tcPr>
            <w:tcW w:w="5600" w:type="dxa"/>
            <w:tcBorders>
              <w:top w:val="single" w:sz="4" w:space="0" w:color="auto"/>
              <w:left w:val="single" w:sz="4" w:space="0" w:color="auto"/>
              <w:bottom w:val="single" w:sz="4" w:space="0" w:color="auto"/>
            </w:tcBorders>
            <w:shd w:val="clear" w:color="auto" w:fill="FFFFFF"/>
            <w:vAlign w:val="center"/>
          </w:tcPr>
          <w:p w:rsidR="0063417E" w:rsidRPr="001A483F" w:rsidRDefault="0063417E" w:rsidP="0063417E">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查看药品网络销售退回管理制度的合规性及执行情况。</w:t>
            </w:r>
          </w:p>
        </w:tc>
        <w:tc>
          <w:tcPr>
            <w:tcW w:w="3312" w:type="dxa"/>
            <w:tcBorders>
              <w:top w:val="single" w:sz="4" w:space="0" w:color="auto"/>
              <w:left w:val="single" w:sz="4" w:space="0" w:color="auto"/>
              <w:bottom w:val="single" w:sz="4" w:space="0" w:color="auto"/>
            </w:tcBorders>
            <w:shd w:val="clear" w:color="auto" w:fill="FFFFFF"/>
            <w:vAlign w:val="center"/>
          </w:tcPr>
          <w:p w:rsidR="0063417E" w:rsidRPr="001A483F" w:rsidRDefault="0063417E" w:rsidP="0063417E">
            <w:pPr>
              <w:pStyle w:val="Other10"/>
              <w:adjustRightInd w:val="0"/>
              <w:snapToGrid w:val="0"/>
              <w:spacing w:line="317" w:lineRule="exact"/>
              <w:ind w:firstLine="0"/>
              <w:jc w:val="center"/>
              <w:rPr>
                <w:rStyle w:val="font01"/>
                <w:rFonts w:cs="CESI仿宋-GB2312"/>
                <w:kern w:val="2"/>
                <w:sz w:val="22"/>
                <w:szCs w:val="22"/>
                <w:lang w:val="en-US" w:eastAsia="zh-CN" w:bidi="ar-SA"/>
              </w:rPr>
            </w:pPr>
            <w:r w:rsidRPr="001A483F">
              <w:rPr>
                <w:rStyle w:val="font01"/>
                <w:rFonts w:cs="CESI仿宋-GB2312" w:hint="eastAsia"/>
                <w:kern w:val="2"/>
                <w:sz w:val="22"/>
                <w:szCs w:val="22"/>
                <w:lang w:val="en-US" w:bidi="ar-SA"/>
              </w:rPr>
              <w:t>《规范》第十九条</w:t>
            </w:r>
          </w:p>
        </w:tc>
      </w:tr>
      <w:tr w:rsidR="001A483F" w:rsidTr="001A483F">
        <w:trPr>
          <w:trHeight w:hRule="exact" w:val="997"/>
        </w:trPr>
        <w:tc>
          <w:tcPr>
            <w:tcW w:w="14237" w:type="dxa"/>
            <w:gridSpan w:val="5"/>
            <w:tcBorders>
              <w:top w:val="single" w:sz="4" w:space="0" w:color="auto"/>
              <w:bottom w:val="single" w:sz="4" w:space="0" w:color="auto"/>
            </w:tcBorders>
            <w:shd w:val="clear" w:color="auto" w:fill="FFFFFF"/>
            <w:vAlign w:val="center"/>
          </w:tcPr>
          <w:p w:rsidR="001A483F" w:rsidRPr="001A483F" w:rsidRDefault="001A483F" w:rsidP="001A483F">
            <w:pPr>
              <w:pStyle w:val="Other10"/>
              <w:adjustRightInd w:val="0"/>
              <w:snapToGrid w:val="0"/>
              <w:spacing w:line="240" w:lineRule="auto"/>
              <w:ind w:firstLine="260"/>
              <w:jc w:val="center"/>
              <w:rPr>
                <w:rFonts w:ascii="黑体" w:eastAsia="黑体" w:hAnsi="黑体" w:cs="CESI黑体-GB2312"/>
                <w:sz w:val="32"/>
                <w:szCs w:val="32"/>
                <w:lang w:eastAsia="zh-CN"/>
              </w:rPr>
            </w:pPr>
            <w:r w:rsidRPr="001A483F">
              <w:rPr>
                <w:rFonts w:ascii="黑体" w:eastAsia="黑体" w:hAnsi="黑体" w:cs="CESI黑体-GB2312" w:hint="eastAsia"/>
                <w:sz w:val="32"/>
                <w:szCs w:val="32"/>
              </w:rPr>
              <w:lastRenderedPageBreak/>
              <w:t>四、委托配送</w:t>
            </w:r>
          </w:p>
        </w:tc>
      </w:tr>
      <w:tr w:rsidR="001A483F" w:rsidTr="001A483F">
        <w:trPr>
          <w:trHeight w:hRule="exact" w:val="4257"/>
        </w:trPr>
        <w:tc>
          <w:tcPr>
            <w:tcW w:w="933" w:type="dxa"/>
            <w:tcBorders>
              <w:top w:val="single" w:sz="4" w:space="0" w:color="auto"/>
            </w:tcBorders>
            <w:shd w:val="clear" w:color="auto" w:fill="FFFFFF"/>
            <w:vAlign w:val="center"/>
          </w:tcPr>
          <w:p w:rsidR="001A483F" w:rsidRDefault="001A483F" w:rsidP="001A483F">
            <w:pPr>
              <w:pStyle w:val="Other10"/>
              <w:spacing w:line="240" w:lineRule="auto"/>
              <w:ind w:firstLine="0"/>
              <w:jc w:val="both"/>
              <w:rPr>
                <w:rFonts w:ascii="楷体" w:eastAsia="楷体" w:hAnsi="楷体" w:cs="楷体"/>
                <w:b/>
                <w:bCs/>
                <w:sz w:val="32"/>
                <w:szCs w:val="32"/>
                <w:lang w:val="en-US" w:eastAsia="zh-CN"/>
              </w:rPr>
            </w:pPr>
            <w:r>
              <w:rPr>
                <w:rFonts w:ascii="楷体" w:eastAsia="楷体" w:hAnsi="楷体" w:cs="楷体" w:hint="eastAsia"/>
                <w:b/>
                <w:bCs/>
                <w:sz w:val="32"/>
                <w:szCs w:val="32"/>
                <w:lang w:val="en-US" w:eastAsia="zh-CN"/>
              </w:rPr>
              <w:t>（十）</w:t>
            </w:r>
          </w:p>
        </w:tc>
        <w:tc>
          <w:tcPr>
            <w:tcW w:w="910" w:type="dxa"/>
            <w:tcBorders>
              <w:top w:val="single" w:sz="4" w:space="0" w:color="auto"/>
              <w:left w:val="single" w:sz="4" w:space="0" w:color="auto"/>
            </w:tcBorders>
            <w:shd w:val="clear" w:color="auto" w:fill="FFFFFF"/>
            <w:vAlign w:val="center"/>
          </w:tcPr>
          <w:p w:rsidR="001A483F" w:rsidRDefault="001A483F" w:rsidP="001A483F">
            <w:pPr>
              <w:spacing w:line="300" w:lineRule="exact"/>
              <w:jc w:val="center"/>
              <w:rPr>
                <w:rFonts w:ascii="CESI仿宋-GB2312" w:eastAsia="CESI仿宋-GB2312" w:hAnsi="CESI仿宋-GB2312" w:cs="CESI仿宋-GB2312"/>
              </w:rPr>
            </w:pPr>
            <w:r>
              <w:rPr>
                <w:rFonts w:ascii="楷体" w:eastAsia="楷体" w:hAnsi="楷体" w:cs="楷体" w:hint="eastAsia"/>
                <w:b/>
                <w:bCs/>
                <w:sz w:val="28"/>
                <w:szCs w:val="28"/>
              </w:rPr>
              <w:t>委托配送要求</w:t>
            </w:r>
          </w:p>
        </w:tc>
        <w:tc>
          <w:tcPr>
            <w:tcW w:w="3482" w:type="dxa"/>
            <w:tcBorders>
              <w:top w:val="single" w:sz="4" w:space="0" w:color="auto"/>
              <w:left w:val="single" w:sz="4" w:space="0" w:color="auto"/>
            </w:tcBorders>
            <w:shd w:val="clear" w:color="auto" w:fill="FFFFFF"/>
            <w:vAlign w:val="center"/>
          </w:tcPr>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14.企业委托其他单位配送药品时，是否将其配送活动纳入本企业药品质量管理体系。</w:t>
            </w:r>
          </w:p>
        </w:tc>
        <w:tc>
          <w:tcPr>
            <w:tcW w:w="5600" w:type="dxa"/>
            <w:tcBorders>
              <w:top w:val="single" w:sz="4" w:space="0" w:color="auto"/>
              <w:left w:val="single" w:sz="4" w:space="0" w:color="auto"/>
            </w:tcBorders>
            <w:shd w:val="clear" w:color="auto" w:fill="FFFFFF"/>
          </w:tcPr>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（1）查看与配送单位签订的委托配送和质量保证协议，协议至少包括双方质量责任、配送操作规程、在途时限、温湿度控制、货到签收、回执返回、药品质量安全事故处置等内容；</w:t>
            </w:r>
          </w:p>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（2）查看配送单位的组织机构图，确认配送单位是否具有独立的药品配送质量管理机构或质量管理人；</w:t>
            </w:r>
          </w:p>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（3）查看双方电子数据同步情况，确认能否对运输全过程追溯管理；</w:t>
            </w:r>
          </w:p>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（4）委托配送冷藏、冷冻药品的，查看配送单位的配送车辆、配送箱等设施设备的验证报告；</w:t>
            </w:r>
          </w:p>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（5）委托行业协会等第三方机构对配送单位进行审计的，查看企业与其签订的委托审计协议。</w:t>
            </w:r>
          </w:p>
          <w:p w:rsidR="001A483F" w:rsidRPr="001A483F" w:rsidRDefault="001A483F" w:rsidP="001A483F">
            <w:pPr>
              <w:widowControl/>
              <w:adjustRightInd w:val="0"/>
              <w:snapToGrid w:val="0"/>
              <w:textAlignment w:val="top"/>
              <w:rPr>
                <w:rStyle w:val="font01"/>
                <w:rFonts w:cs="CESI仿宋-GB2312"/>
                <w:sz w:val="22"/>
                <w:szCs w:val="22"/>
              </w:rPr>
            </w:pPr>
            <w:r w:rsidRPr="001A483F">
              <w:rPr>
                <w:rStyle w:val="font01"/>
                <w:rFonts w:cs="CESI仿宋-GB2312" w:hint="eastAsia"/>
                <w:sz w:val="22"/>
                <w:szCs w:val="22"/>
              </w:rPr>
              <w:t>备注：企业自行开展配送的，可豁免检查。</w:t>
            </w:r>
          </w:p>
        </w:tc>
        <w:tc>
          <w:tcPr>
            <w:tcW w:w="3312" w:type="dxa"/>
            <w:tcBorders>
              <w:top w:val="single" w:sz="4" w:space="0" w:color="auto"/>
              <w:left w:val="single" w:sz="4" w:space="0" w:color="auto"/>
            </w:tcBorders>
            <w:shd w:val="clear" w:color="auto" w:fill="FFFFFF"/>
            <w:vAlign w:val="center"/>
          </w:tcPr>
          <w:p w:rsidR="001A483F" w:rsidRPr="001A483F" w:rsidRDefault="001A483F" w:rsidP="001A483F">
            <w:pPr>
              <w:pStyle w:val="Other10"/>
              <w:spacing w:line="322" w:lineRule="exact"/>
              <w:ind w:firstLine="0"/>
              <w:jc w:val="center"/>
              <w:rPr>
                <w:rFonts w:cs="CESI仿宋-GB2312"/>
                <w:sz w:val="22"/>
                <w:szCs w:val="22"/>
              </w:rPr>
            </w:pPr>
            <w:r w:rsidRPr="001A483F">
              <w:rPr>
                <w:rFonts w:cs="CESI仿宋-GB2312" w:hint="eastAsia"/>
                <w:sz w:val="22"/>
                <w:szCs w:val="22"/>
                <w:lang w:eastAsia="zh-CN"/>
              </w:rPr>
              <w:t>《规范》第二十条</w:t>
            </w:r>
          </w:p>
        </w:tc>
      </w:tr>
    </w:tbl>
    <w:p w:rsidR="00C129DC" w:rsidRDefault="00C129DC">
      <w:pPr>
        <w:spacing w:line="540" w:lineRule="exact"/>
        <w:rPr>
          <w:rStyle w:val="NormalCharacter"/>
          <w:rFonts w:eastAsia="仿宋_GB2312"/>
          <w:sz w:val="32"/>
          <w:szCs w:val="32"/>
        </w:rPr>
      </w:pPr>
    </w:p>
    <w:p w:rsidR="00C129DC" w:rsidRDefault="00C129DC">
      <w:pPr>
        <w:spacing w:line="540" w:lineRule="exact"/>
        <w:rPr>
          <w:rStyle w:val="NormalCharacter"/>
          <w:rFonts w:eastAsia="仿宋_GB2312"/>
          <w:sz w:val="32"/>
          <w:szCs w:val="32"/>
        </w:rPr>
      </w:pPr>
    </w:p>
    <w:p w:rsidR="00C129DC" w:rsidRDefault="00C129DC">
      <w:pPr>
        <w:spacing w:line="540" w:lineRule="exact"/>
        <w:rPr>
          <w:rStyle w:val="NormalCharacter"/>
          <w:rFonts w:eastAsia="仿宋_GB2312"/>
          <w:sz w:val="32"/>
          <w:szCs w:val="32"/>
        </w:rPr>
      </w:pPr>
    </w:p>
    <w:p w:rsidR="00C129DC" w:rsidRDefault="00C129DC">
      <w:pPr>
        <w:spacing w:line="540" w:lineRule="exact"/>
        <w:rPr>
          <w:rStyle w:val="NormalCharacter"/>
          <w:rFonts w:eastAsia="仿宋_GB2312"/>
          <w:sz w:val="32"/>
          <w:szCs w:val="32"/>
        </w:rPr>
      </w:pPr>
    </w:p>
    <w:p w:rsidR="00C129DC" w:rsidRDefault="00C129DC">
      <w:pPr>
        <w:spacing w:line="540" w:lineRule="exact"/>
        <w:rPr>
          <w:rStyle w:val="NormalCharacter"/>
          <w:rFonts w:eastAsia="仿宋_GB2312"/>
          <w:sz w:val="32"/>
          <w:szCs w:val="32"/>
        </w:rPr>
      </w:pPr>
    </w:p>
    <w:p w:rsidR="00C129DC" w:rsidRDefault="00C129DC">
      <w:pPr>
        <w:spacing w:line="540" w:lineRule="exact"/>
        <w:rPr>
          <w:rStyle w:val="NormalCharacter"/>
          <w:rFonts w:eastAsia="仿宋_GB2312"/>
          <w:sz w:val="32"/>
          <w:szCs w:val="32"/>
        </w:rPr>
      </w:pPr>
    </w:p>
    <w:sectPr w:rsidR="00C129DC" w:rsidSect="001A483F">
      <w:headerReference w:type="even" r:id="rId7"/>
      <w:headerReference w:type="default" r:id="rId8"/>
      <w:footerReference w:type="even" r:id="rId9"/>
      <w:footerReference w:type="default" r:id="rId10"/>
      <w:headerReference w:type="first" r:id="rId11"/>
      <w:footerReference w:type="first" r:id="rId12"/>
      <w:pgSz w:w="16838" w:h="11906" w:orient="landscape"/>
      <w:pgMar w:top="1531" w:right="2098" w:bottom="1418" w:left="1985" w:header="851" w:footer="1418"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A82" w:rsidRDefault="00904A82" w:rsidP="00A736B1">
      <w:pPr>
        <w:ind w:firstLine="640"/>
      </w:pPr>
      <w:r>
        <w:separator/>
      </w:r>
    </w:p>
  </w:endnote>
  <w:endnote w:type="continuationSeparator" w:id="1">
    <w:p w:rsidR="00904A82" w:rsidRDefault="00904A82" w:rsidP="00A736B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ESI仿宋-GB2312">
    <w:altName w:val="微软雅黑"/>
    <w:charset w:val="86"/>
    <w:family w:val="auto"/>
    <w:pitch w:val="default"/>
    <w:sig w:usb0="00000000" w:usb1="084F6CF8" w:usb2="00000010"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AF" w:rsidRDefault="00EF66AF" w:rsidP="00EF66A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B1" w:rsidRDefault="00432B15" w:rsidP="00EF66AF">
    <w:pPr>
      <w:pStyle w:val="a4"/>
      <w:ind w:firstLine="360"/>
    </w:pPr>
    <w:r>
      <w:pict>
        <v:shapetype id="_x0000_t202" coordsize="21600,21600" o:spt="202" path="m,l,21600r21600,l21600,xe">
          <v:stroke joinstyle="miter"/>
          <v:path gradientshapeok="t" o:connecttype="rect"/>
        </v:shapetype>
        <v:shape id="文本框 2" o:spid="_x0000_s2049" type="#_x0000_t202" style="position:absolute;left:0;text-align:left;margin-left:520pt;margin-top:0;width:2in;height:2in;z-index:251657728;mso-wrap-style:none;mso-position-horizontal:outside;mso-position-horizontal-relative:margin" filled="f" stroked="f">
          <v:fill o:detectmouseclick="t"/>
          <v:textbox style="mso-fit-shape-to-text:t" inset="0,0,0,0">
            <w:txbxContent>
              <w:p w:rsidR="00A736B1" w:rsidRDefault="00432B15" w:rsidP="00EF66AF">
                <w:pPr>
                  <w:pStyle w:val="a4"/>
                  <w:ind w:firstLine="560"/>
                </w:pPr>
                <w:r>
                  <w:rPr>
                    <w:rFonts w:hint="eastAsia"/>
                    <w:sz w:val="28"/>
                    <w:szCs w:val="28"/>
                  </w:rPr>
                  <w:fldChar w:fldCharType="begin"/>
                </w:r>
                <w:r w:rsidR="00A736B1">
                  <w:rPr>
                    <w:rFonts w:hint="eastAsia"/>
                    <w:sz w:val="28"/>
                    <w:szCs w:val="28"/>
                  </w:rPr>
                  <w:instrText xml:space="preserve"> PAGE  \* MERGEFORMAT </w:instrText>
                </w:r>
                <w:r>
                  <w:rPr>
                    <w:rFonts w:hint="eastAsia"/>
                    <w:sz w:val="28"/>
                    <w:szCs w:val="28"/>
                  </w:rPr>
                  <w:fldChar w:fldCharType="separate"/>
                </w:r>
                <w:r w:rsidR="00F55DEF">
                  <w:rPr>
                    <w:noProof/>
                    <w:sz w:val="28"/>
                    <w:szCs w:val="28"/>
                  </w:rPr>
                  <w:t>- 1 -</w:t>
                </w:r>
                <w:r>
                  <w:rPr>
                    <w:rFonts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AF" w:rsidRDefault="00EF66AF" w:rsidP="00EF66A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A82" w:rsidRDefault="00904A82" w:rsidP="00A736B1">
      <w:pPr>
        <w:ind w:firstLine="640"/>
      </w:pPr>
      <w:r>
        <w:separator/>
      </w:r>
    </w:p>
  </w:footnote>
  <w:footnote w:type="continuationSeparator" w:id="1">
    <w:p w:rsidR="00904A82" w:rsidRDefault="00904A82" w:rsidP="00A736B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AF" w:rsidRDefault="00EF66AF" w:rsidP="00EF66A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B1" w:rsidRDefault="00A736B1" w:rsidP="00EF66AF">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AF" w:rsidRDefault="00EF66AF" w:rsidP="00EF66A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E55BB"/>
    <w:multiLevelType w:val="singleLevel"/>
    <w:tmpl w:val="BCFE55BB"/>
    <w:lvl w:ilvl="0">
      <w:start w:val="4"/>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v:fill angle="-90" type="gradient"/>
      <v:stroke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DFD"/>
    <w:rsid w:val="0000178D"/>
    <w:rsid w:val="000A0D12"/>
    <w:rsid w:val="000B0BEE"/>
    <w:rsid w:val="000F7777"/>
    <w:rsid w:val="00183ACC"/>
    <w:rsid w:val="001A483F"/>
    <w:rsid w:val="001F2DDE"/>
    <w:rsid w:val="00295B2B"/>
    <w:rsid w:val="002F1DFD"/>
    <w:rsid w:val="002F302D"/>
    <w:rsid w:val="00432B15"/>
    <w:rsid w:val="00456A64"/>
    <w:rsid w:val="004739AF"/>
    <w:rsid w:val="0063417E"/>
    <w:rsid w:val="006D0704"/>
    <w:rsid w:val="0074769B"/>
    <w:rsid w:val="00904A82"/>
    <w:rsid w:val="00905B39"/>
    <w:rsid w:val="00924385"/>
    <w:rsid w:val="009460EC"/>
    <w:rsid w:val="00955A2F"/>
    <w:rsid w:val="00A350CB"/>
    <w:rsid w:val="00A736B1"/>
    <w:rsid w:val="00B801F9"/>
    <w:rsid w:val="00BD7D5F"/>
    <w:rsid w:val="00C129DC"/>
    <w:rsid w:val="00C21FFE"/>
    <w:rsid w:val="00DE4E44"/>
    <w:rsid w:val="00E46DEC"/>
    <w:rsid w:val="00E52F80"/>
    <w:rsid w:val="00EF66AF"/>
    <w:rsid w:val="00F21729"/>
    <w:rsid w:val="00F55DEF"/>
    <w:rsid w:val="2A213C37"/>
    <w:rsid w:val="44AC77C8"/>
    <w:rsid w:val="4C3C1C26"/>
    <w:rsid w:val="6E6C0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fill angle="-90" type="gradient"/>
      <v:stroke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B39"/>
    <w:pPr>
      <w:widowControl w:val="0"/>
      <w:jc w:val="both"/>
    </w:pPr>
    <w:rPr>
      <w:kern w:val="2"/>
      <w:sz w:val="21"/>
      <w:szCs w:val="24"/>
    </w:rPr>
  </w:style>
  <w:style w:type="paragraph" w:styleId="1">
    <w:name w:val="heading 1"/>
    <w:basedOn w:val="a"/>
    <w:next w:val="a"/>
    <w:qFormat/>
    <w:rsid w:val="00905B39"/>
    <w:pPr>
      <w:keepNext/>
      <w:keepLines/>
      <w:spacing w:before="340" w:after="330" w:line="578" w:lineRule="auto"/>
      <w:outlineLvl w:val="0"/>
    </w:pPr>
    <w:rPr>
      <w:b/>
      <w:bCs/>
      <w:kern w:val="44"/>
      <w:sz w:val="44"/>
    </w:rPr>
  </w:style>
  <w:style w:type="paragraph" w:styleId="2">
    <w:name w:val="heading 2"/>
    <w:basedOn w:val="a"/>
    <w:next w:val="a"/>
    <w:qFormat/>
    <w:rsid w:val="00905B39"/>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905B3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905B39"/>
  </w:style>
  <w:style w:type="paragraph" w:styleId="a3">
    <w:name w:val="header"/>
    <w:basedOn w:val="a"/>
    <w:rsid w:val="00905B39"/>
    <w:pPr>
      <w:pBdr>
        <w:bottom w:val="single" w:sz="6" w:space="1" w:color="auto"/>
      </w:pBdr>
      <w:tabs>
        <w:tab w:val="center" w:pos="4153"/>
        <w:tab w:val="right" w:pos="8306"/>
      </w:tabs>
      <w:snapToGrid w:val="0"/>
      <w:ind w:firstLineChars="200" w:firstLine="200"/>
      <w:jc w:val="center"/>
    </w:pPr>
    <w:rPr>
      <w:rFonts w:ascii="宋体"/>
      <w:color w:val="000000"/>
      <w:kern w:val="0"/>
      <w:sz w:val="18"/>
      <w:szCs w:val="18"/>
    </w:rPr>
  </w:style>
  <w:style w:type="paragraph" w:styleId="20">
    <w:name w:val="Body Text 2"/>
    <w:basedOn w:val="a"/>
    <w:rsid w:val="00905B39"/>
    <w:pPr>
      <w:spacing w:line="300" w:lineRule="auto"/>
      <w:jc w:val="center"/>
    </w:pPr>
    <w:rPr>
      <w:rFonts w:eastAsia="方正小标宋_GBK"/>
      <w:sz w:val="44"/>
      <w:szCs w:val="20"/>
    </w:rPr>
  </w:style>
  <w:style w:type="paragraph" w:styleId="HTML">
    <w:name w:val="HTML Preformatted"/>
    <w:basedOn w:val="a"/>
    <w:rsid w:val="0090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4">
    <w:name w:val="footer"/>
    <w:basedOn w:val="a"/>
    <w:rsid w:val="00905B39"/>
    <w:pPr>
      <w:tabs>
        <w:tab w:val="center" w:pos="4153"/>
        <w:tab w:val="right" w:pos="8306"/>
      </w:tabs>
      <w:snapToGrid w:val="0"/>
      <w:ind w:firstLineChars="200" w:firstLine="200"/>
      <w:jc w:val="left"/>
    </w:pPr>
    <w:rPr>
      <w:rFonts w:ascii="宋体"/>
      <w:color w:val="000000"/>
      <w:kern w:val="0"/>
      <w:sz w:val="18"/>
      <w:szCs w:val="18"/>
    </w:rPr>
  </w:style>
  <w:style w:type="paragraph" w:styleId="a5">
    <w:name w:val="Balloon Text"/>
    <w:basedOn w:val="a"/>
    <w:link w:val="Char"/>
    <w:rsid w:val="00EF66AF"/>
    <w:rPr>
      <w:sz w:val="18"/>
      <w:szCs w:val="18"/>
    </w:rPr>
  </w:style>
  <w:style w:type="character" w:customStyle="1" w:styleId="Char">
    <w:name w:val="批注框文本 Char"/>
    <w:basedOn w:val="a0"/>
    <w:link w:val="a5"/>
    <w:rsid w:val="00EF66AF"/>
    <w:rPr>
      <w:kern w:val="2"/>
      <w:sz w:val="18"/>
      <w:szCs w:val="18"/>
    </w:rPr>
  </w:style>
  <w:style w:type="character" w:customStyle="1" w:styleId="Other1">
    <w:name w:val="Other|1_"/>
    <w:basedOn w:val="a0"/>
    <w:link w:val="Other10"/>
    <w:qFormat/>
    <w:rsid w:val="00C129DC"/>
    <w:rPr>
      <w:rFonts w:ascii="宋体" w:hAnsi="宋体" w:cs="宋体"/>
      <w:color w:val="000000"/>
      <w:sz w:val="30"/>
      <w:szCs w:val="30"/>
      <w:lang w:val="zh-TW" w:eastAsia="zh-TW" w:bidi="zh-TW"/>
    </w:rPr>
  </w:style>
  <w:style w:type="paragraph" w:customStyle="1" w:styleId="Other10">
    <w:name w:val="Other|1"/>
    <w:basedOn w:val="a"/>
    <w:link w:val="Other1"/>
    <w:qFormat/>
    <w:rsid w:val="00C129DC"/>
    <w:pPr>
      <w:spacing w:line="394" w:lineRule="auto"/>
      <w:ind w:firstLine="400"/>
      <w:jc w:val="left"/>
    </w:pPr>
    <w:rPr>
      <w:rFonts w:ascii="宋体" w:hAnsi="宋体" w:cs="宋体"/>
      <w:color w:val="000000"/>
      <w:kern w:val="0"/>
      <w:sz w:val="30"/>
      <w:szCs w:val="30"/>
      <w:lang w:val="zh-TW" w:eastAsia="zh-TW" w:bidi="zh-TW"/>
    </w:rPr>
  </w:style>
  <w:style w:type="character" w:customStyle="1" w:styleId="font01">
    <w:name w:val="font01"/>
    <w:uiPriority w:val="99"/>
    <w:qFormat/>
    <w:rsid w:val="00C129DC"/>
    <w:rPr>
      <w:rFonts w:ascii="宋体" w:eastAsia="宋体" w:hAnsi="宋体" w:cs="宋体"/>
      <w:color w:val="000000"/>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377</Words>
  <Characters>2155</Characters>
  <Application>Microsoft Office Word</Application>
  <DocSecurity>0</DocSecurity>
  <PresentationFormat/>
  <Lines>17</Lines>
  <Paragraphs>5</Paragraphs>
  <Slides>0</Slides>
  <Notes>0</Notes>
  <HiddenSlides>0</HiddenSlides>
  <MMClips>0</MMClips>
  <ScaleCrop>false</ScaleCrop>
  <Company>http://www.ntko.com</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creator>千航网络</dc:creator>
  <cp:lastModifiedBy>User</cp:lastModifiedBy>
  <cp:revision>2</cp:revision>
  <cp:lastPrinted>2024-02-22T01:55:00Z</cp:lastPrinted>
  <dcterms:created xsi:type="dcterms:W3CDTF">2024-07-03T01:52:00Z</dcterms:created>
  <dcterms:modified xsi:type="dcterms:W3CDTF">2024-07-03T01:52:00Z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