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南京市秦淮区人民政府办公室</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（一）办理上级党委政府及有关部门发送至区政府的公文；研究区政府各部门和各街道办事处请示区政府的事项，提出审核意见，报区政府领导同志审批。</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（二）督促检查区政府各部门和各街道办事处对省、市政府和区政府议定事项及区政府领导同志指示的贯彻落实情况，及时向区政府领导同志报告。</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（三）承担区政府决策、政策的研究，承担综合改革、经济运行、城市规划建设与管理、社会事业发展等方面的调查研究，提出政策性建议。</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（四）协助区政府领导同志组织起草或审核以区政府、区政府办公室名义发布的公文，起草《政府工作报告》等重要文稿。</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（五）承担区政府会议的准备工作，协助区政府领导同志组织实施会议决定事项。</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（六）组织或协助全区经济和社会发展重大问题的调查研究与决策咨询；搜集整理信息，及时准确地向区政府领导同志反映情况、提出建议；承担向省、市政府办公厅报送重要政务信息的工作。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（七）承担省、市和区人大、政协交区政府的有关建议、提案的办理工作。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（八）负责区机关财务、物资及自管房的管理，做好行政事务、公务接待、安全保卫、后勤保障和服务等工作。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（九）承担归口管理、统筹协调全区外事工作和我区与香港、澳门特别行政区往来工作的责任。</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（十）指导、监督全区政府信息公开工作，并具体承办区政府信息公开事务。</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（十一）负责区政府值班工作，及时报告重要情况，传达和督促落实区政府领导同志的指示；承担应急管理工作，协助区政府领导同志做好需由区政府组织处理的突发事件和应急处置事件。</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（十二）承办区政府和区政府领导同志交办的其他事项。</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科（机要科）、督查科、政策研究室、调研信息科、信息公开科、秘书一科、秘书二科、秘书三科、财务科、行政一科、行政二科、行政三科（接待科）、外事科。本财务报告主体为南京市秦淮区人民政府办公室，为南京市秦淮区政府工作部门，属行政单位。</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（一）充分发挥政府办公室以文辅政的职能，以“零差错、零失误”为标准，规范公文程序，压缩发文数量，提高办文质量。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（二）按照《中共南京市秦淮区委关于统筹规范督查检查考核工作的实施办法》有关要求，围绕区委区政府重点工作和领导重要批示指示开展督查，确保各项措施落实到位。</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（三）负责区应急突发公共事件信息报送工作。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（四）区机关值班室日常管理和全区值班值守的牵头、协调和督查工作；督促指导区各街道、各有关部门和重点企事业单位做好值班值守工作。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（五）加强区政府门户网站信息数据日常维管，不定期巡查网站各栏目内容是否定期及时更新以及有无错别字、敏感词等情况，同时聘请第三方平台定期监测，确保网站信息发布及时、规范。</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（六）建立健全安全责任体系，压实物业主体责任，定期开展隐患大排查和督查督导，发现隐患及时整改，确保大楼消防安全、用车安全、用电用气安全、食品安全、门岗安全等。</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（七）如有疫情爆发时，政府办快速响应，全力以赴投入战疫情、保运转、抓落实各项工作中，做实做细做好隔离点保障、转运组保障、涉外疫情防控工作。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（八）牢固树立精品意识，严格规范机关事务管理；加强财务管理和固定资产管理，;加强公共节能管理，建筑绿色化改造，开展合同能源管理和能耗定额管理，推动全区节约型机关创建。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（九）积极回应群众呼声，处理12345政务热线工单，认真做好人民来信办理和群众来访接待。</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（十）加强政府办党总支的组织建设，配齐配强人员。进一步完善党组、党总支和支部会议机制，规范党员评议、党员培训和“三会一课”制度。</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（十一）负责与上级接待部门的联系，协助完成省市委、政府重要接待任务；接待来区视察、指导工作的上级机关领导及其他地区考察团。</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（十二）负责机关事务管理日常运转工作；负责牵头机关事务管理系列制度和规定的制定工作；负责机关食堂食品采购工作；负责后勤办公物资采购、管理工作。</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南京市秦淮区人民政府办公室</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南京市秦淮区人民政府办公室</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6,975.19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4,607.43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7.40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9.49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563.42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543.23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103.30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1,267.90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6,984.67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7,092.68</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1,053.67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945.67</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8,038.35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8,038.35</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6,984.67</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6,975.19</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9.49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4,490.63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9.49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4,500.11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4,490.63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9.49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2,163.15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2,163.15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51.54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51.54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其他政府办公厅（室）及相关机构事务支出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2,285.42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2,275.93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9.49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科技条件与服务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2060599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其他科技条件与服务支出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562.73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562.73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562.73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562.73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168.77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168.77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217.28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217.28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108.64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68.04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68.04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543.23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援助其他地区支出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2199900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103.30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1,267.90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1,267.90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1,267.90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1,267.90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316.29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316.29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740.38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740.38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211.23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211.23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7,092.68</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4,094.64</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2,998.03</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4,607.43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2,263.33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2,344.10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政府办公厅（室）及相关机构事务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4,607.43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2,263.33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2,344.10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2,222.12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2,222.12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51.54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51.54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其他政府办公厅（室）及相关机构事务支出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2,333.77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41.21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2,292.56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科技条件与服务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2060599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其他科技条件与服务支出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563.42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563.42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563.42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563.42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169.46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169.46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217.28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217.28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108.64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108.64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68.04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68.04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公共卫生</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突发公共卫生事件应急处理</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543.23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援助其他地区支出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103.30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103.30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103.30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103.30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1,267.90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1,267.90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1,267.90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1,267.90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316.29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316.29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740.38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740.38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211.23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211.23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6,975.19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6,975.19</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7,083.19</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7,083.19</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1,052.24</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944.23</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944.23</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1,052.24</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8,027.42</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8,027.42</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8,027.42</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7,083.19</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4,094.64</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2,988.55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2,263.33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2,334.62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2,263.33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2,334.62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2,222.12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2,222.12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其他政府办公厅（室）及相关机构事务支出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2,324.29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2,283.08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科技条件与服务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2060599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其他科技条件与服务支出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169.46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169.46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援助其他地区支出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2199900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740.38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740.38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211.23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211.23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4,094.64</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3,751.65</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342.99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3,248.89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3,248.89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412.89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412.89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1,223.28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1,223.28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751.59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751.59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38.63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66.39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502.76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502.76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387.93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387.93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7,083.19</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4,094.64</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2,988.55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2,263.33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2,334.62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4,597.94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2,263.33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2,334.62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2,222.12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2,222.12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其他政府办公厅（室）及相关机构事务支出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2,324.29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2,283.08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科技条件与服务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2060599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其他科技条件与服务支出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563.42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169.46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169.46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543.23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援助其他地区支出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2199900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103.30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1,267.90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740.38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740.38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211.23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211.23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4,094.64</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3,751.65</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342.99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3,248.89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3,248.89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412.89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412.89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1,223.28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1,223.28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751.59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751.59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217.28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327.44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38.63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66.39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66.39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502.76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502.76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387.93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387.93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110.33</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23.44</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84.13</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53.00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31.13</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2.76</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4.94</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110.33</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23.44</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84.13</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53.00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31.13</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2.76</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4.94</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7</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19</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131</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210</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342.99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327.44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15.98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4.75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59.63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10.12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38.63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34.53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4.76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25.04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4.66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30.19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66.39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31.31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15.55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14.12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南京市秦淮区人民政府办公室</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289.69</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171.17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82.45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36.07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2023年度收入、支出决算总计8,038.35万元。与上年相比，收、支总计各减少10,380.05万元，减少56.36%。其中：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（一）收入决算总计8,038.35万元。包括：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1.本年收入决算合计6,984.67万元。与上年相比，减少9,886.29万元，减少58.6%，变动原因：疫情结束，市转移支付减少。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3.年初结转和结余1,053.67万元。与上年相比，减少493.78万元，减少31.91%，变动原因：跨年支付项目减少。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（二）支出决算总计8,038.35万元。包括：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1.本年支出决算合计7,092.68万元。与上年相比，减少10,180.53万元，减少58.94%，变动原因：疫情结束，市转移支付减少。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3.年末结转和结余945.67万元。结转和结余事项：慰问专项，机关服务保障等经费。与上年相比，减少199.53万元，减少17.42%，变动原因：跨年支付项目减少。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6,984.67万元，其中：财政拨款收入6,975.19万元，占99.86%；上级补助收入0万元，占0%；财政专户管理教育收费0万元，占0%；事业收入（不含专户管理教育收费）0万元，占0%；经营收入0万元，占0%；附属单位上缴收入0万元，占0%；其他收入9.49万元，占0.14%。</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2023年度本年支出决算合计7,092.68万元，其中：基本支出4,094.64万元，占57.73%；项目支出2,998.03万元，占42.27%；上缴上级支出0万元，占0%；经营支出0万元，占0%；对附属单位补助支出0万元，占0%。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2023年度财政拨款收入、支出决算总计8,027.42万元。与上年相比，收、支总计各减少10,389.55万元，减少56.41%，变动原因：疫情结束，市转移支付减少。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2023年度财政拨款支出决算7,083.19万元，占本年支出合计的99.87%。与2023年度财政拨款支出年初预算5,438.06万元相比，完成年初预算的130.25%。其中：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1.政府办公厅（室）及相关机构事务（款）行政运行（项）。年初预算2,277.08万元，支出决算2,222.12万元，完成年初预算的97.59%。决算数与年初预算数的差异原因：人员经费政策性调整。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2.政府办公厅（室）及相关机构事务（款）一般行政管理事务（项）。年初预算92.33万元，支出决算51.54万元，完成年初预算的55.82%。决算数与年初预算数的差异原因：机关人员子女医药费减少。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政府办公厅（室）及相关机构事务（款）其他政府办公厅（室）及相关机构事务支出（项）。年初预算1,320.5万元，支出决算2,324.29万元，完成年初预算的176.02%。决算数与年初预算数的差异原因：追加公物仓建设等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科技条件与服务（款）其他科技条件与服务支出（项）。年初预算0万元，支出决算7.4万元，（年初预算数为0万元，无法计算完成比率）决算数与年初预算数的差异原因：功能科目调整。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1.行政事业单位养老支出（款）行政单位离退休（项）。年初预算145.85万元，支出决算169.46万元，完成年初预算的116.19%。决算数与年初预算数的差异原因：退休人员增加。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2.行政事业单位养老支出（款）机关事业单位基本养老保险缴费支出（项）。年初预算185.77万元，支出决算217.28万元，完成年初预算的116.96%。决算数与年初预算数的差异原因：缴费基数调整。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3.行政事业单位养老支出（款）机关事业单位职业年金缴费支出（项）。年初预算92.89万元，支出决算108.64万元，完成年初预算的116.96%。决算数与年初预算数的差异原因：缴费基数调整。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4.行政事业单位养老支出（款）其他行政事业单位养老支出（项）。年初预算0万元，支出决算68.04万元，（年初预算数为0万元，无法计算完成比率）决算数与年初预算数的差异原因：丧葬抚恤费不纳入年初预算。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5.残疾人事业（款）残疾人就业（项）。年初预算15万元，支出决算0万元，完成年初预算的0%。决算数与年初预算数的差异原因：项目未开展，预算已调整。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公共卫生（款）突发公共卫生事件应急处理（项）。年初预算0万元，支出决算543.23万元，（年初预算数为0万元，无法计算完成比率）决算数与年初预算数的差异原因：追加防疫经费尾款结账。</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（五）援助其他地区支出（类）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其他支出（款）。年初预算0万元，支出决算103.3万元，（年初预算数为0万元，无法计算完成比率）决算数与年初预算数的差异原因：按照相关文件要求追加安排，已做预算调整。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1.住房改革支出（款）住房公积金（项）。年初预算338.37万元，支出决算316.29万元，完成年初预算的93.47%。决算数与年初预算数的差异原因：在职人员减少。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2.住房改革支出（款）提租补贴（项）。年初预算766.71万元，支出决算740.38万元，完成年初预算的96.57%。决算数与年初预算数的差异原因：在职人员减少。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3.住房改革支出（款）购房补贴（项）。年初预算203.56万元，支出决算211.23万元，完成年初预算的103.77%。决算数与年初预算数的差异原因：新职工人员增加。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2023年度财政拨款基本支出决算4,094.64万元，其中：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（一）人员经费3,751.65万元。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工资福利支出、离休费、退休费、抚恤金、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（二）公用经费342.99万元。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主要包括：办公费、印刷费、邮电费、差旅费、维修（护）费、租赁费、培训费、公务接待费、工会经费、福利费、公务用车运行维护费、其他交通费用、其他商品和服务支出、办公设备购置、其他资本性支出。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2023年度一般公共预算财政拨款支出决算7,083.19万元。与上年相比，减少10,190.02万元，减少58.99%，变动原因：疫情结束，市转移支付减少。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2023年度一般公共预算财政拨款基本支出决算4,094.64万元，其中：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（一）人员经费3,751.65万元。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工资福利支出、离休费、退休费、抚恤金、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（二）公用经费342.99万元。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主要包括：办公费、印刷费、邮电费、差旅费、维修（护）费、租赁费、培训费、公务接待费、工会经费、福利费、公务用车运行维护费、其他交通费用、其他商品和服务支出、办公设备购置、其他资本性支出。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110.33万元（其中：一般公共预算支出110.33万元；政府性基金预算支出0万元；国有资本经营预算支出0万元）。与上年相比，增加61.35万元，变动原因：疫情结束，出国出境招商经费增加及车辆更新等原因。其中，因公出国（境）费支出23.44万元，占“三公”经费的21.25%；公务用车购置及运行维护费支出84.13万元，占“三公”经费的76.25%；公务接待费支出2.76万元，占“三公”经费的2.5%。2023年度财政拨款“三公”经费支出预算110.33万元（其中：一般公共预算支出110.33万元；政府性基金预算支出0万元；国有资本经营预算支出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23.44万元（其中：一般公共预算支出23.44万元；政府性基金预算支出0万元；国有资本经营预算支出0万元），支出决算23.44万元（其中：一般公共预算支出23.44万元；政府性基金预算支出0万元；国有资本经营预算支出0万元），完成调整后预算的100%，决算数与预算数相同。全年使用财政拨款涉及的出国（境）团组4个，累计7人次。开支内容：区领导赴港、荷兰、芬兰等地机票、住宿、伙食、公杂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84.13万元（其中：一般公共预算支出84.13万元；政府性基金预算支出0万元；国有资本经营预算支出0万元），支出决算84.13万元（其中：一般公共预算支出84.13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（1）公务用车购置支出决算53万元。本年度使用财政拨款购置公务用车2辆，开支内容：车辆购置及装潢上牌。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31.13万元。公务用车运行维护费主要用于按规定保留的公务用车的燃料费、维修费、过桥过路费、保险费、安全奖励费用等支出。截至2023年12月31日，使用财政拨款开支的公务用车保有量为19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2.76万元（其中：一般公共预算支出2.76万元；政府性基金预算支出0万元；国有资本经营预算支出0万元），支出决算2.76万元（其中：一般公共预算支出2.76万元；政府性基金预算支出0万元；国有资本经营预算支出0万元），完成调整后预算的100%，决算数与预算数相同。其中：国内公务接待支出2.76万元，接待11批次，131人次，开支内容：餐费及非遗展接待外宾住宿餐费；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4.94万元（其中：一般公共预算支出4.94万元；政府性基金预算支出0万元；国有资本经营预算支出0万元），支出决算4.94万元（其中：一般公共预算支出4.94万元；政府性基金预算支出0万元；国有资本经营预算支出0万元），完成调整后预算的100%，决算数与预算数相同。2023年度全年组织培训2个，组织培训210人次，开支内容：开展全区政务公开及垃圾分类培训费、行政附属人员职称继续教育、参加市机关培训差旅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342.99万元（其中：一般公共预算支出342.99万元；政府性基金预算支出0万元；国有资本经营预算支出0万元）。与上年相比，减少16.52万元，减少4.6%，变动原因：按照厉行节约原则，严控办公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289.69万元，其中：政府采购货物支出171.17万元、政府采购工程支出82.45万元、政府采购服务支出36.07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19辆，其中：副部(省)级及以上领导用车0辆、主要领导干部用车0辆、机要通信用车0辆、应急保障用车0辆、执法执勤用车0辆、特种专业技术用车0辆、离退休干部用车0辆、其他用车19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本单位共对2023年度已实施完成的14个项目开展了绩效自评价，涉及财政性资金合计2,998.03万元；本单位共开展1项单位整体支出绩效自评价，涉及财政性资金合计7,092.67万元。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十九、一般公共服务支出(类)政府办公厅（室）及相关机构事务(款)行政运行(项)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二十、一般公共服务支出(类)政府办公厅（室）及相关机构事务(款)一般行政管理事务(项)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二十一、一般公共服务支出(类)政府办公厅（室）及相关机构事务(款)其他政府办公厅（室）及相关机构事务支出(项)</w:t>
      </w:r>
      <w:r>
        <w:rPr>
          <w:rFonts w:ascii="仿宋" w:hAnsi="仿宋" w:cs="仿宋" w:eastAsia="仿宋"/>
          <w:b w:val="true"/>
        </w:rPr>
        <w:t>：</w:t>
      </w:r>
      <w:r>
        <w:rPr>
          <w:rFonts w:ascii="仿宋" w:eastAsia="仿宋" w:hAnsi="仿宋" w:cs="仿宋" w:hint="eastAsia"/>
        </w:rPr>
        <w:t>反映除上述项目以外的其他政府办公厅（室）及相关机构事务支出。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二十二、科学技术支出(类)科技条件与服务(款)其他科技条件与服务支出(项)</w:t>
      </w:r>
      <w:r>
        <w:rPr>
          <w:rFonts w:ascii="仿宋" w:hAnsi="仿宋" w:cs="仿宋" w:eastAsia="仿宋"/>
          <w:b w:val="true"/>
        </w:rPr>
        <w:t>：</w:t>
      </w:r>
      <w:r>
        <w:rPr>
          <w:rFonts w:ascii="仿宋" w:eastAsia="仿宋" w:hAnsi="仿宋" w:cs="仿宋" w:hint="eastAsia"/>
        </w:rPr>
        <w:t>反映除上述项目以外其他用于科技条件与服务方面的支出。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二十六、社会保障和就业支出(类)行政事业单位养老支出(款)其他行政事业单位养老支出(项)</w:t>
      </w:r>
      <w:r>
        <w:rPr>
          <w:rFonts w:ascii="仿宋" w:hAnsi="仿宋" w:cs="仿宋" w:eastAsia="仿宋"/>
          <w:b w:val="true"/>
        </w:rPr>
        <w:t>：</w:t>
      </w:r>
      <w:r>
        <w:rPr>
          <w:rFonts w:ascii="仿宋" w:eastAsia="仿宋" w:hAnsi="仿宋" w:cs="仿宋" w:hint="eastAsia"/>
        </w:rPr>
        <w:t>反映除上述项目以外其他用于行政事业单位养老方面的支出。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二十七、卫生健康支出(类)公共卫生(款)突发公共卫生事件应急处理(项)</w:t>
      </w:r>
      <w:r>
        <w:rPr>
          <w:rFonts w:ascii="仿宋" w:hAnsi="仿宋" w:cs="仿宋" w:eastAsia="仿宋"/>
          <w:b w:val="true"/>
        </w:rPr>
        <w:t>：</w:t>
      </w:r>
      <w:r>
        <w:rPr>
          <w:rFonts w:ascii="仿宋" w:eastAsia="仿宋" w:hAnsi="仿宋" w:cs="仿宋" w:hint="eastAsia"/>
        </w:rPr>
        <w:t>反映用于突发公共卫生事件应急处理的支出。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二十八、援助其他地区支出(类)其他支出(款)</w:t>
      </w:r>
      <w:r>
        <w:rPr>
          <w:rFonts w:ascii="仿宋" w:hAnsi="仿宋" w:cs="仿宋" w:eastAsia="仿宋"/>
          <w:b w:val="true"/>
        </w:rPr>
        <w:t>：</w:t>
      </w:r>
      <w:r>
        <w:rPr>
          <w:rFonts w:ascii="仿宋" w:eastAsia="仿宋" w:hAnsi="仿宋" w:cs="仿宋" w:hint="eastAsia"/>
        </w:rPr>
        <w:t>反映援助其他地区资金中除上述项目以外的其他支出。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三十一、住房保障支出(类)住房改革支出(款)购房补贴(项)</w:t>
      </w:r>
      <w:r>
        <w:rPr>
          <w:rFonts w:ascii="仿宋" w:hAnsi="仿宋" w:cs="仿宋" w:eastAsia="仿宋"/>
          <w:b w:val="true"/>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南京市秦淮区人民政府办公室</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