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CFB2A">
      <w:pPr>
        <w:pStyle w:val="4"/>
        <w:rPr>
          <w:rFonts w:hint="default" w:ascii="Times New Roman" w:hAnsi="Times New Roman" w:eastAsia="仿宋_GB2312" w:cs="Times New Roman"/>
          <w:lang w:eastAsia="zh-CN"/>
        </w:rPr>
      </w:pPr>
    </w:p>
    <w:p w14:paraId="5E52DFFA">
      <w:pPr>
        <w:tabs>
          <w:tab w:val="left" w:pos="1134"/>
          <w:tab w:val="left" w:pos="7513"/>
        </w:tabs>
        <w:ind w:firstLine="397"/>
        <w:jc w:val="distribute"/>
        <w:rPr>
          <w:rFonts w:hint="default" w:ascii="Times New Roman" w:hAnsi="Times New Roman" w:eastAsia="方正小标宋_GBK" w:cs="Times New Roman"/>
          <w:b/>
          <w:color w:val="FF3800"/>
          <w:w w:val="50"/>
          <w:sz w:val="128"/>
          <w:szCs w:val="128"/>
        </w:rPr>
      </w:pPr>
      <w:r>
        <w:rPr>
          <w:rFonts w:hint="default" w:ascii="Times New Roman" w:hAnsi="Times New Roman" w:eastAsia="方正小标宋_GBK" w:cs="Times New Roman"/>
          <w:b/>
          <w:color w:val="FF3800"/>
          <w:w w:val="50"/>
          <w:sz w:val="128"/>
          <w:szCs w:val="128"/>
        </w:rPr>
        <w:t>南京市秦淮区人民政府文件</w:t>
      </w:r>
    </w:p>
    <w:p w14:paraId="10A5F71B">
      <w:pPr>
        <w:tabs>
          <w:tab w:val="left" w:pos="1134"/>
          <w:tab w:val="left" w:pos="7513"/>
        </w:tabs>
        <w:spacing w:line="800" w:lineRule="exact"/>
        <w:ind w:firstLine="397"/>
        <w:jc w:val="distribute"/>
        <w:rPr>
          <w:rFonts w:hint="default" w:ascii="Times New Roman" w:hAnsi="Times New Roman" w:eastAsia="方正小标宋_GBK" w:cs="Times New Roman"/>
          <w:b/>
          <w:color w:val="FF3800"/>
          <w:w w:val="50"/>
          <w:sz w:val="128"/>
          <w:szCs w:val="128"/>
        </w:rPr>
      </w:pPr>
    </w:p>
    <w:p w14:paraId="5B75944E">
      <w:pPr>
        <w:tabs>
          <w:tab w:val="left" w:pos="709"/>
        </w:tabs>
        <w:spacing w:after="156" w:afterLines="50" w:line="700" w:lineRule="exact"/>
        <w:ind w:left="210" w:leftChars="100" w:right="210" w:rightChars="1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秦政发〔202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rPr>
        <w:t>号</w:t>
      </w:r>
    </w:p>
    <w:p w14:paraId="486A2373">
      <w:pPr>
        <w:spacing w:after="312" w:afterLines="100" w:line="600" w:lineRule="exact"/>
        <w:rPr>
          <w:rFonts w:hint="default" w:ascii="Times New Roman" w:hAnsi="Times New Roman" w:eastAsia="方正小标宋简体" w:cs="Times New Roman"/>
          <w:spacing w:val="-20"/>
          <w:sz w:val="40"/>
          <w:szCs w:val="40"/>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68580</wp:posOffset>
                </wp:positionV>
                <wp:extent cx="5537835" cy="0"/>
                <wp:effectExtent l="16510" t="20955" r="17780" b="1714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37835" cy="0"/>
                        </a:xfrm>
                        <a:prstGeom prst="line">
                          <a:avLst/>
                        </a:prstGeom>
                        <a:noFill/>
                        <a:ln w="28575">
                          <a:solidFill>
                            <a:srgbClr val="FF3800"/>
                          </a:solidFill>
                          <a:round/>
                        </a:ln>
                      </wps:spPr>
                      <wps:bodyPr/>
                    </wps:wsp>
                  </a:graphicData>
                </a:graphic>
              </wp:anchor>
            </w:drawing>
          </mc:Choice>
          <mc:Fallback>
            <w:pict>
              <v:line id="_x0000_s1026" o:spid="_x0000_s1026" o:spt="20" style="position:absolute;left:0pt;margin-left:0.55pt;margin-top:5.4pt;height:0pt;width:436.05pt;z-index:251659264;mso-width-relative:page;mso-height-relative:page;" filled="f" stroked="t" coordsize="21600,21600" o:gfxdata="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rE+s9cA&#10;AAAHAQAADwAAAAAAAAABACAAAAAiAAAAZHJzL2Rvd25yZXYueG1sUEsBAhQAFAAAAAgAh07iQOJW&#10;vDfnAQAAqwMAAA4AAAAAAAAAAQAgAAAAJgEAAGRycy9lMm9Eb2MueG1sUEsFBgAAAAAGAAYAWQEA&#10;AH8FAAAAAA==&#10;">
                <v:fill on="f" focussize="0,0"/>
                <v:stroke weight="2.25pt" color="#FF3800" joinstyle="round"/>
                <v:imagedata o:title=""/>
                <o:lock v:ext="edit" aspectratio="f"/>
              </v:line>
            </w:pict>
          </mc:Fallback>
        </mc:AlternateContent>
      </w:r>
    </w:p>
    <w:p w14:paraId="01B761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rPr>
        <w:t>关于</w:t>
      </w:r>
      <w:r>
        <w:rPr>
          <w:rFonts w:hint="default" w:ascii="Times New Roman" w:hAnsi="Times New Roman" w:eastAsia="方正小标宋_GBK" w:cs="Times New Roman"/>
          <w:color w:val="000000"/>
          <w:sz w:val="44"/>
          <w:szCs w:val="44"/>
          <w:lang w:eastAsia="zh-CN"/>
        </w:rPr>
        <w:t>印发南京市秦淮区生态文明建设</w:t>
      </w:r>
    </w:p>
    <w:p w14:paraId="239A71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lang w:eastAsia="zh-CN"/>
        </w:rPr>
        <w:t>规划（</w:t>
      </w:r>
      <w:r>
        <w:rPr>
          <w:rFonts w:hint="default" w:ascii="Times New Roman" w:hAnsi="Times New Roman" w:eastAsia="方正小标宋_GBK" w:cs="Times New Roman"/>
          <w:color w:val="000000"/>
          <w:sz w:val="44"/>
          <w:szCs w:val="44"/>
          <w:lang w:val="en-US" w:eastAsia="zh-CN"/>
        </w:rPr>
        <w:t>2024—2030年</w:t>
      </w:r>
      <w:r>
        <w:rPr>
          <w:rFonts w:hint="default" w:ascii="Times New Roman" w:hAnsi="Times New Roman" w:eastAsia="方正小标宋_GBK" w:cs="Times New Roman"/>
          <w:color w:val="000000"/>
          <w:sz w:val="44"/>
          <w:szCs w:val="44"/>
          <w:lang w:eastAsia="zh-CN"/>
        </w:rPr>
        <w:t>）</w:t>
      </w:r>
      <w:r>
        <w:rPr>
          <w:rFonts w:hint="default" w:ascii="Times New Roman" w:hAnsi="Times New Roman" w:eastAsia="方正小标宋_GBK" w:cs="Times New Roman"/>
          <w:color w:val="000000"/>
          <w:sz w:val="44"/>
          <w:szCs w:val="44"/>
        </w:rPr>
        <w:t>的通知</w:t>
      </w:r>
    </w:p>
    <w:p w14:paraId="5925140A">
      <w:pPr>
        <w:overflowPunct w:val="0"/>
        <w:spacing w:line="580" w:lineRule="exact"/>
        <w:rPr>
          <w:rFonts w:hint="default" w:ascii="Times New Roman" w:hAnsi="Times New Roman" w:eastAsia="方正小标宋_GBK" w:cs="Times New Roman"/>
          <w:color w:val="000000"/>
          <w:sz w:val="44"/>
          <w:szCs w:val="44"/>
        </w:rPr>
      </w:pPr>
    </w:p>
    <w:p w14:paraId="73550F74">
      <w:pPr>
        <w:keepNext w:val="0"/>
        <w:keepLines w:val="0"/>
        <w:pageBreakBefore w:val="0"/>
        <w:widowControl w:val="0"/>
        <w:kinsoku/>
        <w:wordWrap/>
        <w:overflowPunct w:val="0"/>
        <w:topLinePunct w:val="0"/>
        <w:autoSpaceDE/>
        <w:autoSpaceDN/>
        <w:bidi w:val="0"/>
        <w:adjustRightInd w:val="0"/>
        <w:snapToGrid w:val="0"/>
        <w:spacing w:line="540" w:lineRule="exact"/>
        <w:textAlignment w:val="auto"/>
        <w:rPr>
          <w:rFonts w:hint="default" w:ascii="Times New Roman" w:hAnsi="Times New Roman" w:eastAsia="方正仿宋_GBK" w:cs="Times New Roman"/>
          <w:color w:val="000000"/>
          <w:spacing w:val="10"/>
          <w:sz w:val="32"/>
          <w:szCs w:val="32"/>
        </w:rPr>
      </w:pPr>
      <w:r>
        <w:rPr>
          <w:rFonts w:hint="default" w:ascii="Times New Roman" w:hAnsi="Times New Roman" w:eastAsia="方正仿宋_GBK" w:cs="Times New Roman"/>
          <w:color w:val="000000"/>
          <w:spacing w:val="10"/>
          <w:sz w:val="32"/>
          <w:szCs w:val="32"/>
        </w:rPr>
        <w:t>各街道办事处，区政府各部门，各直属单位：</w:t>
      </w:r>
    </w:p>
    <w:p w14:paraId="2CBF6F8E">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经区政府研究同意，现将《</w:t>
      </w:r>
      <w:r>
        <w:rPr>
          <w:rFonts w:hint="default" w:ascii="Times New Roman" w:hAnsi="Times New Roman" w:eastAsia="方正仿宋_GBK" w:cs="Times New Roman"/>
          <w:sz w:val="32"/>
          <w:szCs w:val="32"/>
          <w:lang w:eastAsia="zh-CN"/>
        </w:rPr>
        <w:t>南京市秦淮区生态文明建设规划（</w:t>
      </w:r>
      <w:r>
        <w:rPr>
          <w:rFonts w:hint="default" w:ascii="Times New Roman" w:hAnsi="Times New Roman" w:eastAsia="方正仿宋_GBK" w:cs="Times New Roman"/>
          <w:sz w:val="32"/>
          <w:szCs w:val="32"/>
          <w:lang w:val="en-US" w:eastAsia="zh-CN"/>
        </w:rPr>
        <w:t>2024—2030年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》印发给你们，请</w:t>
      </w:r>
      <w:r>
        <w:rPr>
          <w:rFonts w:hint="default" w:ascii="Times New Roman" w:hAnsi="Times New Roman" w:eastAsia="方正仿宋_GBK" w:cs="Times New Roman"/>
          <w:sz w:val="32"/>
          <w:szCs w:val="32"/>
          <w:lang w:eastAsia="zh-CN"/>
        </w:rPr>
        <w:t>结合实际，</w:t>
      </w:r>
      <w:r>
        <w:rPr>
          <w:rFonts w:hint="default" w:ascii="Times New Roman" w:hAnsi="Times New Roman" w:eastAsia="方正仿宋_GBK" w:cs="Times New Roman"/>
          <w:sz w:val="32"/>
          <w:szCs w:val="32"/>
        </w:rPr>
        <w:t>认真贯彻</w:t>
      </w:r>
      <w:r>
        <w:rPr>
          <w:rFonts w:hint="default" w:ascii="Times New Roman" w:hAnsi="Times New Roman" w:eastAsia="方正仿宋_GBK" w:cs="Times New Roman"/>
          <w:sz w:val="32"/>
          <w:szCs w:val="32"/>
          <w:lang w:eastAsia="zh-CN"/>
        </w:rPr>
        <w:t>执行</w:t>
      </w:r>
      <w:r>
        <w:rPr>
          <w:rFonts w:hint="default" w:ascii="Times New Roman" w:hAnsi="Times New Roman" w:eastAsia="方正仿宋_GBK" w:cs="Times New Roman"/>
          <w:sz w:val="32"/>
          <w:szCs w:val="32"/>
        </w:rPr>
        <w:t>。</w:t>
      </w:r>
    </w:p>
    <w:p w14:paraId="7A254909">
      <w:pPr>
        <w:overflowPunct w:val="0"/>
        <w:spacing w:line="590" w:lineRule="exact"/>
        <w:ind w:firstLine="640" w:firstLineChars="200"/>
        <w:rPr>
          <w:rFonts w:hint="default" w:ascii="Times New Roman" w:hAnsi="Times New Roman" w:eastAsia="方正仿宋_GBK" w:cs="Times New Roman"/>
          <w:sz w:val="32"/>
          <w:szCs w:val="32"/>
        </w:rPr>
      </w:pPr>
    </w:p>
    <w:p w14:paraId="260835BD">
      <w:pPr>
        <w:adjustRightInd w:val="0"/>
        <w:snapToGrid w:val="0"/>
        <w:spacing w:line="560" w:lineRule="exact"/>
        <w:ind w:firstLine="496" w:firstLineChars="146"/>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rPr>
        <w:t xml:space="preserve"> </w:t>
      </w:r>
    </w:p>
    <w:p w14:paraId="06DB03DE">
      <w:pPr>
        <w:keepNext w:val="0"/>
        <w:keepLines w:val="0"/>
        <w:pageBreakBefore w:val="0"/>
        <w:widowControl w:val="0"/>
        <w:kinsoku/>
        <w:wordWrap w:val="0"/>
        <w:overflowPunct/>
        <w:topLinePunct w:val="0"/>
        <w:autoSpaceDE/>
        <w:autoSpaceDN/>
        <w:bidi w:val="0"/>
        <w:adjustRightInd w:val="0"/>
        <w:snapToGrid w:val="0"/>
        <w:spacing w:line="540" w:lineRule="exact"/>
        <w:ind w:firstLine="467" w:firstLineChars="146"/>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南京市秦淮区人民政府     </w:t>
      </w:r>
    </w:p>
    <w:p w14:paraId="458B0A95">
      <w:pPr>
        <w:keepNext w:val="0"/>
        <w:keepLines w:val="0"/>
        <w:pageBreakBefore w:val="0"/>
        <w:widowControl w:val="0"/>
        <w:kinsoku/>
        <w:wordWrap w:val="0"/>
        <w:overflowPunct/>
        <w:topLinePunct w:val="0"/>
        <w:autoSpaceDE/>
        <w:autoSpaceDN/>
        <w:bidi w:val="0"/>
        <w:adjustRightInd w:val="0"/>
        <w:snapToGrid w:val="0"/>
        <w:spacing w:line="540" w:lineRule="exact"/>
        <w:ind w:right="840" w:rightChars="4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日</w:t>
      </w:r>
    </w:p>
    <w:p w14:paraId="08D0A675">
      <w:pPr>
        <w:pStyle w:val="8"/>
        <w:rPr>
          <w:rFonts w:hint="default" w:ascii="Times New Roman" w:hAnsi="Times New Roman" w:eastAsia="方正仿宋_GBK" w:cs="Times New Roman"/>
          <w:sz w:val="32"/>
          <w:szCs w:val="32"/>
        </w:rPr>
      </w:pPr>
    </w:p>
    <w:p w14:paraId="57F96997">
      <w:pPr>
        <w:pStyle w:val="8"/>
        <w:rPr>
          <w:rFonts w:hint="default" w:ascii="Times New Roman" w:hAnsi="Times New Roman" w:eastAsia="方正仿宋_GBK" w:cs="Times New Roman"/>
          <w:sz w:val="32"/>
          <w:szCs w:val="32"/>
        </w:rPr>
      </w:pPr>
    </w:p>
    <w:p w14:paraId="735133E6">
      <w:pPr>
        <w:pStyle w:val="8"/>
        <w:rPr>
          <w:rFonts w:hint="default" w:ascii="Times New Roman" w:hAnsi="Times New Roman" w:eastAsia="方正仿宋_GBK" w:cs="Times New Roman"/>
          <w:sz w:val="32"/>
          <w:szCs w:val="32"/>
        </w:rPr>
      </w:pPr>
    </w:p>
    <w:p w14:paraId="20E37223">
      <w:pPr>
        <w:pStyle w:val="8"/>
        <w:rPr>
          <w:rFonts w:hint="default" w:ascii="Times New Roman" w:hAnsi="Times New Roman" w:eastAsia="方正仿宋_GBK" w:cs="Times New Roman"/>
          <w:sz w:val="32"/>
          <w:szCs w:val="32"/>
        </w:rPr>
      </w:pPr>
    </w:p>
    <w:p w14:paraId="1960461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南京市秦淮区生态文明建设</w:t>
      </w:r>
    </w:p>
    <w:p w14:paraId="305FF7D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规划（</w:t>
      </w:r>
      <w:r>
        <w:rPr>
          <w:rFonts w:hint="default" w:ascii="Times New Roman" w:hAnsi="Times New Roman" w:eastAsia="方正小标宋_GBK" w:cs="Times New Roman"/>
          <w:sz w:val="44"/>
          <w:szCs w:val="44"/>
          <w:lang w:val="en-US" w:eastAsia="zh-CN"/>
        </w:rPr>
        <w:t>2024—2030年</w:t>
      </w:r>
      <w:r>
        <w:rPr>
          <w:rFonts w:hint="default" w:ascii="Times New Roman" w:hAnsi="Times New Roman" w:eastAsia="方正小标宋_GBK" w:cs="Times New Roman"/>
          <w:sz w:val="44"/>
          <w:szCs w:val="44"/>
          <w:lang w:eastAsia="zh-CN"/>
        </w:rPr>
        <w:t>）</w:t>
      </w:r>
    </w:p>
    <w:p w14:paraId="612E9F1F">
      <w:pPr>
        <w:pStyle w:val="12"/>
        <w:rPr>
          <w:rFonts w:hint="default" w:ascii="Times New Roman" w:hAnsi="Times New Roman" w:cs="Times New Roman"/>
        </w:rPr>
      </w:pPr>
    </w:p>
    <w:p w14:paraId="340873C1">
      <w:pPr>
        <w:pStyle w:val="2"/>
        <w:numPr>
          <w:ilvl w:val="0"/>
          <w:numId w:val="0"/>
        </w:numPr>
        <w:spacing w:before="156" w:beforeLines="50" w:after="120"/>
        <w:ind w:left="420" w:hanging="420"/>
        <w:jc w:val="center"/>
        <w:rPr>
          <w:rFonts w:hint="default" w:ascii="Times New Roman" w:hAnsi="Times New Roman" w:eastAsia="方正黑体_GBK" w:cs="Times New Roman"/>
          <w:bCs/>
          <w:sz w:val="32"/>
          <w:szCs w:val="28"/>
          <w:highlight w:val="none"/>
          <w:lang w:eastAsia="zh-CN"/>
        </w:rPr>
      </w:pPr>
      <w:bookmarkStart w:id="0" w:name="_Toc154308147"/>
      <w:bookmarkStart w:id="1" w:name="_Toc14259"/>
      <w:bookmarkStart w:id="2" w:name="_Toc17324"/>
      <w:bookmarkStart w:id="3" w:name="_Toc31271"/>
      <w:bookmarkStart w:id="4" w:name="_Toc8267"/>
      <w:r>
        <w:rPr>
          <w:rFonts w:hint="default" w:ascii="Times New Roman" w:hAnsi="Times New Roman" w:eastAsia="方正黑体_GBK" w:cs="Times New Roman"/>
          <w:bCs/>
          <w:sz w:val="32"/>
          <w:szCs w:val="28"/>
          <w:highlight w:val="none"/>
        </w:rPr>
        <w:t xml:space="preserve"> </w:t>
      </w:r>
      <w:bookmarkEnd w:id="0"/>
      <w:r>
        <w:rPr>
          <w:rFonts w:hint="default" w:ascii="Times New Roman" w:hAnsi="Times New Roman" w:eastAsia="方正黑体_GBK" w:cs="Times New Roman"/>
          <w:bCs/>
          <w:sz w:val="32"/>
          <w:szCs w:val="28"/>
          <w:highlight w:val="none"/>
          <w:lang w:eastAsia="zh-CN"/>
        </w:rPr>
        <w:t>前</w:t>
      </w:r>
      <w:r>
        <w:rPr>
          <w:rFonts w:hint="default" w:ascii="Times New Roman" w:hAnsi="Times New Roman" w:eastAsia="方正黑体_GBK" w:cs="Times New Roman"/>
          <w:bCs/>
          <w:sz w:val="32"/>
          <w:szCs w:val="28"/>
          <w:highlight w:val="none"/>
          <w:lang w:val="en-US" w:eastAsia="zh-CN"/>
        </w:rPr>
        <w:t xml:space="preserve">  </w:t>
      </w:r>
      <w:r>
        <w:rPr>
          <w:rFonts w:hint="default" w:ascii="Times New Roman" w:hAnsi="Times New Roman" w:eastAsia="方正黑体_GBK" w:cs="Times New Roman"/>
          <w:bCs/>
          <w:sz w:val="32"/>
          <w:szCs w:val="28"/>
          <w:highlight w:val="none"/>
          <w:lang w:eastAsia="zh-CN"/>
        </w:rPr>
        <w:t>言</w:t>
      </w:r>
    </w:p>
    <w:p w14:paraId="608A5428">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党的十八大首次将生态文明建设纳入中国特色社会主义事业</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五位一体</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总体布局，提出把生态文明建设放在突出地位，努力建设美丽中国，实现中华民族永续发展。党的十九大把生态文明建设提升到一个新的高度，指出生态文明建设是关系中华民族永续发展的千年大计。党的二十大明确提出中国式现代化是人与自然和谐共生的现代化，要求坚定不移走生产发展、生活富裕、生态良好的文明发展道路。以习近平</w:t>
      </w:r>
      <w:r>
        <w:rPr>
          <w:rFonts w:hint="default" w:ascii="Times New Roman" w:hAnsi="Times New Roman" w:eastAsia="方正仿宋_GBK" w:cs="Times New Roman"/>
          <w:color w:val="000000"/>
          <w:sz w:val="32"/>
          <w:szCs w:val="32"/>
          <w:lang w:eastAsia="zh-CN"/>
        </w:rPr>
        <w:t>同志</w:t>
      </w:r>
      <w:r>
        <w:rPr>
          <w:rFonts w:hint="default" w:ascii="Times New Roman" w:hAnsi="Times New Roman" w:eastAsia="方正仿宋_GBK" w:cs="Times New Roman"/>
          <w:color w:val="000000"/>
          <w:sz w:val="32"/>
          <w:szCs w:val="32"/>
          <w:lang w:eastAsia="zh-CN"/>
        </w:rPr>
        <w:t>为核心的党中央擘画了美丽中国的宏伟蓝图，对我国生态文明建设作出了一系列重要部署。2023年，习近平总书记在全国生态环境保护大会上对全面推进美丽中国建设作出系统部署，提出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以高品质生态环境支撑高质量发展，加快推进人与自然和谐共生的现代化</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，为进一步加强生态环境保护、推进生态文明建设提供了方向指引。</w:t>
      </w:r>
    </w:p>
    <w:p w14:paraId="7050E152">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党的十九届五中全会后，习近平总书记视察江苏时作出重要讲话指示，赋予江苏</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在改革创新、推动高质量发展上争当表率，在服务全国构建新发展格局上争做示范，在率先实现社会主义现代化上走在前列</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的历史使命。江苏省委、省政府高度重视生态文明建设工作，2020年8月，省委、省政府印发了《关于深入推进美丽江苏建设的意见》。</w:t>
      </w:r>
    </w:p>
    <w:p w14:paraId="3568467D">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秦淮区位于南京市主城区东南，历史文化底蕴深厚，商务商贸繁荣发达。为深入贯彻落实习近平生态文明思想，持续深入打好蓝天碧水净土保卫战，坚持以生态环境高水平保护推动经济社会高质量发展，加快创建国家级生态文明建设示范区，现制定《南京市秦淮区生态文明建设规划（2024—2030年）》（以下简称</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规划</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），在全面分析研判秦淮生态文明建设基础条件和面临挑战的基础上，进一步明确了生态文明建设的奋斗目标和任务举措，作为指导全区开展生态文明建设示范创建工作的重要依据。</w:t>
      </w:r>
    </w:p>
    <w:p w14:paraId="5BF69BD6">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0D9F3BCB">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7A654086">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3972CF8E">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2BE5258F">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1AFBCD11">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02DC312A">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529AC22E">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6B9C4FCF">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4F55B100">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01217790">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613D3F87">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332B667C">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35039051">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57090778">
      <w:pPr>
        <w:pStyle w:val="12"/>
        <w:spacing w:before="327" w:beforeLines="100" w:after="327" w:afterLines="100" w:line="578" w:lineRule="exact"/>
        <w:ind w:left="0" w:leftChars="0" w:firstLine="0" w:firstLineChars="0"/>
        <w:jc w:val="center"/>
        <w:rPr>
          <w:rFonts w:hint="default" w:ascii="Times New Roman" w:hAnsi="Times New Roman" w:eastAsia="方正黑体_GBK" w:cs="Times New Roman"/>
          <w:sz w:val="36"/>
          <w:szCs w:val="36"/>
          <w:highlight w:val="none"/>
          <w:lang w:eastAsia="zh-CN"/>
        </w:rPr>
      </w:pPr>
      <w:r>
        <w:rPr>
          <w:rFonts w:hint="default" w:ascii="Times New Roman" w:hAnsi="Times New Roman" w:eastAsia="方正黑体_GBK" w:cs="Times New Roman"/>
          <w:sz w:val="36"/>
          <w:szCs w:val="36"/>
          <w:highlight w:val="none"/>
        </w:rPr>
        <w:t>第一</w:t>
      </w:r>
      <w:r>
        <w:rPr>
          <w:rFonts w:hint="default" w:ascii="Times New Roman" w:hAnsi="Times New Roman" w:eastAsia="方正黑体_GBK" w:cs="Times New Roman"/>
          <w:sz w:val="36"/>
          <w:szCs w:val="36"/>
          <w:highlight w:val="none"/>
          <w:lang w:eastAsia="zh-CN"/>
        </w:rPr>
        <w:t>章</w:t>
      </w:r>
      <w:r>
        <w:rPr>
          <w:rFonts w:hint="default" w:ascii="Times New Roman" w:hAnsi="Times New Roman" w:eastAsia="方正黑体_GBK" w:cs="Times New Roman"/>
          <w:sz w:val="36"/>
          <w:szCs w:val="36"/>
          <w:highlight w:val="none"/>
        </w:rPr>
        <w:t xml:space="preserve">  </w:t>
      </w:r>
      <w:r>
        <w:rPr>
          <w:rFonts w:hint="default" w:ascii="Times New Roman" w:hAnsi="Times New Roman" w:eastAsia="方正黑体_GBK" w:cs="Times New Roman"/>
          <w:sz w:val="36"/>
          <w:szCs w:val="36"/>
          <w:highlight w:val="none"/>
          <w:lang w:eastAsia="zh-CN"/>
        </w:rPr>
        <w:t>工作基础与形势分析</w:t>
      </w:r>
    </w:p>
    <w:p w14:paraId="5083CDEF">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sz w:val="32"/>
          <w:szCs w:val="32"/>
          <w:highlight w:val="none"/>
        </w:rPr>
        <w:t>一、</w:t>
      </w:r>
      <w:r>
        <w:rPr>
          <w:rFonts w:hint="default" w:ascii="Times New Roman" w:hAnsi="Times New Roman" w:eastAsia="方正黑体_GBK" w:cs="Times New Roman"/>
          <w:sz w:val="32"/>
          <w:szCs w:val="32"/>
          <w:highlight w:val="none"/>
          <w:lang w:eastAsia="zh-CN"/>
        </w:rPr>
        <w:t>建设基础</w:t>
      </w:r>
    </w:p>
    <w:p w14:paraId="6F604BD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（一）区域特征</w:t>
      </w:r>
    </w:p>
    <w:p w14:paraId="547E1C43">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秦淮区是南京市中心城区重要组成部分，区域面积49.11平方公里，东与江宁区上坊接壤，西至外秦淮河与建邺区相连，北以中山东路、汉中路为界与玄武、鼓楼两区交界，南以雨花东路、卡子门大街为界与雨花台区相邻。秦淮区下辖五老村、洪武路、大光路、瑞金路、月牙湖、光华路、朝天宫、红花、夫子庙、双塘、中华门、秦虹12个街道，104个社区，1个省级开发区—白下高新技术产业园区。秦淮区属于亚热带湿润、半湿润季风气候区，四季分明，雨水充沛；地貌属低山丘陵区和平原的结合，呈东南低西北高之势。秦淮区历史文化底蕴深厚，人文自然景观独特，名胜古迹众多，集聚了夫子庙、中华门瓮城、明城墙、江南贡院、大报恩寺遗址等著名人文景观，以及蒋百万故居、沈万三故居、凤凰台等一大批历史资源点位，素有</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江南锦绣之邦，金陵风雅之薮</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的美称。</w:t>
      </w:r>
    </w:p>
    <w:p w14:paraId="0304825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（二）工作基础</w:t>
      </w:r>
    </w:p>
    <w:p w14:paraId="53F9769E">
      <w:pPr>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近年来，秦淮区深入践行习近平生态文明思想，全面贯彻落实国家、省、市关于生态文明建设有关决策部署，牢固树立</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绿水青山就是金山银山</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发展理念，坚定不移走生态优先、绿色发展之路，以创建生态文明建设示范区为契机，加快构建绿色发展新格局。</w:t>
      </w:r>
    </w:p>
    <w:p w14:paraId="5838E6C7">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全面落实考核任务，目标责任体系不断健全</w:t>
      </w:r>
      <w:r>
        <w:rPr>
          <w:rFonts w:hint="default" w:ascii="Times New Roman" w:hAnsi="Times New Roman" w:eastAsia="方正仿宋_GBK" w:cs="Times New Roman"/>
          <w:snapToGrid w:val="0"/>
          <w:color w:val="000000"/>
          <w:kern w:val="0"/>
          <w:sz w:val="32"/>
          <w:szCs w:val="32"/>
          <w:lang w:val="en-US" w:eastAsia="zh-CN" w:bidi="ar-SA"/>
        </w:rPr>
        <w:t>。建立健全生态文明责任体系，不断完善考核机制，注重将碳达峰、PM</w:t>
      </w:r>
      <w:r>
        <w:rPr>
          <w:rFonts w:hint="default" w:ascii="Times New Roman" w:hAnsi="Times New Roman" w:eastAsia="方正仿宋_GBK" w:cs="Times New Roman"/>
          <w:snapToGrid w:val="0"/>
          <w:color w:val="000000"/>
          <w:kern w:val="0"/>
          <w:sz w:val="32"/>
          <w:szCs w:val="32"/>
          <w:vertAlign w:val="subscript"/>
          <w:lang w:val="en-US" w:eastAsia="zh-CN" w:bidi="ar-SA"/>
        </w:rPr>
        <w:t>2.5</w:t>
      </w:r>
      <w:r>
        <w:rPr>
          <w:rFonts w:hint="default" w:ascii="Times New Roman" w:hAnsi="Times New Roman" w:eastAsia="方正仿宋_GBK" w:cs="Times New Roman"/>
          <w:snapToGrid w:val="0"/>
          <w:color w:val="000000"/>
          <w:kern w:val="0"/>
          <w:sz w:val="32"/>
          <w:szCs w:val="32"/>
          <w:lang w:val="en-US" w:eastAsia="zh-CN" w:bidi="ar-SA"/>
        </w:rPr>
        <w:t>年均浓度、空气质量优良天数比率、地表水达到或好于Ⅲ类水体等生态文明相关考核指标作为高质量发展绩效评价指标体系的重要内容，明确具体指标分值，强化考核等次评定，并将高质量发展年度综合考核结果作为领导班子和领导干部年度考核评价的主要依据。2021—2023年，生态文明建设工作占党政实绩考核的比例均达到20%的考核要求。成立秦淮区生态环境损害赔偿工作领导小组，并按要求严肃查处生态环境领域失职渎职、履职不到位等问题。成立领导干部自然资源资产离任审计工作联席会议，形成了以区委审计委员会为主体、经济责任审计联席会议和领导干部自然资源资产离任审计联席会议为两翼的工作运行机制，2021—2023年共开展领导干部自然资源资产离任审计项目4项。</w:t>
      </w:r>
    </w:p>
    <w:p w14:paraId="070CEB71">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bookmarkStart w:id="5" w:name="_Hlk115185367"/>
      <w:r>
        <w:rPr>
          <w:rFonts w:hint="default" w:ascii="Times New Roman" w:hAnsi="Times New Roman" w:eastAsia="方正仿宋_GBK" w:cs="Times New Roman"/>
          <w:b/>
          <w:bCs/>
          <w:snapToGrid w:val="0"/>
          <w:color w:val="000000"/>
          <w:kern w:val="0"/>
          <w:sz w:val="32"/>
          <w:szCs w:val="32"/>
          <w:highlight w:val="none"/>
          <w:lang w:val="en-US" w:eastAsia="zh-CN" w:bidi="ar-SA"/>
        </w:rPr>
        <w:t>持续加强保护治理，生态环境质量显著改善</w:t>
      </w:r>
      <w:r>
        <w:rPr>
          <w:rFonts w:hint="default" w:ascii="Times New Roman" w:hAnsi="Times New Roman" w:eastAsia="方正仿宋_GBK" w:cs="Times New Roman"/>
          <w:snapToGrid w:val="0"/>
          <w:color w:val="000000"/>
          <w:kern w:val="0"/>
          <w:sz w:val="32"/>
          <w:szCs w:val="32"/>
          <w:highlight w:val="none"/>
          <w:lang w:val="en-US" w:eastAsia="zh-CN" w:bidi="ar-SA"/>
        </w:rPr>
        <w:t>。</w:t>
      </w:r>
      <w:bookmarkStart w:id="6" w:name="_Hlk162250326"/>
      <w:r>
        <w:rPr>
          <w:rFonts w:hint="default" w:ascii="Times New Roman" w:hAnsi="Times New Roman" w:eastAsia="方正仿宋_GBK" w:cs="Times New Roman"/>
          <w:snapToGrid w:val="0"/>
          <w:color w:val="000000"/>
          <w:kern w:val="0"/>
          <w:sz w:val="32"/>
          <w:szCs w:val="32"/>
          <w:highlight w:val="none"/>
          <w:lang w:val="en-US" w:eastAsia="zh-CN" w:bidi="ar-SA"/>
        </w:rPr>
        <w:t>深入落实全国及省、市生态环境保护大会精神</w:t>
      </w:r>
      <w:r>
        <w:rPr>
          <w:rFonts w:hint="default" w:ascii="Times New Roman" w:hAnsi="Times New Roman" w:eastAsia="方正仿宋_GBK" w:cs="Times New Roman"/>
          <w:snapToGrid w:val="0"/>
          <w:color w:val="000000"/>
          <w:kern w:val="0"/>
          <w:sz w:val="32"/>
          <w:szCs w:val="32"/>
          <w:lang w:val="en-US" w:eastAsia="zh-CN" w:bidi="ar-SA"/>
        </w:rPr>
        <w:t>，实施工地扬尘、餐饮油烟、挥发性有机物常态化治理，开展移动源污染管控，大气污染防治成效明显。2023年，秦淮区空气优良率达81.4%，PM</w:t>
      </w:r>
      <w:r>
        <w:rPr>
          <w:rFonts w:hint="default" w:ascii="Times New Roman" w:hAnsi="Times New Roman" w:eastAsia="方正仿宋_GBK" w:cs="Times New Roman"/>
          <w:snapToGrid w:val="0"/>
          <w:color w:val="000000"/>
          <w:kern w:val="0"/>
          <w:sz w:val="32"/>
          <w:szCs w:val="32"/>
          <w:vertAlign w:val="subscript"/>
          <w:lang w:val="en-US" w:eastAsia="zh-CN" w:bidi="ar-SA"/>
        </w:rPr>
        <w:t>2.5</w:t>
      </w:r>
      <w:r>
        <w:rPr>
          <w:rFonts w:hint="default" w:ascii="Times New Roman" w:hAnsi="Times New Roman" w:eastAsia="方正仿宋_GBK" w:cs="Times New Roman"/>
          <w:snapToGrid w:val="0"/>
          <w:color w:val="000000"/>
          <w:kern w:val="0"/>
          <w:sz w:val="32"/>
          <w:szCs w:val="32"/>
          <w:lang w:val="en-US" w:eastAsia="zh-CN" w:bidi="ar-SA"/>
        </w:rPr>
        <w:t>均值27.6微克/立方米，均完成年度约束性目标。</w:t>
      </w:r>
      <w:bookmarkEnd w:id="6"/>
      <w:r>
        <w:rPr>
          <w:rFonts w:hint="default" w:ascii="Times New Roman" w:hAnsi="Times New Roman" w:eastAsia="方正仿宋_GBK" w:cs="Times New Roman"/>
          <w:snapToGrid w:val="0"/>
          <w:color w:val="000000"/>
          <w:kern w:val="0"/>
          <w:sz w:val="32"/>
          <w:szCs w:val="32"/>
          <w:lang w:val="en-US" w:eastAsia="zh-CN" w:bidi="ar-SA"/>
        </w:rPr>
        <w:t>推进污水治理基础设施建设，常态化开展河湖</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清四乱</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行动，实施河道水环境综合整治，水生态环境持续改善。2023年，秦淮区8个市考以上重点断面（含1个国考断面）水质年均值均达到考核要求，全区范围内基本消除劣Ⅴ类水体。2021—2023年，累计创成区级幸福河湖20条，其中5条创成省级幸福河湖。开展辖区重点行业企业用地调查信息采集及风险筛查，初步完成重点行业企业用地调查信息采集结果、企业质控自评估报告及风险筛查结果初步纠偏报告，完成重点行业企业用地土壤调查。加强噪声源头管控，优化完善噪声监测网络，推动区域声环境质量不达标板块制定整治方案并实施专项整治，切实改善区域声环境质量，2023年秦淮区声环境功能区达标率为90.6%。推进</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无废城市</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建设工作，制定《秦淮区</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十四五</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时期</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无废城市</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建设实施方案》。</w:t>
      </w:r>
      <w:r>
        <w:rPr>
          <w:rFonts w:hint="default" w:ascii="Times New Roman" w:hAnsi="Times New Roman" w:eastAsia="方正仿宋_GBK" w:cs="Times New Roman"/>
          <w:snapToGrid w:val="0"/>
          <w:color w:val="000000"/>
          <w:kern w:val="0"/>
          <w:sz w:val="32"/>
          <w:szCs w:val="32"/>
          <w:highlight w:val="none"/>
          <w:lang w:val="en-US" w:eastAsia="zh-CN" w:bidi="ar-SA"/>
        </w:rPr>
        <w:t>开展危废固废安全专项整治行动，加强医疗场所内医疗废弃物规范管理，</w:t>
      </w:r>
      <w:r>
        <w:rPr>
          <w:rFonts w:hint="default" w:ascii="Times New Roman" w:hAnsi="Times New Roman" w:eastAsia="方正仿宋_GBK" w:cs="Times New Roman"/>
          <w:snapToGrid w:val="0"/>
          <w:color w:val="000000"/>
          <w:kern w:val="0"/>
          <w:sz w:val="32"/>
          <w:szCs w:val="32"/>
          <w:lang w:val="en-US" w:eastAsia="zh-CN" w:bidi="ar-SA"/>
        </w:rPr>
        <w:t>辖区内医疗单位产生的医疗废物100%安全转移处置。全区重点建设用地安全利用率100%。全区共有高风险遗留地块1块，为原南京精益铸造有限公司地块，已完成土壤污染状况调查，相关构筑物尚未拆除；另有处于修复阶段的污染地块1块（秦淮区七桥A区国际路以东、国东路以西地块），修复工作进展顺利。</w:t>
      </w:r>
    </w:p>
    <w:p w14:paraId="70AF5C97">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逐步优化生态空间体系，生态质量不断提升</w:t>
      </w:r>
      <w:r>
        <w:rPr>
          <w:rFonts w:hint="default" w:ascii="Times New Roman" w:hAnsi="Times New Roman" w:eastAsia="方正仿宋_GBK" w:cs="Times New Roman"/>
          <w:snapToGrid w:val="0"/>
          <w:color w:val="000000"/>
          <w:kern w:val="0"/>
          <w:sz w:val="32"/>
          <w:szCs w:val="32"/>
          <w:lang w:val="en-US" w:eastAsia="zh-CN" w:bidi="ar-SA"/>
        </w:rPr>
        <w:t>。参与完成《南京市</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三线一单</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生态环境分区管控实施方案（2022年更新版）》编制工作。加强开发建设活动管控，2021—2023年期间，未发生违法违规开发建设、侵占破坏红线内土地、非法排污等行为，区域内环境质量保持稳定。有序推进《南京市秦淮区国土空间分区规划（2021—2035年）》编制工作，进一步落实底线约束，明确发展规模，优化空间格局，完善配套设施。积极探索融合老城与新城发展的自然资源节约集约路径，在保障城市发展的前提下，合理利用有限的土地资源，引导城区用地结构优化和资源合理配置。秦淮区入选全国首批自然资源节约集约示范县（市）。</w:t>
      </w:r>
    </w:p>
    <w:p w14:paraId="20EF9BED">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优化升级产业结构，生态经济持续发展壮大</w:t>
      </w:r>
      <w:r>
        <w:rPr>
          <w:rFonts w:hint="default" w:ascii="Times New Roman" w:hAnsi="Times New Roman" w:eastAsia="方正仿宋_GBK" w:cs="Times New Roman"/>
          <w:snapToGrid w:val="0"/>
          <w:color w:val="000000"/>
          <w:kern w:val="0"/>
          <w:sz w:val="32"/>
          <w:szCs w:val="32"/>
          <w:lang w:val="en-US" w:eastAsia="zh-CN" w:bidi="ar-SA"/>
        </w:rPr>
        <w:t>。聚焦高端商务商贸、现代金融、文化旅游、软件和信息服务等主导产业和物联网、车联网等新兴产业，促进产业绿色转型，2023年全区金融业营收1150亿元，旅游总收入860亿元，数字经济核心产业营收326亿元，GDP总量位列全市主城区第二。不断整合科技创新资源，加快形成新质生产力，以白下高新园区为主阵地，深化</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一区多园</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管理模式，率先破题城市硅巷，完善创新湾区发展生态，基本形成</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白下高新区+秦淮硅巷+南航秦淮创新湾区+南理工秦淮数字经济创新湾区</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的产城发展格局，全区高企总数达590家，新认定培育独角兽7家、瞪羚企业14家。推动都市工业绿色发展，鼓励支持企业</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智改数转</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，引导传统产业绿色化升级，累计实施规上工业企业</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智改数转</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72家。</w:t>
      </w:r>
    </w:p>
    <w:p w14:paraId="624A623E">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着力挖掘历史底蕴，</w:t>
      </w:r>
      <w:bookmarkStart w:id="7" w:name="_Hlk162195549"/>
      <w:r>
        <w:rPr>
          <w:rFonts w:hint="default" w:ascii="Times New Roman" w:hAnsi="Times New Roman" w:eastAsia="方正仿宋_GBK" w:cs="Times New Roman"/>
          <w:b/>
          <w:bCs/>
          <w:snapToGrid w:val="0"/>
          <w:color w:val="000000"/>
          <w:kern w:val="0"/>
          <w:sz w:val="32"/>
          <w:szCs w:val="32"/>
          <w:lang w:val="en-US" w:eastAsia="zh-CN" w:bidi="ar-SA"/>
        </w:rPr>
        <w:t>生态文化培育不断深化</w:t>
      </w:r>
      <w:bookmarkEnd w:id="7"/>
      <w:r>
        <w:rPr>
          <w:rFonts w:hint="default" w:ascii="Times New Roman" w:hAnsi="Times New Roman" w:eastAsia="方正仿宋_GBK" w:cs="Times New Roman"/>
          <w:snapToGrid w:val="0"/>
          <w:color w:val="000000"/>
          <w:kern w:val="0"/>
          <w:sz w:val="32"/>
          <w:szCs w:val="32"/>
          <w:lang w:val="en-US" w:eastAsia="zh-CN" w:bidi="ar-SA"/>
        </w:rPr>
        <w:t>。</w:t>
      </w:r>
      <w:bookmarkEnd w:id="5"/>
      <w:r>
        <w:rPr>
          <w:rFonts w:hint="default" w:ascii="Times New Roman" w:hAnsi="Times New Roman" w:eastAsia="方正仿宋_GBK" w:cs="Times New Roman"/>
          <w:snapToGrid w:val="0"/>
          <w:color w:val="000000"/>
          <w:kern w:val="0"/>
          <w:sz w:val="32"/>
          <w:szCs w:val="32"/>
          <w:lang w:val="en-US" w:eastAsia="zh-CN" w:bidi="ar-SA"/>
        </w:rPr>
        <w:t>注重传承挖掘秦淮生态文化内涵，围绕改善生态环境质量这一主线，利用秦淮发布、秦淮环保政务微博以及</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美苏263</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江苏生态环境</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南京生态环境</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微信公众号等新媒体平台，广泛开展生态文明宣传，积极引导社会舆论，逐步拓宽生态文化传播渠道。践行绿色生活方式，2021—2023年全区城镇新建绿色建筑占新建建筑的比例为100%。强化领导干部教育培训，将生态环境保护相关理论知识、法律法规等纳入党校教学内容，在区管干部进修班、中青年干部培训班等主体班次中，围绕碳达峰碳中和、生态环境保护法律法规政策与生态文明建设知识等开展专题授课。大力开展绿色家庭、绿色学校创建活动，南京市马府街小学获评省级绿色学校，月牙湖自然学校成为</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国家自然学校能力建设项目</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第四批自然学校试点单位。</w:t>
      </w:r>
    </w:p>
    <w:p w14:paraId="055E2A29">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仿宋" w:cs="Times New Roman"/>
          <w:color w:val="000000"/>
          <w:sz w:val="32"/>
          <w:szCs w:val="32"/>
          <w:lang w:eastAsia="zh-CN"/>
        </w:rPr>
      </w:pPr>
      <w:r>
        <w:rPr>
          <w:rFonts w:hint="default" w:ascii="Times New Roman" w:hAnsi="Times New Roman" w:eastAsia="方正仿宋_GBK" w:cs="Times New Roman"/>
          <w:b/>
          <w:bCs/>
          <w:snapToGrid w:val="0"/>
          <w:color w:val="000000"/>
          <w:kern w:val="0"/>
          <w:sz w:val="32"/>
          <w:szCs w:val="32"/>
          <w:lang w:val="en-US" w:eastAsia="zh-CN" w:bidi="ar-SA"/>
        </w:rPr>
        <w:t>全面深化改革创新，生态制度体系逐步健全</w:t>
      </w:r>
      <w:r>
        <w:rPr>
          <w:rFonts w:hint="default" w:ascii="Times New Roman" w:hAnsi="Times New Roman" w:eastAsia="方正仿宋_GBK" w:cs="Times New Roman"/>
          <w:snapToGrid w:val="0"/>
          <w:color w:val="000000"/>
          <w:kern w:val="0"/>
          <w:sz w:val="32"/>
          <w:szCs w:val="32"/>
          <w:lang w:val="en-US" w:eastAsia="zh-CN" w:bidi="ar-SA"/>
        </w:rPr>
        <w:t>。坚持把制度建设作为全区生态文明建设的生命线，</w:t>
      </w:r>
      <w:bookmarkStart w:id="8" w:name="_Hlk166076405"/>
      <w:r>
        <w:rPr>
          <w:rFonts w:hint="default" w:ascii="Times New Roman" w:hAnsi="Times New Roman" w:eastAsia="方正仿宋_GBK" w:cs="Times New Roman"/>
          <w:snapToGrid w:val="0"/>
          <w:color w:val="000000"/>
          <w:kern w:val="0"/>
          <w:sz w:val="32"/>
          <w:szCs w:val="32"/>
          <w:lang w:val="en-US" w:eastAsia="zh-CN" w:bidi="ar-SA"/>
        </w:rPr>
        <w:t>成立秦淮区生态文明建设示范区领导小组</w:t>
      </w:r>
      <w:bookmarkEnd w:id="8"/>
      <w:r>
        <w:rPr>
          <w:rFonts w:hint="default" w:ascii="Times New Roman" w:hAnsi="Times New Roman" w:eastAsia="方正仿宋_GBK" w:cs="Times New Roman"/>
          <w:snapToGrid w:val="0"/>
          <w:color w:val="000000"/>
          <w:kern w:val="0"/>
          <w:sz w:val="32"/>
          <w:szCs w:val="32"/>
          <w:lang w:val="en-US" w:eastAsia="zh-CN" w:bidi="ar-SA"/>
        </w:rPr>
        <w:t>，统筹推进生态文明建设各项工作。深入实施河湖长制，创新河长制</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1+N</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综合治管模式，推动河长制由单一巡河调度向流域综合治管延伸。推进生态环境信息公开，切实做到应公开尽公开，2021—2023年发布政务公开信息1903条，引导公众参与生态环境保护，不断提高政府公信力。通过12369、12345热线、微博等平台，在政府机构与市民群众间设立多种互动渠道，采取多种形式解决群众投诉问题，投诉办结率和回复率均为100%，综合满意率不断提升，信访投诉总量同比明显下降。</w:t>
      </w:r>
    </w:p>
    <w:p w14:paraId="39769112">
      <w:pPr>
        <w:pStyle w:val="12"/>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sz w:val="32"/>
          <w:szCs w:val="32"/>
          <w:highlight w:val="none"/>
          <w:lang w:eastAsia="zh-CN"/>
        </w:rPr>
      </w:pPr>
      <w:r>
        <w:rPr>
          <w:rFonts w:hint="default" w:ascii="Times New Roman" w:hAnsi="Times New Roman" w:eastAsia="方正黑体_GBK" w:cs="Times New Roman"/>
          <w:sz w:val="32"/>
          <w:szCs w:val="32"/>
          <w:highlight w:val="none"/>
          <w:lang w:eastAsia="zh-CN"/>
        </w:rPr>
        <w:t>存在问题</w:t>
      </w:r>
    </w:p>
    <w:p w14:paraId="3578D92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经济复苏发展的两面性导致环境压力加大</w:t>
      </w:r>
      <w:r>
        <w:rPr>
          <w:rFonts w:hint="default" w:ascii="Times New Roman" w:hAnsi="Times New Roman" w:eastAsia="方正仿宋_GBK" w:cs="Times New Roman"/>
          <w:snapToGrid w:val="0"/>
          <w:color w:val="000000"/>
          <w:kern w:val="0"/>
          <w:sz w:val="32"/>
          <w:szCs w:val="32"/>
          <w:lang w:val="en-US" w:eastAsia="zh-CN" w:bidi="ar-SA"/>
        </w:rPr>
        <w:t>。当前，国际形势复杂多变，经济周期处于低谷，社会经济发展压力不断加大，统筹发展和生态环境保护的难度持续增加。随着国家政策逐步调整和高质量发展的现实需要，宏观经济形势有望逐渐向好，秦淮区以服务业为主体的产业结构呈现明显繁荣态势，但同时旅游业、餐饮业的复苏又给区域生态环境保护带来一定的反弹压力。居民消费规模扩张和居民生活提档升级带来的能耗增加和生活污染问题也不容忽视。</w:t>
      </w:r>
    </w:p>
    <w:p w14:paraId="44DDA39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科技创新资源优势尚未充分转化</w:t>
      </w:r>
      <w:r>
        <w:rPr>
          <w:rFonts w:hint="default" w:ascii="Times New Roman" w:hAnsi="Times New Roman" w:eastAsia="方正仿宋_GBK" w:cs="Times New Roman"/>
          <w:snapToGrid w:val="0"/>
          <w:color w:val="000000"/>
          <w:kern w:val="0"/>
          <w:sz w:val="32"/>
          <w:szCs w:val="32"/>
          <w:lang w:val="en-US" w:eastAsia="zh-CN" w:bidi="ar-SA"/>
        </w:rPr>
        <w:t>。秦淮区在南京市中心城区的首位度特别是科技创新的首位度还不够突出，科技创新支撑高质量发展的动能还不够强劲，科教资源</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潜优势</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尚未充分转化为创新</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显实力</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。主导产业规模和质量有待进一步提升，产业结构还需进一步优化，高质量、高成长、高技术性企业的支撑带动作用还有较大提升空间。</w:t>
      </w:r>
    </w:p>
    <w:p w14:paraId="6EC3C32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中心城区发展空间不足</w:t>
      </w:r>
      <w:r>
        <w:rPr>
          <w:rFonts w:hint="default" w:ascii="Times New Roman" w:hAnsi="Times New Roman" w:eastAsia="方正仿宋_GBK" w:cs="Times New Roman"/>
          <w:snapToGrid w:val="0"/>
          <w:color w:val="000000"/>
          <w:kern w:val="0"/>
          <w:sz w:val="32"/>
          <w:szCs w:val="32"/>
          <w:lang w:val="en-US" w:eastAsia="zh-CN" w:bidi="ar-SA"/>
        </w:rPr>
        <w:t>。秦淮区是南京主城核心区，人口密度大，建筑物密集，城市空间拓展、开发建设空间极其有限，产业载体空间严重不足。在现有有限的土地资源状况下，难以进行生态格局的全面谋划，只能进行局部调整优化，生态环境保护的效能未能完全发挥。</w:t>
      </w:r>
    </w:p>
    <w:p w14:paraId="5F4B945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区域环境基础设施建设整体水平不高</w:t>
      </w:r>
      <w:r>
        <w:rPr>
          <w:rFonts w:hint="default" w:ascii="Times New Roman" w:hAnsi="Times New Roman" w:eastAsia="方正仿宋_GBK" w:cs="Times New Roman"/>
          <w:snapToGrid w:val="0"/>
          <w:color w:val="000000"/>
          <w:kern w:val="0"/>
          <w:sz w:val="32"/>
          <w:szCs w:val="32"/>
          <w:lang w:val="en-US" w:eastAsia="zh-CN" w:bidi="ar-SA"/>
        </w:rPr>
        <w:t>。全区污水处理、固危废处置主要依托外埠，区内环境基础设施建设的主动性不强，整体能力不足。现有有限的环境基础设施和公共设施资源分布也极不均衡，主要分布在西部老城区，设施整体老化现象也较为突出。</w:t>
      </w:r>
    </w:p>
    <w:p w14:paraId="3B082D2A">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sz w:val="32"/>
          <w:szCs w:val="32"/>
          <w:highlight w:val="none"/>
          <w:lang w:eastAsia="zh-CN"/>
        </w:rPr>
        <w:t>三</w:t>
      </w:r>
      <w:r>
        <w:rPr>
          <w:rFonts w:hint="default" w:ascii="Times New Roman" w:hAnsi="Times New Roman" w:eastAsia="方正黑体_GBK" w:cs="Times New Roman"/>
          <w:sz w:val="32"/>
          <w:szCs w:val="32"/>
          <w:highlight w:val="none"/>
        </w:rPr>
        <w:t>、</w:t>
      </w:r>
      <w:r>
        <w:rPr>
          <w:rFonts w:hint="default" w:ascii="Times New Roman" w:hAnsi="Times New Roman" w:eastAsia="方正黑体_GBK" w:cs="Times New Roman"/>
          <w:sz w:val="32"/>
          <w:szCs w:val="32"/>
          <w:highlight w:val="none"/>
          <w:lang w:eastAsia="zh-CN"/>
        </w:rPr>
        <w:t>机遇与挑战</w:t>
      </w:r>
    </w:p>
    <w:p w14:paraId="248878B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（一）机遇</w:t>
      </w:r>
    </w:p>
    <w:p w14:paraId="6160AC6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生态文明建设战略奠定良好基础</w:t>
      </w:r>
      <w:r>
        <w:rPr>
          <w:rFonts w:hint="default" w:ascii="Times New Roman" w:hAnsi="Times New Roman" w:eastAsia="方正仿宋_GBK" w:cs="Times New Roman"/>
          <w:snapToGrid w:val="0"/>
          <w:color w:val="000000"/>
          <w:kern w:val="0"/>
          <w:sz w:val="32"/>
          <w:szCs w:val="32"/>
          <w:lang w:val="en-US" w:eastAsia="zh-CN" w:bidi="ar-SA"/>
        </w:rPr>
        <w:t>。党的二十大对生态文明建设和生态环境保护提出了新要求、新目标，习近平生态文明思想为秦淮区推进生态文明建设指明了方向。开展生态文明创建是秦淮区落实生态文明理念、推动绿色发展的重要抓手，也是统筹抓好经济高质量发展、生态高水平保护和环境高标准治理的重要保障。</w:t>
      </w:r>
    </w:p>
    <w:p w14:paraId="1919EC4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长三角一体化发展战略带来新机遇</w:t>
      </w:r>
      <w:r>
        <w:rPr>
          <w:rFonts w:hint="default" w:ascii="Times New Roman" w:hAnsi="Times New Roman" w:eastAsia="方正仿宋_GBK" w:cs="Times New Roman"/>
          <w:snapToGrid w:val="0"/>
          <w:color w:val="000000"/>
          <w:kern w:val="0"/>
          <w:sz w:val="32"/>
          <w:szCs w:val="32"/>
          <w:lang w:val="en-US" w:eastAsia="zh-CN" w:bidi="ar-SA"/>
        </w:rPr>
        <w:t>。2020年5月，南京市发布了《〈长江三角洲区域一体化发展规划纲要〉南京实施方案》，在长三角特别是南京都市圈城市中，深化产业协作</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一条链</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，完善交通设施“一张网”，突出共治共保</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一江水</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，加快公共服务</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一卡通</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，共同建设</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创新都市圈</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畅达都市圈</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绿色都市圈</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开放都市圈</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幸福都市圈</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。秦淮区作为江苏省会中心城区，将进一步把握长三角一体化发展的历史机遇，提升自身生态环境优势，高质量打造</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强富美高</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新秦淮。</w:t>
      </w:r>
    </w:p>
    <w:p w14:paraId="03C808B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长江经济带生态环境保护工作日益重要</w:t>
      </w:r>
      <w:r>
        <w:rPr>
          <w:rFonts w:hint="default" w:ascii="Times New Roman" w:hAnsi="Times New Roman" w:eastAsia="方正仿宋_GBK" w:cs="Times New Roman"/>
          <w:b w:val="0"/>
          <w:bCs w:val="0"/>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习近平总书记多次对长江经济带生态环境保护工作作出重要指示，强调要共抓大保护，不搞大开发。《长江经济带发展规划纲要》明确了长江经济带生态优先、绿色发展的总体战略。南京是</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一带一路</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节点城市和长江经济带门户城市，长江经济带重大国家战略的深入实施，为南京及秦淮提供了全新的发展机遇。</w:t>
      </w:r>
    </w:p>
    <w:p w14:paraId="46AB8CB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黑体_GBK" w:cs="Times New Roman"/>
          <w:sz w:val="32"/>
          <w:szCs w:val="32"/>
          <w:highlight w:val="none"/>
          <w:lang w:eastAsia="zh-CN"/>
        </w:rPr>
      </w:pPr>
      <w:r>
        <w:rPr>
          <w:rFonts w:hint="default" w:ascii="Times New Roman" w:hAnsi="Times New Roman" w:eastAsia="方正仿宋_GBK" w:cs="Times New Roman"/>
          <w:b/>
          <w:bCs/>
          <w:snapToGrid w:val="0"/>
          <w:color w:val="000000"/>
          <w:kern w:val="0"/>
          <w:sz w:val="32"/>
          <w:szCs w:val="32"/>
          <w:lang w:val="en-US" w:eastAsia="zh-CN" w:bidi="ar-SA"/>
        </w:rPr>
        <w:t>南部新城进入全面发展黄金期</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highlight w:val="none"/>
          <w:lang w:val="en-US" w:eastAsia="zh-CN" w:bidi="ar-SA"/>
        </w:rPr>
        <w:t>聚焦</w:t>
      </w:r>
      <w:r>
        <w:rPr>
          <w:rFonts w:hint="default" w:ascii="Times New Roman" w:hAnsi="Times New Roman" w:eastAsia="方正仿宋_GBK" w:cs="Times New Roman"/>
          <w:snapToGrid w:val="0"/>
          <w:color w:val="000000"/>
          <w:kern w:val="0"/>
          <w:sz w:val="32"/>
          <w:szCs w:val="32"/>
          <w:highlight w:val="none"/>
          <w:lang w:val="en-US" w:eastAsia="zh-CN" w:bidi="ar-SA"/>
        </w:rPr>
        <w:t>“</w:t>
      </w:r>
      <w:r>
        <w:rPr>
          <w:rFonts w:hint="default" w:ascii="Times New Roman" w:hAnsi="Times New Roman" w:eastAsia="方正仿宋_GBK" w:cs="Times New Roman"/>
          <w:snapToGrid w:val="0"/>
          <w:color w:val="000000"/>
          <w:kern w:val="0"/>
          <w:sz w:val="32"/>
          <w:szCs w:val="32"/>
          <w:highlight w:val="none"/>
          <w:lang w:val="en-US" w:eastAsia="zh-CN" w:bidi="ar-SA"/>
        </w:rPr>
        <w:t>长三角中央活力区、都市圈总部集聚区、现代化主城新中心</w:t>
      </w:r>
      <w:r>
        <w:rPr>
          <w:rFonts w:hint="default" w:ascii="Times New Roman" w:hAnsi="Times New Roman" w:eastAsia="方正仿宋_GBK" w:cs="Times New Roman"/>
          <w:snapToGrid w:val="0"/>
          <w:color w:val="000000"/>
          <w:kern w:val="0"/>
          <w:sz w:val="32"/>
          <w:szCs w:val="32"/>
          <w:highlight w:val="none"/>
          <w:lang w:val="en-US" w:eastAsia="zh-CN" w:bidi="ar-SA"/>
        </w:rPr>
        <w:t>”</w:t>
      </w:r>
      <w:r>
        <w:rPr>
          <w:rFonts w:hint="default" w:ascii="Times New Roman" w:hAnsi="Times New Roman" w:eastAsia="方正仿宋_GBK" w:cs="Times New Roman"/>
          <w:snapToGrid w:val="0"/>
          <w:color w:val="000000"/>
          <w:kern w:val="0"/>
          <w:sz w:val="32"/>
          <w:szCs w:val="32"/>
          <w:highlight w:val="none"/>
          <w:lang w:val="en-US" w:eastAsia="zh-CN" w:bidi="ar-SA"/>
        </w:rPr>
        <w:t>发展定位，将南部新城打造成为与新街口、河西新城</w:t>
      </w:r>
      <w:r>
        <w:rPr>
          <w:rFonts w:hint="default" w:ascii="Times New Roman" w:hAnsi="Times New Roman" w:eastAsia="方正仿宋_GBK" w:cs="Times New Roman"/>
          <w:snapToGrid w:val="0"/>
          <w:color w:val="000000"/>
          <w:kern w:val="0"/>
          <w:sz w:val="32"/>
          <w:szCs w:val="32"/>
          <w:highlight w:val="none"/>
          <w:lang w:val="en-US" w:eastAsia="zh-CN" w:bidi="ar-SA"/>
        </w:rPr>
        <w:t>“</w:t>
      </w:r>
      <w:r>
        <w:rPr>
          <w:rFonts w:hint="default" w:ascii="Times New Roman" w:hAnsi="Times New Roman" w:eastAsia="方正仿宋_GBK" w:cs="Times New Roman"/>
          <w:snapToGrid w:val="0"/>
          <w:color w:val="000000"/>
          <w:kern w:val="0"/>
          <w:sz w:val="32"/>
          <w:szCs w:val="32"/>
          <w:highlight w:val="none"/>
          <w:lang w:val="en-US" w:eastAsia="zh-CN" w:bidi="ar-SA"/>
        </w:rPr>
        <w:t>三足鼎立</w:t>
      </w:r>
      <w:r>
        <w:rPr>
          <w:rFonts w:hint="default" w:ascii="Times New Roman" w:hAnsi="Times New Roman" w:eastAsia="方正仿宋_GBK" w:cs="Times New Roman"/>
          <w:snapToGrid w:val="0"/>
          <w:color w:val="000000"/>
          <w:kern w:val="0"/>
          <w:sz w:val="32"/>
          <w:szCs w:val="32"/>
          <w:highlight w:val="none"/>
          <w:lang w:val="en-US" w:eastAsia="zh-CN" w:bidi="ar-SA"/>
        </w:rPr>
        <w:t>”</w:t>
      </w:r>
      <w:r>
        <w:rPr>
          <w:rFonts w:hint="default" w:ascii="Times New Roman" w:hAnsi="Times New Roman" w:eastAsia="方正仿宋_GBK" w:cs="Times New Roman"/>
          <w:snapToGrid w:val="0"/>
          <w:color w:val="000000"/>
          <w:kern w:val="0"/>
          <w:sz w:val="32"/>
          <w:szCs w:val="32"/>
          <w:highlight w:val="none"/>
          <w:lang w:val="en-US" w:eastAsia="zh-CN" w:bidi="ar-SA"/>
        </w:rPr>
        <w:t>的南京主城新中心。推进南京中芬合作交流中心等一批重点项目，打造低碳生态技术集成运用和集中展示标杆。利</w:t>
      </w:r>
      <w:r>
        <w:rPr>
          <w:rFonts w:hint="default" w:ascii="Times New Roman" w:hAnsi="Times New Roman" w:eastAsia="方正仿宋_GBK" w:cs="Times New Roman"/>
          <w:snapToGrid w:val="0"/>
          <w:color w:val="000000"/>
          <w:kern w:val="0"/>
          <w:sz w:val="32"/>
          <w:szCs w:val="32"/>
          <w:lang w:val="en-US" w:eastAsia="zh-CN" w:bidi="ar-SA"/>
        </w:rPr>
        <w:t>用南部新城建设发展辐射效应，带动全区产业绿色发展和提档升级，为落实碳达峰、碳中和工作提供秦淮案例。</w:t>
      </w:r>
    </w:p>
    <w:p w14:paraId="31FBC35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（二）挑战</w:t>
      </w:r>
    </w:p>
    <w:p w14:paraId="3143E32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国内外宏观形势复杂多变</w:t>
      </w:r>
      <w:r>
        <w:rPr>
          <w:rFonts w:hint="default" w:ascii="Times New Roman" w:hAnsi="Times New Roman" w:eastAsia="方正仿宋_GBK" w:cs="Times New Roman"/>
          <w:snapToGrid w:val="0"/>
          <w:color w:val="000000"/>
          <w:kern w:val="0"/>
          <w:sz w:val="32"/>
          <w:szCs w:val="32"/>
          <w:lang w:val="en-US" w:eastAsia="zh-CN" w:bidi="ar-SA"/>
        </w:rPr>
        <w:t>。当前国际环境日趋复杂，经济全球化遭遇逆流，一些国家保护主义和单边主义盛行，地缘政治风险上升，全球经济复苏态势缓慢，影响经济高质量发展的不确定因素较多。受内外需疲软等多重因素叠加影响，企业整体效益出现较大幅度下降，经济增长放缓、下行压力加大。在招商引资、进出口贸易、对接国际市场等方面将持续受到影响，区域产业结构调整及生态修复等需要财政支出的各类环境治理面临更大挑战。</w:t>
      </w:r>
    </w:p>
    <w:p w14:paraId="06DA629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人民群众对良好生态环境的诉求不断提升</w:t>
      </w:r>
      <w:r>
        <w:rPr>
          <w:rFonts w:hint="default" w:ascii="Times New Roman" w:hAnsi="Times New Roman" w:eastAsia="方正仿宋_GBK" w:cs="Times New Roman"/>
          <w:snapToGrid w:val="0"/>
          <w:color w:val="000000"/>
          <w:kern w:val="0"/>
          <w:sz w:val="32"/>
          <w:szCs w:val="32"/>
          <w:lang w:val="en-US" w:eastAsia="zh-CN" w:bidi="ar-SA"/>
        </w:rPr>
        <w:t>。随着公众生态环境意识的全面提升，人民群众对高质量的生态环境和优美舒适的人居环境需求越来越强烈，集中体现在居民对良好生态环境的诉求显著增加以及出现邻避效应等新型矛盾。同时，生态环境质量日益改善，未来将面临生态环境质量持续向好的空间逐步减小。在此双重压力下，对大力推进生态文明建设，加快改善生态环境质量，切实提高生态产品供给能力提出了更高要求。</w:t>
      </w:r>
    </w:p>
    <w:p w14:paraId="4EC3E14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生态环境治理体系和治理能力建设亟待提速</w:t>
      </w:r>
      <w:r>
        <w:rPr>
          <w:rFonts w:hint="default" w:ascii="Times New Roman" w:hAnsi="Times New Roman" w:eastAsia="方正仿宋_GBK" w:cs="Times New Roman"/>
          <w:snapToGrid w:val="0"/>
          <w:color w:val="000000"/>
          <w:kern w:val="0"/>
          <w:sz w:val="32"/>
          <w:szCs w:val="32"/>
          <w:lang w:val="en-US" w:eastAsia="zh-CN" w:bidi="ar-SA"/>
        </w:rPr>
        <w:t>。目前，与新时期生态环境保护和污染防治攻坚工作要求相适应的政策和制度尚不健全，缺乏高效的部门联动工作机制，生态环境保护工作尚未完全融入到其他部门的日常监管中，临时工作机构统筹推动效率较低。生态环境治理目前更多依靠行政手段，市场化机制还需进一步完善，科学治污、精准治污、高效治污的水平和能力仍需进一步提升。</w:t>
      </w:r>
    </w:p>
    <w:p w14:paraId="08CB0F9C">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36B6864F">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70380FA5">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61DB0B6C">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08D7AC61">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1EBE566B">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306D769F">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46CEE7E5">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2FAE0F32">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3B5EF624">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424AA2F2">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04E9B371">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39814C24">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424DBB28">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6E683FD5">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6540DEF0">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36102BF7">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2BE25A02">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3B8D06AE">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6BDEEB20">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384A9197">
      <w:pPr>
        <w:pStyle w:val="12"/>
        <w:spacing w:before="327" w:beforeLines="100" w:after="327" w:afterLines="100" w:line="578" w:lineRule="exact"/>
        <w:ind w:left="0" w:leftChars="0" w:firstLine="0" w:firstLineChars="0"/>
        <w:jc w:val="center"/>
        <w:rPr>
          <w:rFonts w:hint="default" w:ascii="Times New Roman" w:hAnsi="Times New Roman" w:eastAsia="方正黑体_GBK" w:cs="Times New Roman"/>
          <w:sz w:val="36"/>
          <w:szCs w:val="36"/>
          <w:highlight w:val="none"/>
          <w:lang w:val="en-US" w:eastAsia="zh-CN"/>
        </w:rPr>
      </w:pPr>
      <w:r>
        <w:rPr>
          <w:rFonts w:hint="default" w:ascii="Times New Roman" w:hAnsi="Times New Roman" w:eastAsia="方正黑体_GBK" w:cs="Times New Roman"/>
          <w:sz w:val="36"/>
          <w:szCs w:val="36"/>
          <w:highlight w:val="none"/>
        </w:rPr>
        <w:t>第</w:t>
      </w:r>
      <w:r>
        <w:rPr>
          <w:rFonts w:hint="default" w:ascii="Times New Roman" w:hAnsi="Times New Roman" w:eastAsia="方正黑体_GBK" w:cs="Times New Roman"/>
          <w:sz w:val="36"/>
          <w:szCs w:val="36"/>
          <w:highlight w:val="none"/>
          <w:lang w:val="en-US" w:eastAsia="zh-CN"/>
        </w:rPr>
        <w:t>二</w:t>
      </w:r>
      <w:r>
        <w:rPr>
          <w:rFonts w:hint="default" w:ascii="Times New Roman" w:hAnsi="Times New Roman" w:eastAsia="方正黑体_GBK" w:cs="Times New Roman"/>
          <w:sz w:val="36"/>
          <w:szCs w:val="36"/>
          <w:highlight w:val="none"/>
          <w:lang w:eastAsia="zh-CN"/>
        </w:rPr>
        <w:t>章</w:t>
      </w:r>
      <w:r>
        <w:rPr>
          <w:rFonts w:hint="default" w:ascii="Times New Roman" w:hAnsi="Times New Roman" w:eastAsia="方正黑体_GBK" w:cs="Times New Roman"/>
          <w:sz w:val="36"/>
          <w:szCs w:val="36"/>
          <w:highlight w:val="none"/>
        </w:rPr>
        <w:t xml:space="preserve">  </w:t>
      </w:r>
      <w:r>
        <w:rPr>
          <w:rFonts w:hint="default" w:ascii="Times New Roman" w:hAnsi="Times New Roman" w:eastAsia="方正黑体_GBK" w:cs="Times New Roman"/>
          <w:sz w:val="36"/>
          <w:szCs w:val="36"/>
          <w:highlight w:val="none"/>
          <w:lang w:val="en-US" w:eastAsia="zh-CN"/>
        </w:rPr>
        <w:t>规划总则</w:t>
      </w:r>
    </w:p>
    <w:p w14:paraId="1552C55B">
      <w:pPr>
        <w:pStyle w:val="12"/>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sz w:val="32"/>
          <w:szCs w:val="32"/>
          <w:highlight w:val="none"/>
        </w:rPr>
        <w:t>一、</w:t>
      </w:r>
      <w:r>
        <w:rPr>
          <w:rFonts w:hint="default" w:ascii="Times New Roman" w:hAnsi="Times New Roman" w:eastAsia="方正黑体_GBK" w:cs="Times New Roman"/>
          <w:sz w:val="32"/>
          <w:szCs w:val="32"/>
          <w:highlight w:val="none"/>
          <w:lang w:val="en-US" w:eastAsia="zh-CN"/>
        </w:rPr>
        <w:t>指导思想</w:t>
      </w:r>
    </w:p>
    <w:p w14:paraId="1E40D2ED">
      <w:pPr>
        <w:pStyle w:val="12"/>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坚持以习近平新时代中国特色社会主义思想为指导，全面贯彻党的二十大精神，深入落实习近平总书记对江苏工作重要讲话重要指示精神，</w:t>
      </w:r>
      <w:r>
        <w:rPr>
          <w:rFonts w:hint="default" w:ascii="Times New Roman" w:hAnsi="Times New Roman" w:eastAsia="方正仿宋_GBK" w:cs="Times New Roman"/>
          <w:sz w:val="32"/>
          <w:szCs w:val="32"/>
        </w:rPr>
        <w:t>完整、准确、全面贯彻新发展理念，</w:t>
      </w:r>
      <w:r>
        <w:rPr>
          <w:rFonts w:hint="default" w:ascii="Times New Roman" w:hAnsi="Times New Roman" w:eastAsia="方正仿宋_GBK" w:cs="Times New Roman"/>
          <w:snapToGrid w:val="0"/>
          <w:color w:val="000000"/>
          <w:kern w:val="0"/>
          <w:sz w:val="32"/>
          <w:szCs w:val="32"/>
          <w:lang w:val="en-US" w:eastAsia="zh-CN" w:bidi="ar-SA"/>
        </w:rPr>
        <w:t>主动融入新发展格局，践行</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争当表率、争做示范、走在前列</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重大使命，牢牢把握高质量发展这个首要任务，因地制宜发展新质生产力。贯彻落实习近平生态文明思想，牢固树立</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绿水青山就是金山银山</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理念，坚持人与自然和谐共生，以减污降碳协同增效为主线，深入打好污染防治攻坚战，以推进科技创新和绿色发展为支撑，协同推进经济高质量发展和生态环境高水平保护，持续提升生态环境治理体系和治理能力现代化水平，不断满足人民日益增长的优美生态环境需要，全面推进美丽秦淮建设，奋力推进中国式现代化秦淮新实践。</w:t>
      </w:r>
    </w:p>
    <w:p w14:paraId="0382B33B">
      <w:pPr>
        <w:pStyle w:val="12"/>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sz w:val="32"/>
          <w:szCs w:val="32"/>
          <w:highlight w:val="none"/>
          <w:lang w:val="en-US" w:eastAsia="zh-CN"/>
        </w:rPr>
        <w:t>二</w:t>
      </w:r>
      <w:r>
        <w:rPr>
          <w:rFonts w:hint="default" w:ascii="Times New Roman" w:hAnsi="Times New Roman" w:eastAsia="方正黑体_GBK" w:cs="Times New Roman"/>
          <w:sz w:val="32"/>
          <w:szCs w:val="32"/>
          <w:highlight w:val="none"/>
        </w:rPr>
        <w:t>、</w:t>
      </w:r>
      <w:r>
        <w:rPr>
          <w:rFonts w:hint="default" w:ascii="Times New Roman" w:hAnsi="Times New Roman" w:eastAsia="方正黑体_GBK" w:cs="Times New Roman"/>
          <w:sz w:val="32"/>
          <w:szCs w:val="32"/>
          <w:highlight w:val="none"/>
          <w:lang w:val="en-US" w:eastAsia="zh-CN"/>
        </w:rPr>
        <w:t>规划原则</w:t>
      </w:r>
    </w:p>
    <w:p w14:paraId="6165A86A">
      <w:pPr>
        <w:keepNext w:val="0"/>
        <w:keepLines w:val="0"/>
        <w:pageBreakBefore w:val="0"/>
        <w:widowControl/>
        <w:kinsoku/>
        <w:wordWrap/>
        <w:overflowPunct/>
        <w:topLinePunct w:val="0"/>
        <w:autoSpaceDE/>
        <w:autoSpaceDN/>
        <w:bidi w:val="0"/>
        <w:adjustRightInd w:val="0"/>
        <w:snapToGrid w:val="0"/>
        <w:spacing w:line="54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坚持生态优先，绿色发展</w:t>
      </w:r>
      <w:r>
        <w:rPr>
          <w:rFonts w:hint="default" w:ascii="Times New Roman" w:hAnsi="Times New Roman" w:eastAsia="方正仿宋_GBK" w:cs="Times New Roman"/>
          <w:snapToGrid w:val="0"/>
          <w:color w:val="000000"/>
          <w:kern w:val="0"/>
          <w:sz w:val="32"/>
          <w:szCs w:val="32"/>
          <w:lang w:val="en-US" w:eastAsia="zh-CN" w:bidi="ar-SA"/>
        </w:rPr>
        <w:t>。坚持人与自然和谐共生，树立和践行</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绿水青山就是金山银山</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理念，围绕长三角区域一体化发展、南京都市圈等重大战略决策部署，将生态环境保护融入经济社会发展全过程，以生态环境高水平保护促进经济高质量发展，统筹推进经济生态化与生态经济化，持续提升经济社会发展</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含绿量</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w:t>
      </w:r>
    </w:p>
    <w:p w14:paraId="02A1CD06">
      <w:pPr>
        <w:keepNext w:val="0"/>
        <w:keepLines w:val="0"/>
        <w:pageBreakBefore w:val="0"/>
        <w:widowControl/>
        <w:kinsoku/>
        <w:wordWrap/>
        <w:overflowPunct/>
        <w:topLinePunct w:val="0"/>
        <w:autoSpaceDE/>
        <w:autoSpaceDN/>
        <w:bidi w:val="0"/>
        <w:adjustRightInd w:val="0"/>
        <w:snapToGrid w:val="0"/>
        <w:spacing w:line="54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坚持重点突破，彰显特色</w:t>
      </w:r>
      <w:r>
        <w:rPr>
          <w:rFonts w:hint="default" w:ascii="Times New Roman" w:hAnsi="Times New Roman" w:eastAsia="方正仿宋_GBK" w:cs="Times New Roman"/>
          <w:snapToGrid w:val="0"/>
          <w:color w:val="000000"/>
          <w:kern w:val="0"/>
          <w:sz w:val="32"/>
          <w:szCs w:val="32"/>
          <w:lang w:val="en-US" w:eastAsia="zh-CN" w:bidi="ar-SA"/>
        </w:rPr>
        <w:t>。坚持实行最严格生态环境保护制度，加强目标责任、生态安全、生态经济、生态文化、生态文明制度等方面示范创新，加快推进重点领域、关键环节体制机制改革，完善生态文明领域统筹协调机制，建立健全具有秦淮特色的生态文明制度体系。依托秦淮区优越的资源禀赋和深厚的历史人文底蕴，发挥规划引领作用，保护传承历史文化，充分彰显秦淮自然资源、人居风貌和特色文化。</w:t>
      </w:r>
    </w:p>
    <w:p w14:paraId="2C929CD9">
      <w:pPr>
        <w:keepNext w:val="0"/>
        <w:keepLines w:val="0"/>
        <w:pageBreakBefore w:val="0"/>
        <w:widowControl/>
        <w:kinsoku/>
        <w:wordWrap/>
        <w:overflowPunct/>
        <w:topLinePunct w:val="0"/>
        <w:autoSpaceDE/>
        <w:autoSpaceDN/>
        <w:bidi w:val="0"/>
        <w:adjustRightInd w:val="0"/>
        <w:snapToGrid w:val="0"/>
        <w:spacing w:line="54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坚持问题导向，系统治理</w:t>
      </w:r>
      <w:r>
        <w:rPr>
          <w:rFonts w:hint="default" w:ascii="Times New Roman" w:hAnsi="Times New Roman" w:eastAsia="方正仿宋_GBK" w:cs="Times New Roman"/>
          <w:snapToGrid w:val="0"/>
          <w:color w:val="000000"/>
          <w:kern w:val="0"/>
          <w:sz w:val="32"/>
          <w:szCs w:val="32"/>
          <w:lang w:val="en-US" w:eastAsia="zh-CN" w:bidi="ar-SA"/>
        </w:rPr>
        <w:t>。以改善生态环境质量为导向，针对各类区域、流域、领域特点，聚焦问题、分类施策、精准发力，统筹做好资源利用与生态保护，坚持水、气等区域联防联控，强化多污染物协同控制和区域协同治理，全面改善生态环境质量，着力构建生态城区，不断增强人民群众的获得感、幸福感、安全感。</w:t>
      </w:r>
    </w:p>
    <w:p w14:paraId="19F4C230">
      <w:pPr>
        <w:keepNext w:val="0"/>
        <w:keepLines w:val="0"/>
        <w:pageBreakBefore w:val="0"/>
        <w:widowControl/>
        <w:kinsoku/>
        <w:wordWrap/>
        <w:overflowPunct/>
        <w:topLinePunct w:val="0"/>
        <w:autoSpaceDE/>
        <w:autoSpaceDN/>
        <w:bidi w:val="0"/>
        <w:adjustRightInd w:val="0"/>
        <w:snapToGrid w:val="0"/>
        <w:spacing w:line="54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坚持全民行动，共建共享</w:t>
      </w:r>
      <w:r>
        <w:rPr>
          <w:rFonts w:hint="default" w:ascii="Times New Roman" w:hAnsi="Times New Roman" w:eastAsia="方正仿宋_GBK" w:cs="Times New Roman"/>
          <w:snapToGrid w:val="0"/>
          <w:color w:val="000000"/>
          <w:kern w:val="0"/>
          <w:sz w:val="32"/>
          <w:szCs w:val="32"/>
          <w:lang w:val="en-US" w:eastAsia="zh-CN" w:bidi="ar-SA"/>
        </w:rPr>
        <w:t>。坚持以人民为中心，引导社会公众有序参与环境决策、环境治理和环境监督，探索共建共治共享新路径、新机制、新载体，充分调动全社会参与生态环境保护的积极性、主动性，构建党委领导、政府主导、部门负责、企业治理、社会公众共同参与、共同发力的生态环境共治体系。</w:t>
      </w:r>
    </w:p>
    <w:p w14:paraId="3A30ABC2">
      <w:pPr>
        <w:pStyle w:val="12"/>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sz w:val="32"/>
          <w:szCs w:val="32"/>
          <w:highlight w:val="none"/>
          <w:lang w:val="en-US" w:eastAsia="zh-CN"/>
        </w:rPr>
        <w:t>三</w:t>
      </w:r>
      <w:r>
        <w:rPr>
          <w:rFonts w:hint="default" w:ascii="Times New Roman" w:hAnsi="Times New Roman" w:eastAsia="方正黑体_GBK" w:cs="Times New Roman"/>
          <w:sz w:val="32"/>
          <w:szCs w:val="32"/>
          <w:highlight w:val="none"/>
        </w:rPr>
        <w:t>、</w:t>
      </w:r>
      <w:r>
        <w:rPr>
          <w:rFonts w:hint="default" w:ascii="Times New Roman" w:hAnsi="Times New Roman" w:eastAsia="方正黑体_GBK" w:cs="Times New Roman"/>
          <w:sz w:val="32"/>
          <w:szCs w:val="32"/>
          <w:highlight w:val="none"/>
          <w:lang w:val="en-US" w:eastAsia="zh-CN"/>
        </w:rPr>
        <w:t>规划范围</w:t>
      </w:r>
    </w:p>
    <w:p w14:paraId="7E2C293B">
      <w:pPr>
        <w:pStyle w:val="12"/>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snapToGrid w:val="0"/>
          <w:color w:val="000000"/>
          <w:kern w:val="0"/>
          <w:sz w:val="32"/>
          <w:szCs w:val="32"/>
          <w:lang w:val="en-US" w:eastAsia="zh-CN" w:bidi="ar-SA"/>
        </w:rPr>
        <w:t>本次规划范围为秦淮区所辖全部行政区域，包括辖区内12个街道（五老村街道、洪武路街道、大光路街道、瑞金路街道、月牙湖街道、光华路街道、朝天宫街道、红花街道、夫子庙街道、双塘街道、中华门街道、秦虹街道）和白下高新技术产业园区，总面积49.11平方公里。</w:t>
      </w:r>
    </w:p>
    <w:p w14:paraId="35FF7EF7">
      <w:pPr>
        <w:pStyle w:val="12"/>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sz w:val="32"/>
          <w:szCs w:val="32"/>
          <w:highlight w:val="none"/>
          <w:lang w:val="en-US" w:eastAsia="zh-CN"/>
        </w:rPr>
        <w:t>四</w:t>
      </w:r>
      <w:r>
        <w:rPr>
          <w:rFonts w:hint="default" w:ascii="Times New Roman" w:hAnsi="Times New Roman" w:eastAsia="方正黑体_GBK" w:cs="Times New Roman"/>
          <w:sz w:val="32"/>
          <w:szCs w:val="32"/>
          <w:highlight w:val="none"/>
        </w:rPr>
        <w:t>、</w:t>
      </w:r>
      <w:r>
        <w:rPr>
          <w:rFonts w:hint="default" w:ascii="Times New Roman" w:hAnsi="Times New Roman" w:eastAsia="方正黑体_GBK" w:cs="Times New Roman"/>
          <w:sz w:val="32"/>
          <w:szCs w:val="32"/>
          <w:highlight w:val="none"/>
          <w:lang w:val="en-US" w:eastAsia="zh-CN"/>
        </w:rPr>
        <w:t>规划期限</w:t>
      </w:r>
    </w:p>
    <w:p w14:paraId="38F53386">
      <w:pPr>
        <w:keepNext w:val="0"/>
        <w:keepLines w:val="0"/>
        <w:pageBreakBefore w:val="0"/>
        <w:kinsoku/>
        <w:wordWrap/>
        <w:overflowPunct/>
        <w:topLinePunct w:val="0"/>
        <w:autoSpaceDE/>
        <w:autoSpaceDN/>
        <w:bidi w:val="0"/>
        <w:adjustRightInd w:val="0"/>
        <w:snapToGrid w:val="0"/>
        <w:spacing w:line="54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规划基准年：2023年。</w:t>
      </w:r>
    </w:p>
    <w:p w14:paraId="6EAC21A2">
      <w:pPr>
        <w:keepNext w:val="0"/>
        <w:keepLines w:val="0"/>
        <w:pageBreakBefore w:val="0"/>
        <w:kinsoku/>
        <w:wordWrap/>
        <w:overflowPunct/>
        <w:topLinePunct w:val="0"/>
        <w:autoSpaceDE/>
        <w:autoSpaceDN/>
        <w:bidi w:val="0"/>
        <w:adjustRightInd w:val="0"/>
        <w:snapToGrid w:val="0"/>
        <w:spacing w:line="54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规划期限：2024</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2030年。</w:t>
      </w:r>
    </w:p>
    <w:p w14:paraId="228040DA">
      <w:pPr>
        <w:keepNext w:val="0"/>
        <w:keepLines w:val="0"/>
        <w:pageBreakBefore w:val="0"/>
        <w:kinsoku/>
        <w:wordWrap/>
        <w:overflowPunct/>
        <w:topLinePunct w:val="0"/>
        <w:autoSpaceDE/>
        <w:autoSpaceDN/>
        <w:bidi w:val="0"/>
        <w:adjustRightInd w:val="0"/>
        <w:snapToGrid w:val="0"/>
        <w:spacing w:line="54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近期规划（2024</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2025年）：全面建设时期。</w:t>
      </w:r>
    </w:p>
    <w:p w14:paraId="77664B08">
      <w:pPr>
        <w:keepNext w:val="0"/>
        <w:keepLines w:val="0"/>
        <w:pageBreakBefore w:val="0"/>
        <w:kinsoku/>
        <w:wordWrap/>
        <w:overflowPunct/>
        <w:topLinePunct w:val="0"/>
        <w:autoSpaceDE/>
        <w:autoSpaceDN/>
        <w:bidi w:val="0"/>
        <w:adjustRightInd w:val="0"/>
        <w:snapToGrid w:val="0"/>
        <w:spacing w:line="540" w:lineRule="exact"/>
        <w:ind w:firstLine="560"/>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snapToGrid w:val="0"/>
          <w:color w:val="000000"/>
          <w:kern w:val="0"/>
          <w:sz w:val="32"/>
          <w:szCs w:val="32"/>
          <w:lang w:val="en-US" w:eastAsia="zh-CN" w:bidi="ar-SA"/>
        </w:rPr>
        <w:t>远期规划（2026</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2030年）：深化拓展时期。</w:t>
      </w:r>
    </w:p>
    <w:p w14:paraId="4D154294">
      <w:pPr>
        <w:pStyle w:val="12"/>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sz w:val="32"/>
          <w:szCs w:val="32"/>
          <w:highlight w:val="none"/>
          <w:lang w:val="en-US" w:eastAsia="zh-CN"/>
        </w:rPr>
        <w:t>五</w:t>
      </w:r>
      <w:r>
        <w:rPr>
          <w:rFonts w:hint="default" w:ascii="Times New Roman" w:hAnsi="Times New Roman" w:eastAsia="方正黑体_GBK" w:cs="Times New Roman"/>
          <w:sz w:val="32"/>
          <w:szCs w:val="32"/>
          <w:highlight w:val="none"/>
        </w:rPr>
        <w:t>、</w:t>
      </w:r>
      <w:r>
        <w:rPr>
          <w:rFonts w:hint="default" w:ascii="Times New Roman" w:hAnsi="Times New Roman" w:eastAsia="方正黑体_GBK" w:cs="Times New Roman"/>
          <w:sz w:val="32"/>
          <w:szCs w:val="32"/>
          <w:highlight w:val="none"/>
          <w:lang w:val="en-US" w:eastAsia="zh-CN"/>
        </w:rPr>
        <w:t>规划目标</w:t>
      </w:r>
    </w:p>
    <w:p w14:paraId="10881C5D">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（一）总体目标</w:t>
      </w:r>
    </w:p>
    <w:p w14:paraId="67CCAC39">
      <w:pPr>
        <w:pStyle w:val="12"/>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紧扣南京市</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一带一路</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交汇点重要枢纽城市和长江经济带门户城市发展定位，围绕</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强富美高</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新秦淮现代化建设总体要求，结合</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保护更新老城、开发建设新城</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总体格局，通过分阶段建设，建立生态系统良性循环和环境风险有效防控为重点的生态安全体系和系统完整的生态文明制度体系，产业生态化与生态产业化相辅相成，生态文化深入人心，区域生态文明目标责任体系更加健全，生态文明建设水平全面提升。打造</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特而精、最南京</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生态文明建设新高地，成功创建国家生态文明建设示范区。</w:t>
      </w:r>
    </w:p>
    <w:p w14:paraId="0B1D7D2F">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（二）阶段目标</w:t>
      </w:r>
    </w:p>
    <w:p w14:paraId="799F3861">
      <w:pPr>
        <w:keepNext w:val="0"/>
        <w:keepLines w:val="0"/>
        <w:pageBreakBefore w:val="0"/>
        <w:kinsoku/>
        <w:wordWrap/>
        <w:overflowPunct/>
        <w:topLinePunct w:val="0"/>
        <w:autoSpaceDE/>
        <w:autoSpaceDN/>
        <w:bidi w:val="0"/>
        <w:adjustRightInd w:val="0"/>
        <w:snapToGrid w:val="0"/>
        <w:spacing w:line="54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1、近期目标（2024年—2025年）</w:t>
      </w:r>
    </w:p>
    <w:p w14:paraId="701AFE18">
      <w:pPr>
        <w:keepNext w:val="0"/>
        <w:keepLines w:val="0"/>
        <w:pageBreakBefore w:val="0"/>
        <w:kinsoku/>
        <w:wordWrap/>
        <w:overflowPunct/>
        <w:topLinePunct w:val="0"/>
        <w:autoSpaceDE/>
        <w:autoSpaceDN/>
        <w:bidi w:val="0"/>
        <w:adjustRightInd w:val="0"/>
        <w:snapToGrid w:val="0"/>
        <w:spacing w:line="54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到2025年，全区生态文明建设取得显著成效，形成目标责任明确、生态安全有效保障、生态经济绿色发展、生态文化不断充实、生态制度较为健全的生态文明建设良好局面，创成江苏省生态文明建设示范区。</w:t>
      </w:r>
    </w:p>
    <w:p w14:paraId="030AFC47">
      <w:pPr>
        <w:keepNext w:val="0"/>
        <w:keepLines w:val="0"/>
        <w:pageBreakBefore w:val="0"/>
        <w:widowControl/>
        <w:kinsoku/>
        <w:wordWrap/>
        <w:overflowPunct/>
        <w:topLinePunct w:val="0"/>
        <w:autoSpaceDE/>
        <w:autoSpaceDN/>
        <w:bidi w:val="0"/>
        <w:adjustRightInd w:val="0"/>
        <w:snapToGrid w:val="0"/>
        <w:spacing w:line="54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生态文明目标责任明确</w:t>
      </w:r>
      <w:r>
        <w:rPr>
          <w:rFonts w:hint="default" w:ascii="Times New Roman" w:hAnsi="Times New Roman" w:eastAsia="方正仿宋_GBK" w:cs="Times New Roman"/>
          <w:snapToGrid w:val="0"/>
          <w:color w:val="000000"/>
          <w:kern w:val="0"/>
          <w:sz w:val="32"/>
          <w:szCs w:val="32"/>
          <w:lang w:val="en-US" w:eastAsia="zh-CN" w:bidi="ar-SA"/>
        </w:rPr>
        <w:t xml:space="preserve">。全面落实党委政府关于生态文明建设重大目标责任，建立以改善生态环境质量为核心的目标责任体系，健全生态文明建设目标考核制度，严格党政领导干部生态环境损害责任追究，开展领导干部自然资源资产离任审计。 </w:t>
      </w:r>
    </w:p>
    <w:p w14:paraId="02EB4D37">
      <w:pPr>
        <w:keepNext w:val="0"/>
        <w:keepLines w:val="0"/>
        <w:pageBreakBefore w:val="0"/>
        <w:widowControl/>
        <w:kinsoku/>
        <w:wordWrap/>
        <w:overflowPunct/>
        <w:topLinePunct w:val="0"/>
        <w:autoSpaceDE/>
        <w:autoSpaceDN/>
        <w:bidi w:val="0"/>
        <w:adjustRightInd w:val="0"/>
        <w:snapToGrid w:val="0"/>
        <w:spacing w:line="54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highlight w:val="none"/>
          <w:lang w:val="en-US" w:eastAsia="zh-CN" w:bidi="ar-SA"/>
        </w:rPr>
        <w:t>生态安全有效保障</w:t>
      </w:r>
      <w:r>
        <w:rPr>
          <w:rFonts w:hint="default" w:ascii="Times New Roman" w:hAnsi="Times New Roman" w:eastAsia="方正仿宋_GBK" w:cs="Times New Roman"/>
          <w:snapToGrid w:val="0"/>
          <w:color w:val="000000"/>
          <w:kern w:val="0"/>
          <w:sz w:val="32"/>
          <w:szCs w:val="32"/>
          <w:lang w:val="en-US" w:eastAsia="zh-CN" w:bidi="ar-SA"/>
        </w:rPr>
        <w:t>。空气环境质量稳定达标，PM</w:t>
      </w:r>
      <w:r>
        <w:rPr>
          <w:rFonts w:hint="default" w:ascii="Times New Roman" w:hAnsi="Times New Roman" w:eastAsia="方正仿宋_GBK" w:cs="Times New Roman"/>
          <w:snapToGrid w:val="0"/>
          <w:color w:val="000000"/>
          <w:kern w:val="0"/>
          <w:sz w:val="32"/>
          <w:szCs w:val="32"/>
          <w:vertAlign w:val="subscript"/>
          <w:lang w:val="en-US" w:eastAsia="zh-CN" w:bidi="ar-SA"/>
        </w:rPr>
        <w:t>2.5</w:t>
      </w:r>
      <w:r>
        <w:rPr>
          <w:rFonts w:hint="default" w:ascii="Times New Roman" w:hAnsi="Times New Roman" w:eastAsia="方正仿宋_GBK" w:cs="Times New Roman"/>
          <w:snapToGrid w:val="0"/>
          <w:color w:val="000000"/>
          <w:kern w:val="0"/>
          <w:sz w:val="32"/>
          <w:szCs w:val="32"/>
          <w:lang w:val="en-US" w:eastAsia="zh-CN" w:bidi="ar-SA"/>
        </w:rPr>
        <w:t>年均浓度达上级目标。水环境质量高水平达标，地表水国考断面达到或优于Ⅲ类水比例达100%；落实黑臭水体长效管控机制，严防黑臭水体返黑返臭；完善基础设施建设，不断提升污水处理率。土壤安全利用水平巩固提升，重点建设用地安全利用。固体废物和环境风险防范能力进一步提高，核与辐射安全监管能力持续增强，生态环境风险防控体系更加健全，危险废物填埋处置量占比持续下降。国土空间开发保护格局不断优化，生态空间得到刚性保护，生物多样性保护与监管能力、生态系统稳定性显著提升，有效防控外来物种入侵。</w:t>
      </w:r>
    </w:p>
    <w:p w14:paraId="558BB7B3">
      <w:pPr>
        <w:keepNext w:val="0"/>
        <w:keepLines w:val="0"/>
        <w:pageBreakBefore w:val="0"/>
        <w:widowControl/>
        <w:kinsoku/>
        <w:wordWrap/>
        <w:overflowPunct/>
        <w:topLinePunct w:val="0"/>
        <w:autoSpaceDE/>
        <w:autoSpaceDN/>
        <w:bidi w:val="0"/>
        <w:adjustRightInd w:val="0"/>
        <w:snapToGrid w:val="0"/>
        <w:spacing w:line="54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生态经济绿色发展</w:t>
      </w:r>
      <w:r>
        <w:rPr>
          <w:rFonts w:hint="default" w:ascii="Times New Roman" w:hAnsi="Times New Roman" w:eastAsia="方正仿宋_GBK" w:cs="Times New Roman"/>
          <w:snapToGrid w:val="0"/>
          <w:color w:val="000000"/>
          <w:kern w:val="0"/>
          <w:sz w:val="32"/>
          <w:szCs w:val="32"/>
          <w:lang w:val="en-US" w:eastAsia="zh-CN" w:bidi="ar-SA"/>
        </w:rPr>
        <w:t>。资源能源节约集约利用水平得到提升，能源消费结构持续优化，万元工业增加值用水量下降率完成上级规定目标，一般工业固废综合利用率保持稳定。产业结构绿色转型，清洁生产水平全面提高，绿色交通体系不断完善，绿色发展新动能更加强劲。</w:t>
      </w:r>
    </w:p>
    <w:p w14:paraId="4F9156F5">
      <w:pPr>
        <w:keepNext w:val="0"/>
        <w:keepLines w:val="0"/>
        <w:pageBreakBefore w:val="0"/>
        <w:widowControl/>
        <w:kinsoku/>
        <w:wordWrap/>
        <w:overflowPunct/>
        <w:topLinePunct w:val="0"/>
        <w:autoSpaceDE/>
        <w:autoSpaceDN/>
        <w:bidi w:val="0"/>
        <w:adjustRightInd w:val="0"/>
        <w:snapToGrid w:val="0"/>
        <w:spacing w:line="54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生态文化不断完善</w:t>
      </w:r>
      <w:r>
        <w:rPr>
          <w:rFonts w:hint="default" w:ascii="Times New Roman" w:hAnsi="Times New Roman" w:eastAsia="方正仿宋_GBK" w:cs="Times New Roman"/>
          <w:snapToGrid w:val="0"/>
          <w:color w:val="000000"/>
          <w:kern w:val="0"/>
          <w:sz w:val="32"/>
          <w:szCs w:val="32"/>
          <w:lang w:val="en-US" w:eastAsia="zh-CN" w:bidi="ar-SA"/>
        </w:rPr>
        <w:t>。生态文明理念融入社会生活全过程，绿色办公、绿色出行、绿色消费理念深入人心，生态文化不断丰富，坚持政府绿色采购，新建绿色建筑比例保持100%，加快新型基础设施建设和场景应用，打造幸福宜居的共享城区样板，提高公众对区域生态环境质量的满意度。</w:t>
      </w:r>
    </w:p>
    <w:p w14:paraId="3F20E009">
      <w:pPr>
        <w:pStyle w:val="12"/>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生态文明制度基本健全</w:t>
      </w:r>
      <w:r>
        <w:rPr>
          <w:rFonts w:hint="default" w:ascii="Times New Roman" w:hAnsi="Times New Roman" w:eastAsia="方正仿宋_GBK" w:cs="Times New Roman"/>
          <w:snapToGrid w:val="0"/>
          <w:color w:val="000000"/>
          <w:kern w:val="0"/>
          <w:sz w:val="32"/>
          <w:szCs w:val="32"/>
          <w:lang w:val="en-US" w:eastAsia="zh-CN" w:bidi="ar-SA"/>
        </w:rPr>
        <w:t>。完善信息公开制度，公开内容全面准确，提升政府信息公开便利度。全区各级各单位对生态文明建设的重视程度持续提高，生态环境治理体系和治理能力现代化建设取得新突破。</w:t>
      </w:r>
    </w:p>
    <w:p w14:paraId="080F7D15">
      <w:pPr>
        <w:keepNext w:val="0"/>
        <w:keepLines w:val="0"/>
        <w:pageBreakBefore w:val="0"/>
        <w:kinsoku/>
        <w:wordWrap/>
        <w:overflowPunct/>
        <w:topLinePunct w:val="0"/>
        <w:autoSpaceDE/>
        <w:autoSpaceDN/>
        <w:bidi w:val="0"/>
        <w:adjustRightInd w:val="0"/>
        <w:snapToGrid w:val="0"/>
        <w:spacing w:line="54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2、远期目标（2026年—2030年）</w:t>
      </w:r>
    </w:p>
    <w:p w14:paraId="7A35C0E5">
      <w:pPr>
        <w:keepNext w:val="0"/>
        <w:keepLines w:val="0"/>
        <w:pageBreakBefore w:val="0"/>
        <w:widowControl/>
        <w:kinsoku/>
        <w:wordWrap/>
        <w:overflowPunct/>
        <w:topLinePunct w:val="0"/>
        <w:autoSpaceDE/>
        <w:autoSpaceDN/>
        <w:bidi w:val="0"/>
        <w:adjustRightInd w:val="0"/>
        <w:snapToGrid w:val="0"/>
        <w:spacing w:line="54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巩固秦淮区创建省级生态文明建设示范区期间的建设成果，所有创建指标稳定达到国家生态文明建设示范区创建要求，加快创成国家生态文明建设示范区。到2030年，确保区域生产、生活、生态空间布局进一步优化，生态系统稳定性和服务功能显著增强；生态环境质量进一步提升，基本实现空气清新、水体洁净、土壤安全、生态良好、人居整洁；产业绿色化、集聚化、规模化发展，生态经济活力和水平不断提升；居民环保低碳意识增强，广泛形成绿色生产生活方式，生态环境治理体系和治理能力现代化水平逐步提高，群众的幸福感、安全感、获得感显著增强，生态文明制度体系健全，打造南京市乃至江苏省生态文明建设典范。</w:t>
      </w:r>
    </w:p>
    <w:p w14:paraId="1EFF2F3D">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黑体_GBK" w:cs="Times New Roman"/>
          <w:sz w:val="32"/>
          <w:szCs w:val="32"/>
          <w:highlight w:val="none"/>
          <w:lang w:eastAsia="zh-CN"/>
        </w:rPr>
        <w:t>六</w:t>
      </w:r>
      <w:r>
        <w:rPr>
          <w:rFonts w:hint="default" w:ascii="Times New Roman" w:hAnsi="Times New Roman" w:eastAsia="方正黑体_GBK" w:cs="Times New Roman"/>
          <w:sz w:val="32"/>
          <w:szCs w:val="32"/>
          <w:highlight w:val="none"/>
        </w:rPr>
        <w:t>、建设指标</w:t>
      </w:r>
    </w:p>
    <w:p w14:paraId="0DCF7764">
      <w:pPr>
        <w:pStyle w:val="12"/>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根据</w:t>
      </w:r>
      <w:bookmarkStart w:id="9" w:name="_Hlk165987944"/>
      <w:r>
        <w:rPr>
          <w:rFonts w:hint="default" w:ascii="Times New Roman" w:hAnsi="Times New Roman" w:eastAsia="方正仿宋_GBK" w:cs="Times New Roman"/>
          <w:snapToGrid w:val="0"/>
          <w:color w:val="000000"/>
          <w:kern w:val="0"/>
          <w:sz w:val="32"/>
          <w:szCs w:val="32"/>
          <w:lang w:val="en-US" w:eastAsia="zh-CN" w:bidi="ar-SA"/>
        </w:rPr>
        <w:t>《生态文明建设示范区（县）建设指标》</w:t>
      </w:r>
      <w:bookmarkEnd w:id="9"/>
      <w:r>
        <w:rPr>
          <w:rFonts w:hint="default" w:ascii="Times New Roman" w:hAnsi="Times New Roman" w:eastAsia="方正仿宋_GBK" w:cs="Times New Roman"/>
          <w:snapToGrid w:val="0"/>
          <w:color w:val="000000"/>
          <w:kern w:val="0"/>
          <w:sz w:val="32"/>
          <w:szCs w:val="32"/>
          <w:lang w:val="en-US" w:eastAsia="zh-CN" w:bidi="ar-SA"/>
        </w:rPr>
        <w:t>（环办生态〔2024〕4号），国家生态文明建设示范区（县）建设指标共计25项，其中约束性指标19项，参考性指标6项。结合秦淮区实际，涉及其中15项约束性指标和3项参考性指标，此外还设置了2项特色指标。具体指标现状值和规划期指标目标值详见下表。</w:t>
      </w:r>
    </w:p>
    <w:p w14:paraId="3A0D275D">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5922B33A">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658715E3">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sectPr>
          <w:footerReference r:id="rId3" w:type="default"/>
          <w:footerReference r:id="rId4" w:type="even"/>
          <w:pgSz w:w="11906" w:h="16838"/>
          <w:pgMar w:top="2098" w:right="1588" w:bottom="1701" w:left="1588" w:header="851" w:footer="1418" w:gutter="0"/>
          <w:cols w:space="425" w:num="1"/>
          <w:docGrid w:type="lines" w:linePitch="312" w:charSpace="0"/>
        </w:sectPr>
      </w:pPr>
    </w:p>
    <w:p w14:paraId="2A29491D">
      <w:pPr>
        <w:spacing w:line="600" w:lineRule="exact"/>
        <w:ind w:firstLine="0" w:firstLineChars="0"/>
        <w:jc w:val="center"/>
        <w:rPr>
          <w:rFonts w:hint="default" w:ascii="Times New Roman" w:hAnsi="Times New Roman" w:eastAsia="方正楷体_GBK" w:cs="Times New Roman"/>
          <w:sz w:val="28"/>
          <w:szCs w:val="18"/>
        </w:rPr>
      </w:pPr>
      <w:r>
        <w:rPr>
          <w:rFonts w:hint="default" w:ascii="Times New Roman" w:hAnsi="Times New Roman" w:eastAsia="方正楷体_GBK" w:cs="Times New Roman"/>
          <w:sz w:val="28"/>
          <w:szCs w:val="18"/>
        </w:rPr>
        <w:t>表2-1</w:t>
      </w:r>
      <w:r>
        <w:rPr>
          <w:rFonts w:hint="default" w:ascii="Times New Roman" w:hAnsi="Times New Roman" w:eastAsia="方正楷体_GBK" w:cs="Times New Roman"/>
          <w:sz w:val="28"/>
          <w:szCs w:val="18"/>
          <w:lang w:val="en-US" w:eastAsia="zh-CN"/>
        </w:rPr>
        <w:t xml:space="preserve"> </w:t>
      </w:r>
      <w:r>
        <w:rPr>
          <w:rFonts w:hint="default" w:ascii="Times New Roman" w:hAnsi="Times New Roman" w:eastAsia="方正楷体_GBK" w:cs="Times New Roman"/>
          <w:sz w:val="28"/>
          <w:szCs w:val="18"/>
        </w:rPr>
        <w:t>秦淮区生态文明建设指标体系</w:t>
      </w:r>
    </w:p>
    <w:tbl>
      <w:tblPr>
        <w:tblStyle w:val="13"/>
        <w:tblW w:w="13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27"/>
        <w:gridCol w:w="702"/>
        <w:gridCol w:w="532"/>
        <w:gridCol w:w="2662"/>
        <w:gridCol w:w="709"/>
        <w:gridCol w:w="2268"/>
        <w:gridCol w:w="1843"/>
        <w:gridCol w:w="1843"/>
        <w:gridCol w:w="1559"/>
        <w:gridCol w:w="1195"/>
      </w:tblGrid>
      <w:tr w14:paraId="0A47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2" w:hRule="atLeast"/>
          <w:tblHeader/>
        </w:trPr>
        <w:tc>
          <w:tcPr>
            <w:tcW w:w="527" w:type="dxa"/>
            <w:vMerge w:val="restart"/>
            <w:tcBorders>
              <w:top w:val="single" w:color="auto" w:sz="4" w:space="0"/>
              <w:left w:val="single" w:color="auto" w:sz="4" w:space="0"/>
              <w:bottom w:val="single" w:color="auto" w:sz="4" w:space="0"/>
              <w:right w:val="single" w:color="auto" w:sz="4" w:space="0"/>
            </w:tcBorders>
            <w:vAlign w:val="center"/>
          </w:tcPr>
          <w:p w14:paraId="16F1AF63">
            <w:pPr>
              <w:adjustRightInd w:val="0"/>
              <w:snapToGrid w:val="0"/>
              <w:spacing w:line="240" w:lineRule="auto"/>
              <w:ind w:firstLine="0" w:firstLineChars="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领域</w:t>
            </w:r>
          </w:p>
        </w:tc>
        <w:tc>
          <w:tcPr>
            <w:tcW w:w="702" w:type="dxa"/>
            <w:vMerge w:val="restart"/>
            <w:tcBorders>
              <w:top w:val="single" w:color="auto" w:sz="4" w:space="0"/>
              <w:left w:val="single" w:color="auto" w:sz="4" w:space="0"/>
              <w:bottom w:val="single" w:color="auto" w:sz="4" w:space="0"/>
              <w:right w:val="single" w:color="auto" w:sz="4" w:space="0"/>
            </w:tcBorders>
            <w:vAlign w:val="center"/>
          </w:tcPr>
          <w:p w14:paraId="04448ACA">
            <w:pPr>
              <w:adjustRightInd w:val="0"/>
              <w:snapToGrid w:val="0"/>
              <w:spacing w:line="240" w:lineRule="auto"/>
              <w:ind w:firstLine="0" w:firstLineChars="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任务</w:t>
            </w:r>
          </w:p>
        </w:tc>
        <w:tc>
          <w:tcPr>
            <w:tcW w:w="532" w:type="dxa"/>
            <w:vMerge w:val="restart"/>
            <w:tcBorders>
              <w:top w:val="single" w:color="auto" w:sz="4" w:space="0"/>
              <w:left w:val="single" w:color="auto" w:sz="4" w:space="0"/>
              <w:bottom w:val="single" w:color="auto" w:sz="4" w:space="0"/>
              <w:right w:val="single" w:color="auto" w:sz="4" w:space="0"/>
            </w:tcBorders>
            <w:vAlign w:val="center"/>
          </w:tcPr>
          <w:p w14:paraId="67E7E783">
            <w:pPr>
              <w:adjustRightInd w:val="0"/>
              <w:snapToGrid w:val="0"/>
              <w:spacing w:line="240" w:lineRule="auto"/>
              <w:ind w:firstLine="0" w:firstLineChars="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序号</w:t>
            </w:r>
          </w:p>
        </w:tc>
        <w:tc>
          <w:tcPr>
            <w:tcW w:w="2662" w:type="dxa"/>
            <w:vMerge w:val="restart"/>
            <w:tcBorders>
              <w:top w:val="single" w:color="auto" w:sz="4" w:space="0"/>
              <w:left w:val="single" w:color="auto" w:sz="4" w:space="0"/>
              <w:bottom w:val="single" w:color="auto" w:sz="4" w:space="0"/>
              <w:right w:val="single" w:color="auto" w:sz="4" w:space="0"/>
            </w:tcBorders>
            <w:vAlign w:val="center"/>
          </w:tcPr>
          <w:p w14:paraId="53E0600E">
            <w:pPr>
              <w:adjustRightInd w:val="0"/>
              <w:snapToGrid w:val="0"/>
              <w:spacing w:line="240" w:lineRule="auto"/>
              <w:ind w:firstLine="0" w:firstLineChars="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指标名称</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4B56B1DC">
            <w:pPr>
              <w:adjustRightInd w:val="0"/>
              <w:snapToGrid w:val="0"/>
              <w:spacing w:line="240" w:lineRule="auto"/>
              <w:ind w:firstLine="0" w:firstLineChars="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单位</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05CA453C">
            <w:pPr>
              <w:adjustRightInd w:val="0"/>
              <w:snapToGrid w:val="0"/>
              <w:spacing w:line="240" w:lineRule="auto"/>
              <w:ind w:firstLine="0" w:firstLineChars="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指标值</w:t>
            </w:r>
          </w:p>
        </w:tc>
        <w:tc>
          <w:tcPr>
            <w:tcW w:w="1843" w:type="dxa"/>
            <w:tcBorders>
              <w:top w:val="single" w:color="auto" w:sz="4" w:space="0"/>
              <w:left w:val="single" w:color="auto" w:sz="4" w:space="0"/>
              <w:bottom w:val="single" w:color="auto" w:sz="4" w:space="0"/>
              <w:right w:val="single" w:color="auto" w:sz="4" w:space="0"/>
            </w:tcBorders>
            <w:vAlign w:val="center"/>
          </w:tcPr>
          <w:p w14:paraId="3897E6A4">
            <w:pPr>
              <w:adjustRightInd w:val="0"/>
              <w:snapToGrid w:val="0"/>
              <w:spacing w:line="240" w:lineRule="auto"/>
              <w:ind w:firstLine="0" w:firstLineChars="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现状值</w:t>
            </w:r>
          </w:p>
        </w:tc>
        <w:tc>
          <w:tcPr>
            <w:tcW w:w="3402" w:type="dxa"/>
            <w:gridSpan w:val="2"/>
            <w:tcBorders>
              <w:top w:val="single" w:color="auto" w:sz="4" w:space="0"/>
              <w:left w:val="single" w:color="auto" w:sz="4" w:space="0"/>
              <w:bottom w:val="single" w:color="auto" w:sz="4" w:space="0"/>
              <w:right w:val="single" w:color="auto" w:sz="4" w:space="0"/>
            </w:tcBorders>
            <w:vAlign w:val="center"/>
          </w:tcPr>
          <w:p w14:paraId="0B96A02E">
            <w:pPr>
              <w:adjustRightInd w:val="0"/>
              <w:snapToGrid w:val="0"/>
              <w:spacing w:line="240" w:lineRule="auto"/>
              <w:ind w:firstLine="0" w:firstLineChars="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目标值</w:t>
            </w:r>
          </w:p>
        </w:tc>
        <w:tc>
          <w:tcPr>
            <w:tcW w:w="1195" w:type="dxa"/>
            <w:vMerge w:val="restart"/>
            <w:tcBorders>
              <w:top w:val="single" w:color="auto" w:sz="4" w:space="0"/>
              <w:left w:val="single" w:color="auto" w:sz="4" w:space="0"/>
              <w:bottom w:val="single" w:color="auto" w:sz="4" w:space="0"/>
              <w:right w:val="single" w:color="auto" w:sz="4" w:space="0"/>
            </w:tcBorders>
            <w:vAlign w:val="center"/>
          </w:tcPr>
          <w:p w14:paraId="49738DED">
            <w:pPr>
              <w:adjustRightInd w:val="0"/>
              <w:snapToGrid w:val="0"/>
              <w:spacing w:line="240" w:lineRule="auto"/>
              <w:ind w:firstLine="0" w:firstLineChars="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达标</w:t>
            </w:r>
          </w:p>
          <w:p w14:paraId="0B41458A">
            <w:pPr>
              <w:adjustRightInd w:val="0"/>
              <w:snapToGrid w:val="0"/>
              <w:spacing w:line="240" w:lineRule="auto"/>
              <w:ind w:firstLine="0" w:firstLineChars="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情况</w:t>
            </w:r>
          </w:p>
        </w:tc>
      </w:tr>
      <w:tr w14:paraId="7508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1" w:hRule="atLeast"/>
          <w:tblHead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A5CD78E">
            <w:pPr>
              <w:widowControl/>
              <w:spacing w:line="240" w:lineRule="auto"/>
              <w:ind w:firstLine="0" w:firstLineChars="0"/>
              <w:jc w:val="left"/>
              <w:rPr>
                <w:rFonts w:hint="default" w:ascii="Times New Roman" w:hAnsi="Times New Roman" w:eastAsia="仿宋" w:cs="Times New Roman"/>
                <w:b/>
                <w:bCs/>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534CBE2">
            <w:pPr>
              <w:widowControl/>
              <w:spacing w:line="240" w:lineRule="auto"/>
              <w:ind w:firstLine="0" w:firstLineChars="0"/>
              <w:jc w:val="left"/>
              <w:rPr>
                <w:rFonts w:hint="default" w:ascii="Times New Roman" w:hAnsi="Times New Roman" w:eastAsia="仿宋" w:cs="Times New Roman"/>
                <w:b/>
                <w:bCs/>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E5719D2">
            <w:pPr>
              <w:widowControl/>
              <w:spacing w:line="240" w:lineRule="auto"/>
              <w:ind w:firstLine="0" w:firstLineChars="0"/>
              <w:jc w:val="left"/>
              <w:rPr>
                <w:rFonts w:hint="default" w:ascii="Times New Roman" w:hAnsi="Times New Roman" w:eastAsia="仿宋" w:cs="Times New Roman"/>
                <w:b/>
                <w:bCs/>
                <w:sz w:val="21"/>
                <w:szCs w:val="21"/>
              </w:rPr>
            </w:pPr>
          </w:p>
        </w:tc>
        <w:tc>
          <w:tcPr>
            <w:tcW w:w="2662" w:type="dxa"/>
            <w:vMerge w:val="continue"/>
            <w:tcBorders>
              <w:top w:val="single" w:color="auto" w:sz="4" w:space="0"/>
              <w:left w:val="single" w:color="auto" w:sz="4" w:space="0"/>
              <w:bottom w:val="single" w:color="auto" w:sz="4" w:space="0"/>
              <w:right w:val="single" w:color="auto" w:sz="4" w:space="0"/>
            </w:tcBorders>
            <w:vAlign w:val="center"/>
          </w:tcPr>
          <w:p w14:paraId="4E0939E5">
            <w:pPr>
              <w:widowControl/>
              <w:spacing w:line="240" w:lineRule="auto"/>
              <w:ind w:firstLine="0" w:firstLineChars="0"/>
              <w:jc w:val="left"/>
              <w:rPr>
                <w:rFonts w:hint="default" w:ascii="Times New Roman" w:hAnsi="Times New Roman" w:eastAsia="仿宋" w:cs="Times New Roman"/>
                <w:b/>
                <w:bCs/>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94E7513">
            <w:pPr>
              <w:widowControl/>
              <w:spacing w:line="240" w:lineRule="auto"/>
              <w:ind w:firstLine="0" w:firstLineChars="0"/>
              <w:jc w:val="left"/>
              <w:rPr>
                <w:rFonts w:hint="default" w:ascii="Times New Roman" w:hAnsi="Times New Roman" w:eastAsia="仿宋" w:cs="Times New Roman"/>
                <w:b/>
                <w:bCs/>
                <w:sz w:val="21"/>
                <w:szCs w:val="21"/>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7A9FC089">
            <w:pPr>
              <w:widowControl/>
              <w:spacing w:line="240" w:lineRule="auto"/>
              <w:ind w:firstLine="0" w:firstLineChars="0"/>
              <w:jc w:val="left"/>
              <w:rPr>
                <w:rFonts w:hint="default" w:ascii="Times New Roman" w:hAnsi="Times New Roman" w:eastAsia="仿宋" w:cs="Times New Roman"/>
                <w:b/>
                <w:bCs/>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7D4ED6DE">
            <w:pPr>
              <w:adjustRightInd w:val="0"/>
              <w:snapToGrid w:val="0"/>
              <w:spacing w:line="240" w:lineRule="auto"/>
              <w:ind w:firstLine="0" w:firstLineChars="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2023年</w:t>
            </w:r>
          </w:p>
        </w:tc>
        <w:tc>
          <w:tcPr>
            <w:tcW w:w="1843" w:type="dxa"/>
            <w:tcBorders>
              <w:top w:val="single" w:color="auto" w:sz="4" w:space="0"/>
              <w:left w:val="single" w:color="auto" w:sz="4" w:space="0"/>
              <w:bottom w:val="single" w:color="auto" w:sz="4" w:space="0"/>
              <w:right w:val="single" w:color="auto" w:sz="4" w:space="0"/>
            </w:tcBorders>
            <w:vAlign w:val="center"/>
          </w:tcPr>
          <w:p w14:paraId="6CB023BD">
            <w:pPr>
              <w:adjustRightInd w:val="0"/>
              <w:snapToGrid w:val="0"/>
              <w:spacing w:line="240" w:lineRule="auto"/>
              <w:ind w:firstLine="0" w:firstLineChars="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2025年</w:t>
            </w:r>
          </w:p>
        </w:tc>
        <w:tc>
          <w:tcPr>
            <w:tcW w:w="1559" w:type="dxa"/>
            <w:tcBorders>
              <w:top w:val="single" w:color="auto" w:sz="4" w:space="0"/>
              <w:left w:val="single" w:color="auto" w:sz="4" w:space="0"/>
              <w:bottom w:val="single" w:color="auto" w:sz="4" w:space="0"/>
              <w:right w:val="single" w:color="auto" w:sz="4" w:space="0"/>
            </w:tcBorders>
            <w:vAlign w:val="center"/>
          </w:tcPr>
          <w:p w14:paraId="7FDC2FE0">
            <w:pPr>
              <w:adjustRightInd w:val="0"/>
              <w:snapToGrid w:val="0"/>
              <w:spacing w:line="240" w:lineRule="auto"/>
              <w:ind w:firstLine="0" w:firstLineChars="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2030年</w:t>
            </w:r>
          </w:p>
        </w:tc>
        <w:tc>
          <w:tcPr>
            <w:tcW w:w="1195" w:type="dxa"/>
            <w:vMerge w:val="continue"/>
            <w:tcBorders>
              <w:top w:val="single" w:color="auto" w:sz="4" w:space="0"/>
              <w:left w:val="single" w:color="auto" w:sz="4" w:space="0"/>
              <w:bottom w:val="single" w:color="auto" w:sz="4" w:space="0"/>
              <w:right w:val="single" w:color="auto" w:sz="4" w:space="0"/>
            </w:tcBorders>
            <w:vAlign w:val="center"/>
          </w:tcPr>
          <w:p w14:paraId="712C175B">
            <w:pPr>
              <w:widowControl/>
              <w:spacing w:line="240" w:lineRule="auto"/>
              <w:ind w:firstLine="0" w:firstLineChars="0"/>
              <w:jc w:val="left"/>
              <w:rPr>
                <w:rFonts w:hint="default" w:ascii="Times New Roman" w:hAnsi="Times New Roman" w:eastAsia="仿宋" w:cs="Times New Roman"/>
                <w:b/>
                <w:bCs/>
                <w:sz w:val="21"/>
                <w:szCs w:val="21"/>
              </w:rPr>
            </w:pPr>
          </w:p>
        </w:tc>
      </w:tr>
      <w:tr w14:paraId="179F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527" w:type="dxa"/>
            <w:vMerge w:val="restart"/>
            <w:tcBorders>
              <w:top w:val="single" w:color="auto" w:sz="4" w:space="0"/>
              <w:left w:val="single" w:color="auto" w:sz="4" w:space="0"/>
              <w:bottom w:val="single" w:color="auto" w:sz="4" w:space="0"/>
              <w:right w:val="single" w:color="auto" w:sz="4" w:space="0"/>
            </w:tcBorders>
            <w:vAlign w:val="center"/>
          </w:tcPr>
          <w:p w14:paraId="7DDDC235">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目标责任</w:t>
            </w:r>
          </w:p>
        </w:tc>
        <w:tc>
          <w:tcPr>
            <w:tcW w:w="702" w:type="dxa"/>
            <w:vMerge w:val="restart"/>
            <w:tcBorders>
              <w:top w:val="single" w:color="auto" w:sz="4" w:space="0"/>
              <w:left w:val="single" w:color="auto" w:sz="4" w:space="0"/>
              <w:bottom w:val="single" w:color="auto" w:sz="4" w:space="0"/>
              <w:right w:val="single" w:color="auto" w:sz="4" w:space="0"/>
            </w:tcBorders>
            <w:vAlign w:val="center"/>
          </w:tcPr>
          <w:p w14:paraId="49A84A87">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（一）</w:t>
            </w:r>
          </w:p>
          <w:p w14:paraId="7FC4D646">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目标责任落实</w:t>
            </w:r>
          </w:p>
        </w:tc>
        <w:tc>
          <w:tcPr>
            <w:tcW w:w="532" w:type="dxa"/>
            <w:tcBorders>
              <w:top w:val="single" w:color="auto" w:sz="4" w:space="0"/>
              <w:left w:val="single" w:color="auto" w:sz="4" w:space="0"/>
              <w:bottom w:val="single" w:color="auto" w:sz="4" w:space="0"/>
              <w:right w:val="single" w:color="auto" w:sz="4" w:space="0"/>
            </w:tcBorders>
            <w:vAlign w:val="center"/>
          </w:tcPr>
          <w:p w14:paraId="18842ED4">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c>
          <w:tcPr>
            <w:tcW w:w="2662" w:type="dxa"/>
            <w:tcBorders>
              <w:top w:val="single" w:color="auto" w:sz="4" w:space="0"/>
              <w:left w:val="single" w:color="auto" w:sz="4" w:space="0"/>
              <w:bottom w:val="single" w:color="auto" w:sz="4" w:space="0"/>
              <w:right w:val="single" w:color="auto" w:sz="4" w:space="0"/>
            </w:tcBorders>
            <w:vAlign w:val="center"/>
          </w:tcPr>
          <w:p w14:paraId="0D62EECE">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生态文明建设工作占党政实绩考核的比例</w:t>
            </w:r>
          </w:p>
        </w:tc>
        <w:tc>
          <w:tcPr>
            <w:tcW w:w="709" w:type="dxa"/>
            <w:tcBorders>
              <w:top w:val="single" w:color="auto" w:sz="4" w:space="0"/>
              <w:left w:val="single" w:color="auto" w:sz="4" w:space="0"/>
              <w:bottom w:val="single" w:color="auto" w:sz="4" w:space="0"/>
              <w:right w:val="single" w:color="auto" w:sz="4" w:space="0"/>
            </w:tcBorders>
            <w:vAlign w:val="center"/>
          </w:tcPr>
          <w:p w14:paraId="6438A45D">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46ED508A">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≥20</w:t>
            </w:r>
          </w:p>
        </w:tc>
        <w:tc>
          <w:tcPr>
            <w:tcW w:w="1843" w:type="dxa"/>
            <w:tcBorders>
              <w:top w:val="single" w:color="auto" w:sz="4" w:space="0"/>
              <w:left w:val="single" w:color="auto" w:sz="4" w:space="0"/>
              <w:bottom w:val="single" w:color="auto" w:sz="4" w:space="0"/>
              <w:right w:val="single" w:color="auto" w:sz="4" w:space="0"/>
            </w:tcBorders>
            <w:vAlign w:val="center"/>
          </w:tcPr>
          <w:p w14:paraId="6CAE2B43">
            <w:pPr>
              <w:adjustRightInd w:val="0"/>
              <w:snapToGrid w:val="0"/>
              <w:spacing w:line="240" w:lineRule="auto"/>
              <w:ind w:firstLine="0" w:firstLineChars="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20.14</w:t>
            </w:r>
          </w:p>
        </w:tc>
        <w:tc>
          <w:tcPr>
            <w:tcW w:w="1843" w:type="dxa"/>
            <w:tcBorders>
              <w:top w:val="single" w:color="auto" w:sz="4" w:space="0"/>
              <w:left w:val="single" w:color="auto" w:sz="4" w:space="0"/>
              <w:bottom w:val="single" w:color="auto" w:sz="4" w:space="0"/>
              <w:right w:val="single" w:color="auto" w:sz="4" w:space="0"/>
            </w:tcBorders>
            <w:vAlign w:val="center"/>
          </w:tcPr>
          <w:p w14:paraId="4ACAA009">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21</w:t>
            </w:r>
          </w:p>
        </w:tc>
        <w:tc>
          <w:tcPr>
            <w:tcW w:w="1559" w:type="dxa"/>
            <w:tcBorders>
              <w:top w:val="single" w:color="auto" w:sz="4" w:space="0"/>
              <w:left w:val="single" w:color="auto" w:sz="4" w:space="0"/>
              <w:bottom w:val="single" w:color="auto" w:sz="4" w:space="0"/>
              <w:right w:val="single" w:color="auto" w:sz="4" w:space="0"/>
            </w:tcBorders>
            <w:vAlign w:val="center"/>
          </w:tcPr>
          <w:p w14:paraId="487DAC25">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22</w:t>
            </w:r>
          </w:p>
        </w:tc>
        <w:tc>
          <w:tcPr>
            <w:tcW w:w="1195" w:type="dxa"/>
            <w:tcBorders>
              <w:top w:val="single" w:color="auto" w:sz="4" w:space="0"/>
              <w:left w:val="single" w:color="auto" w:sz="4" w:space="0"/>
              <w:bottom w:val="single" w:color="auto" w:sz="4" w:space="0"/>
              <w:right w:val="single" w:color="auto" w:sz="4" w:space="0"/>
            </w:tcBorders>
            <w:vAlign w:val="center"/>
          </w:tcPr>
          <w:p w14:paraId="5FD5C0DB">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达标</w:t>
            </w:r>
          </w:p>
        </w:tc>
      </w:tr>
      <w:tr w14:paraId="6E7B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622F657">
            <w:pPr>
              <w:widowControl/>
              <w:spacing w:line="240" w:lineRule="auto"/>
              <w:ind w:firstLine="0" w:firstLineChars="0"/>
              <w:jc w:val="left"/>
              <w:rPr>
                <w:rFonts w:hint="default" w:ascii="Times New Roman" w:hAnsi="Times New Roman" w:eastAsia="仿宋"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DCA43BC">
            <w:pPr>
              <w:widowControl/>
              <w:spacing w:line="240" w:lineRule="auto"/>
              <w:ind w:firstLine="0" w:firstLineChars="0"/>
              <w:jc w:val="left"/>
              <w:rPr>
                <w:rFonts w:hint="default" w:ascii="Times New Roman" w:hAnsi="Times New Roman" w:eastAsia="仿宋" w:cs="Times New Roman"/>
                <w:sz w:val="21"/>
                <w:szCs w:val="21"/>
              </w:rPr>
            </w:pPr>
          </w:p>
        </w:tc>
        <w:tc>
          <w:tcPr>
            <w:tcW w:w="532" w:type="dxa"/>
            <w:tcBorders>
              <w:top w:val="single" w:color="auto" w:sz="4" w:space="0"/>
              <w:left w:val="single" w:color="auto" w:sz="4" w:space="0"/>
              <w:bottom w:val="single" w:color="auto" w:sz="4" w:space="0"/>
              <w:right w:val="single" w:color="auto" w:sz="4" w:space="0"/>
            </w:tcBorders>
            <w:vAlign w:val="center"/>
          </w:tcPr>
          <w:p w14:paraId="718B96B0">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w:t>
            </w:r>
          </w:p>
        </w:tc>
        <w:tc>
          <w:tcPr>
            <w:tcW w:w="2662" w:type="dxa"/>
            <w:tcBorders>
              <w:top w:val="single" w:color="auto" w:sz="4" w:space="0"/>
              <w:left w:val="single" w:color="auto" w:sz="4" w:space="0"/>
              <w:bottom w:val="single" w:color="auto" w:sz="4" w:space="0"/>
              <w:right w:val="single" w:color="auto" w:sz="4" w:space="0"/>
            </w:tcBorders>
            <w:vAlign w:val="center"/>
          </w:tcPr>
          <w:p w14:paraId="1F0A4B83">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党政领导干部生态环境损害责任追究制度</w:t>
            </w:r>
          </w:p>
        </w:tc>
        <w:tc>
          <w:tcPr>
            <w:tcW w:w="709" w:type="dxa"/>
            <w:tcBorders>
              <w:top w:val="single" w:color="auto" w:sz="4" w:space="0"/>
              <w:left w:val="single" w:color="auto" w:sz="4" w:space="0"/>
              <w:bottom w:val="single" w:color="auto" w:sz="4" w:space="0"/>
              <w:right w:val="single" w:color="auto" w:sz="4" w:space="0"/>
            </w:tcBorders>
            <w:vAlign w:val="center"/>
          </w:tcPr>
          <w:p w14:paraId="6A0CC1B6">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2CE0632B">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建立</w:t>
            </w:r>
          </w:p>
        </w:tc>
        <w:tc>
          <w:tcPr>
            <w:tcW w:w="1843" w:type="dxa"/>
            <w:tcBorders>
              <w:top w:val="single" w:color="auto" w:sz="4" w:space="0"/>
              <w:left w:val="single" w:color="auto" w:sz="4" w:space="0"/>
              <w:bottom w:val="single" w:color="auto" w:sz="4" w:space="0"/>
              <w:right w:val="single" w:color="auto" w:sz="4" w:space="0"/>
            </w:tcBorders>
            <w:vAlign w:val="center"/>
          </w:tcPr>
          <w:p w14:paraId="208C222D">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sz w:val="21"/>
                <w:szCs w:val="21"/>
                <w14:ligatures w14:val="standardContextual"/>
              </w:rPr>
              <w:t>建立</w:t>
            </w:r>
          </w:p>
        </w:tc>
        <w:tc>
          <w:tcPr>
            <w:tcW w:w="1843" w:type="dxa"/>
            <w:tcBorders>
              <w:top w:val="single" w:color="auto" w:sz="4" w:space="0"/>
              <w:left w:val="single" w:color="auto" w:sz="4" w:space="0"/>
              <w:bottom w:val="single" w:color="auto" w:sz="4" w:space="0"/>
              <w:right w:val="single" w:color="auto" w:sz="4" w:space="0"/>
            </w:tcBorders>
            <w:vAlign w:val="center"/>
          </w:tcPr>
          <w:p w14:paraId="75C9E736">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sz w:val="21"/>
                <w:szCs w:val="21"/>
                <w14:ligatures w14:val="standardContextual"/>
              </w:rPr>
              <w:t>建立</w:t>
            </w:r>
          </w:p>
        </w:tc>
        <w:tc>
          <w:tcPr>
            <w:tcW w:w="1559" w:type="dxa"/>
            <w:tcBorders>
              <w:top w:val="single" w:color="auto" w:sz="4" w:space="0"/>
              <w:left w:val="single" w:color="auto" w:sz="4" w:space="0"/>
              <w:bottom w:val="single" w:color="auto" w:sz="4" w:space="0"/>
              <w:right w:val="single" w:color="auto" w:sz="4" w:space="0"/>
            </w:tcBorders>
            <w:vAlign w:val="center"/>
          </w:tcPr>
          <w:p w14:paraId="630DB02E">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sz w:val="21"/>
                <w:szCs w:val="21"/>
                <w14:ligatures w14:val="standardContextual"/>
              </w:rPr>
              <w:t>建立</w:t>
            </w:r>
          </w:p>
        </w:tc>
        <w:tc>
          <w:tcPr>
            <w:tcW w:w="1195" w:type="dxa"/>
            <w:tcBorders>
              <w:top w:val="single" w:color="auto" w:sz="4" w:space="0"/>
              <w:left w:val="single" w:color="auto" w:sz="4" w:space="0"/>
              <w:bottom w:val="single" w:color="auto" w:sz="4" w:space="0"/>
              <w:right w:val="single" w:color="auto" w:sz="4" w:space="0"/>
            </w:tcBorders>
            <w:vAlign w:val="center"/>
          </w:tcPr>
          <w:p w14:paraId="5BBD9452">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达标</w:t>
            </w:r>
          </w:p>
        </w:tc>
      </w:tr>
      <w:tr w14:paraId="18D0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EDCA587">
            <w:pPr>
              <w:widowControl/>
              <w:spacing w:line="240" w:lineRule="auto"/>
              <w:ind w:firstLine="0" w:firstLineChars="0"/>
              <w:jc w:val="left"/>
              <w:rPr>
                <w:rFonts w:hint="default" w:ascii="Times New Roman" w:hAnsi="Times New Roman" w:eastAsia="仿宋"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584ABF0">
            <w:pPr>
              <w:widowControl/>
              <w:spacing w:line="240" w:lineRule="auto"/>
              <w:ind w:firstLine="0" w:firstLineChars="0"/>
              <w:jc w:val="left"/>
              <w:rPr>
                <w:rFonts w:hint="default" w:ascii="Times New Roman" w:hAnsi="Times New Roman" w:eastAsia="仿宋" w:cs="Times New Roman"/>
                <w:sz w:val="21"/>
                <w:szCs w:val="21"/>
              </w:rPr>
            </w:pPr>
          </w:p>
        </w:tc>
        <w:tc>
          <w:tcPr>
            <w:tcW w:w="532" w:type="dxa"/>
            <w:tcBorders>
              <w:top w:val="single" w:color="auto" w:sz="4" w:space="0"/>
              <w:left w:val="single" w:color="auto" w:sz="4" w:space="0"/>
              <w:bottom w:val="single" w:color="auto" w:sz="4" w:space="0"/>
              <w:right w:val="single" w:color="auto" w:sz="4" w:space="0"/>
            </w:tcBorders>
            <w:vAlign w:val="center"/>
          </w:tcPr>
          <w:p w14:paraId="1CD6C581">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w:t>
            </w:r>
          </w:p>
        </w:tc>
        <w:tc>
          <w:tcPr>
            <w:tcW w:w="2662" w:type="dxa"/>
            <w:tcBorders>
              <w:top w:val="single" w:color="auto" w:sz="4" w:space="0"/>
              <w:left w:val="single" w:color="auto" w:sz="4" w:space="0"/>
              <w:bottom w:val="single" w:color="auto" w:sz="4" w:space="0"/>
              <w:right w:val="single" w:color="auto" w:sz="4" w:space="0"/>
            </w:tcBorders>
            <w:vAlign w:val="center"/>
          </w:tcPr>
          <w:p w14:paraId="12F83905">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领导干部自然资源资产离任审计</w:t>
            </w:r>
          </w:p>
        </w:tc>
        <w:tc>
          <w:tcPr>
            <w:tcW w:w="709" w:type="dxa"/>
            <w:tcBorders>
              <w:top w:val="single" w:color="auto" w:sz="4" w:space="0"/>
              <w:left w:val="single" w:color="auto" w:sz="4" w:space="0"/>
              <w:bottom w:val="single" w:color="auto" w:sz="4" w:space="0"/>
              <w:right w:val="single" w:color="auto" w:sz="4" w:space="0"/>
            </w:tcBorders>
            <w:vAlign w:val="center"/>
          </w:tcPr>
          <w:p w14:paraId="25F08594">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634276AD">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开展</w:t>
            </w:r>
          </w:p>
        </w:tc>
        <w:tc>
          <w:tcPr>
            <w:tcW w:w="1843" w:type="dxa"/>
            <w:tcBorders>
              <w:top w:val="single" w:color="auto" w:sz="4" w:space="0"/>
              <w:left w:val="single" w:color="auto" w:sz="4" w:space="0"/>
              <w:bottom w:val="single" w:color="auto" w:sz="4" w:space="0"/>
              <w:right w:val="single" w:color="auto" w:sz="4" w:space="0"/>
            </w:tcBorders>
            <w:vAlign w:val="center"/>
          </w:tcPr>
          <w:p w14:paraId="1639E0FA">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sz w:val="21"/>
                <w:szCs w:val="21"/>
                <w14:ligatures w14:val="standardContextual"/>
              </w:rPr>
              <w:t>开展</w:t>
            </w:r>
          </w:p>
        </w:tc>
        <w:tc>
          <w:tcPr>
            <w:tcW w:w="1843" w:type="dxa"/>
            <w:tcBorders>
              <w:top w:val="single" w:color="auto" w:sz="4" w:space="0"/>
              <w:left w:val="single" w:color="auto" w:sz="4" w:space="0"/>
              <w:bottom w:val="single" w:color="auto" w:sz="4" w:space="0"/>
              <w:right w:val="single" w:color="auto" w:sz="4" w:space="0"/>
            </w:tcBorders>
            <w:vAlign w:val="center"/>
          </w:tcPr>
          <w:p w14:paraId="36EC1BF7">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sz w:val="21"/>
                <w:szCs w:val="21"/>
                <w14:ligatures w14:val="standardContextual"/>
              </w:rPr>
              <w:t>开展</w:t>
            </w:r>
          </w:p>
        </w:tc>
        <w:tc>
          <w:tcPr>
            <w:tcW w:w="1559" w:type="dxa"/>
            <w:tcBorders>
              <w:top w:val="single" w:color="auto" w:sz="4" w:space="0"/>
              <w:left w:val="single" w:color="auto" w:sz="4" w:space="0"/>
              <w:bottom w:val="single" w:color="auto" w:sz="4" w:space="0"/>
              <w:right w:val="single" w:color="auto" w:sz="4" w:space="0"/>
            </w:tcBorders>
            <w:vAlign w:val="center"/>
          </w:tcPr>
          <w:p w14:paraId="7524B9AB">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sz w:val="21"/>
                <w:szCs w:val="21"/>
                <w14:ligatures w14:val="standardContextual"/>
              </w:rPr>
              <w:t>开展</w:t>
            </w:r>
          </w:p>
        </w:tc>
        <w:tc>
          <w:tcPr>
            <w:tcW w:w="1195" w:type="dxa"/>
            <w:tcBorders>
              <w:top w:val="single" w:color="auto" w:sz="4" w:space="0"/>
              <w:left w:val="single" w:color="auto" w:sz="4" w:space="0"/>
              <w:bottom w:val="single" w:color="auto" w:sz="4" w:space="0"/>
              <w:right w:val="single" w:color="auto" w:sz="4" w:space="0"/>
            </w:tcBorders>
            <w:vAlign w:val="center"/>
          </w:tcPr>
          <w:p w14:paraId="0DD83776">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达标</w:t>
            </w:r>
          </w:p>
        </w:tc>
      </w:tr>
      <w:tr w14:paraId="5CAE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527" w:type="dxa"/>
            <w:vMerge w:val="restart"/>
            <w:tcBorders>
              <w:top w:val="single" w:color="auto" w:sz="4" w:space="0"/>
              <w:left w:val="single" w:color="auto" w:sz="4" w:space="0"/>
              <w:bottom w:val="single" w:color="auto" w:sz="4" w:space="0"/>
              <w:right w:val="single" w:color="auto" w:sz="4" w:space="0"/>
            </w:tcBorders>
            <w:vAlign w:val="center"/>
          </w:tcPr>
          <w:p w14:paraId="7DF5476A">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生态</w:t>
            </w:r>
          </w:p>
          <w:p w14:paraId="6D86666D">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安全</w:t>
            </w:r>
          </w:p>
        </w:tc>
        <w:tc>
          <w:tcPr>
            <w:tcW w:w="702" w:type="dxa"/>
            <w:vMerge w:val="restart"/>
            <w:tcBorders>
              <w:top w:val="single" w:color="auto" w:sz="4" w:space="0"/>
              <w:left w:val="single" w:color="auto" w:sz="4" w:space="0"/>
              <w:bottom w:val="single" w:color="auto" w:sz="4" w:space="0"/>
              <w:right w:val="single" w:color="auto" w:sz="4" w:space="0"/>
            </w:tcBorders>
            <w:vAlign w:val="center"/>
          </w:tcPr>
          <w:p w14:paraId="3D6BFD16">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（二）</w:t>
            </w:r>
          </w:p>
          <w:p w14:paraId="040A1CE8">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生态环境质量改善</w:t>
            </w:r>
          </w:p>
        </w:tc>
        <w:tc>
          <w:tcPr>
            <w:tcW w:w="532" w:type="dxa"/>
            <w:tcBorders>
              <w:top w:val="single" w:color="auto" w:sz="4" w:space="0"/>
              <w:left w:val="single" w:color="auto" w:sz="4" w:space="0"/>
              <w:bottom w:val="single" w:color="auto" w:sz="4" w:space="0"/>
              <w:right w:val="single" w:color="auto" w:sz="4" w:space="0"/>
            </w:tcBorders>
            <w:vAlign w:val="center"/>
          </w:tcPr>
          <w:p w14:paraId="6A8F3AA3">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w:t>
            </w:r>
          </w:p>
        </w:tc>
        <w:tc>
          <w:tcPr>
            <w:tcW w:w="2662" w:type="dxa"/>
            <w:tcBorders>
              <w:top w:val="single" w:color="auto" w:sz="4" w:space="0"/>
              <w:left w:val="single" w:color="auto" w:sz="4" w:space="0"/>
              <w:bottom w:val="single" w:color="auto" w:sz="4" w:space="0"/>
              <w:right w:val="single" w:color="auto" w:sz="4" w:space="0"/>
            </w:tcBorders>
            <w:vAlign w:val="center"/>
          </w:tcPr>
          <w:p w14:paraId="422FE76A">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PM</w:t>
            </w:r>
            <w:r>
              <w:rPr>
                <w:rFonts w:hint="default" w:ascii="Times New Roman" w:hAnsi="Times New Roman" w:eastAsia="仿宋" w:cs="Times New Roman"/>
                <w:sz w:val="21"/>
                <w:szCs w:val="21"/>
                <w:vertAlign w:val="subscript"/>
              </w:rPr>
              <w:t>2.5</w:t>
            </w:r>
            <w:r>
              <w:rPr>
                <w:rFonts w:hint="default" w:ascii="Times New Roman" w:hAnsi="Times New Roman" w:eastAsia="仿宋" w:cs="Times New Roman"/>
                <w:sz w:val="21"/>
                <w:szCs w:val="21"/>
              </w:rPr>
              <w:t>浓度</w:t>
            </w:r>
          </w:p>
        </w:tc>
        <w:tc>
          <w:tcPr>
            <w:tcW w:w="709" w:type="dxa"/>
            <w:tcBorders>
              <w:top w:val="single" w:color="auto" w:sz="4" w:space="0"/>
              <w:left w:val="single" w:color="auto" w:sz="4" w:space="0"/>
              <w:bottom w:val="single" w:color="auto" w:sz="4" w:space="0"/>
              <w:right w:val="single" w:color="auto" w:sz="4" w:space="0"/>
            </w:tcBorders>
            <w:vAlign w:val="center"/>
          </w:tcPr>
          <w:p w14:paraId="4851BC33">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μg/m</w:t>
            </w:r>
            <w:r>
              <w:rPr>
                <w:rFonts w:hint="default" w:ascii="Times New Roman" w:hAnsi="Times New Roman" w:eastAsia="仿宋" w:cs="Times New Roman"/>
                <w:sz w:val="21"/>
                <w:szCs w:val="21"/>
                <w:vertAlign w:val="superscript"/>
              </w:rPr>
              <w:t>3</w:t>
            </w:r>
          </w:p>
        </w:tc>
        <w:tc>
          <w:tcPr>
            <w:tcW w:w="2268" w:type="dxa"/>
            <w:tcBorders>
              <w:top w:val="single" w:color="auto" w:sz="4" w:space="0"/>
              <w:left w:val="single" w:color="auto" w:sz="4" w:space="0"/>
              <w:bottom w:val="single" w:color="auto" w:sz="4" w:space="0"/>
              <w:right w:val="single" w:color="auto" w:sz="4" w:space="0"/>
            </w:tcBorders>
            <w:vAlign w:val="center"/>
          </w:tcPr>
          <w:p w14:paraId="42805D3D">
            <w:pPr>
              <w:adjustRightInd w:val="0"/>
              <w:snapToGrid w:val="0"/>
              <w:spacing w:line="240" w:lineRule="auto"/>
              <w:ind w:firstLine="0" w:firstLineChars="0"/>
              <w:jc w:val="center"/>
              <w:rPr>
                <w:rFonts w:hint="default" w:ascii="Times New Roman" w:hAnsi="Times New Roman" w:eastAsia="仿宋" w:cs="Times New Roman"/>
                <w:spacing w:val="-4"/>
                <w:sz w:val="21"/>
                <w:szCs w:val="21"/>
              </w:rPr>
            </w:pPr>
            <w:r>
              <w:rPr>
                <w:rFonts w:hint="default" w:ascii="Times New Roman" w:hAnsi="Times New Roman" w:eastAsia="仿宋" w:cs="Times New Roman"/>
                <w:spacing w:val="-4"/>
                <w:sz w:val="21"/>
                <w:szCs w:val="21"/>
              </w:rPr>
              <w:t>完成上级规定的考核任务；保持稳定或持续下降</w:t>
            </w:r>
          </w:p>
        </w:tc>
        <w:tc>
          <w:tcPr>
            <w:tcW w:w="1843" w:type="dxa"/>
            <w:tcBorders>
              <w:top w:val="single" w:color="auto" w:sz="4" w:space="0"/>
              <w:left w:val="single" w:color="auto" w:sz="4" w:space="0"/>
              <w:bottom w:val="single" w:color="auto" w:sz="4" w:space="0"/>
              <w:right w:val="single" w:color="auto" w:sz="4" w:space="0"/>
            </w:tcBorders>
            <w:vAlign w:val="center"/>
          </w:tcPr>
          <w:p w14:paraId="6A08C883">
            <w:pPr>
              <w:adjustRightInd w:val="0"/>
              <w:snapToGrid w:val="0"/>
              <w:spacing w:line="240" w:lineRule="auto"/>
              <w:ind w:firstLine="0" w:firstLineChars="0"/>
              <w:jc w:val="center"/>
              <w:rPr>
                <w:rFonts w:hint="default" w:ascii="Times New Roman" w:hAnsi="Times New Roman" w:eastAsia="仿宋" w:cs="Times New Roman"/>
                <w:spacing w:val="-4"/>
                <w:sz w:val="21"/>
                <w:szCs w:val="21"/>
                <w14:ligatures w14:val="standardContextual"/>
              </w:rPr>
            </w:pPr>
            <w:r>
              <w:rPr>
                <w:rFonts w:hint="default" w:ascii="Times New Roman" w:hAnsi="Times New Roman" w:eastAsia="仿宋" w:cs="Times New Roman"/>
                <w:spacing w:val="-4"/>
                <w:sz w:val="21"/>
                <w:szCs w:val="21"/>
                <w14:ligatures w14:val="standardContextual"/>
              </w:rPr>
              <w:t>27.6</w:t>
            </w:r>
          </w:p>
          <w:p w14:paraId="4CEF7032">
            <w:pPr>
              <w:adjustRightInd w:val="0"/>
              <w:snapToGrid w:val="0"/>
              <w:spacing w:line="240" w:lineRule="auto"/>
              <w:ind w:firstLine="0" w:firstLineChars="0"/>
              <w:jc w:val="center"/>
              <w:rPr>
                <w:rFonts w:hint="default" w:ascii="Times New Roman" w:hAnsi="Times New Roman" w:eastAsia="仿宋" w:cs="Times New Roman"/>
                <w:spacing w:val="-4"/>
                <w:sz w:val="21"/>
                <w:szCs w:val="21"/>
              </w:rPr>
            </w:pPr>
            <w:r>
              <w:rPr>
                <w:rFonts w:hint="default" w:ascii="Times New Roman" w:hAnsi="Times New Roman" w:eastAsia="仿宋" w:cs="Times New Roman"/>
                <w:spacing w:val="-4"/>
                <w:sz w:val="21"/>
                <w:szCs w:val="21"/>
                <w14:ligatures w14:val="standardContextual"/>
              </w:rPr>
              <w:t>目标任务：29.2</w:t>
            </w:r>
          </w:p>
        </w:tc>
        <w:tc>
          <w:tcPr>
            <w:tcW w:w="1843" w:type="dxa"/>
            <w:tcBorders>
              <w:top w:val="single" w:color="auto" w:sz="4" w:space="0"/>
              <w:left w:val="single" w:color="auto" w:sz="4" w:space="0"/>
              <w:bottom w:val="single" w:color="auto" w:sz="4" w:space="0"/>
              <w:right w:val="single" w:color="auto" w:sz="4" w:space="0"/>
            </w:tcBorders>
            <w:vAlign w:val="center"/>
          </w:tcPr>
          <w:p w14:paraId="18A42E34">
            <w:pPr>
              <w:adjustRightInd w:val="0"/>
              <w:snapToGrid w:val="0"/>
              <w:spacing w:line="240" w:lineRule="auto"/>
              <w:ind w:firstLine="0" w:firstLineChars="0"/>
              <w:jc w:val="center"/>
              <w:rPr>
                <w:rFonts w:hint="default" w:ascii="Times New Roman" w:hAnsi="Times New Roman" w:eastAsia="仿宋" w:cs="Times New Roman"/>
                <w:spacing w:val="-4"/>
                <w:sz w:val="21"/>
                <w:szCs w:val="21"/>
              </w:rPr>
            </w:pPr>
            <w:r>
              <w:rPr>
                <w:rFonts w:hint="default" w:ascii="Times New Roman" w:hAnsi="Times New Roman" w:eastAsia="仿宋" w:cs="Times New Roman"/>
                <w:spacing w:val="-4"/>
                <w:sz w:val="21"/>
                <w:szCs w:val="21"/>
              </w:rPr>
              <w:t>完成上级规定的考核任务</w:t>
            </w:r>
          </w:p>
        </w:tc>
        <w:tc>
          <w:tcPr>
            <w:tcW w:w="1559" w:type="dxa"/>
            <w:tcBorders>
              <w:top w:val="single" w:color="auto" w:sz="4" w:space="0"/>
              <w:left w:val="single" w:color="auto" w:sz="4" w:space="0"/>
              <w:bottom w:val="single" w:color="auto" w:sz="4" w:space="0"/>
              <w:right w:val="single" w:color="auto" w:sz="4" w:space="0"/>
            </w:tcBorders>
            <w:vAlign w:val="center"/>
          </w:tcPr>
          <w:p w14:paraId="2D278584">
            <w:pPr>
              <w:adjustRightInd w:val="0"/>
              <w:snapToGrid w:val="0"/>
              <w:spacing w:line="240" w:lineRule="auto"/>
              <w:ind w:firstLine="0" w:firstLineChars="0"/>
              <w:jc w:val="center"/>
              <w:rPr>
                <w:rFonts w:hint="default" w:ascii="Times New Roman" w:hAnsi="Times New Roman" w:eastAsia="仿宋" w:cs="Times New Roman"/>
                <w:spacing w:val="-4"/>
                <w:sz w:val="21"/>
                <w:szCs w:val="21"/>
              </w:rPr>
            </w:pPr>
            <w:r>
              <w:rPr>
                <w:rFonts w:hint="default" w:ascii="Times New Roman" w:hAnsi="Times New Roman" w:eastAsia="仿宋" w:cs="Times New Roman"/>
                <w:spacing w:val="-4"/>
                <w:sz w:val="21"/>
                <w:szCs w:val="21"/>
              </w:rPr>
              <w:t>完成上级规定的考核任务</w:t>
            </w:r>
          </w:p>
        </w:tc>
        <w:tc>
          <w:tcPr>
            <w:tcW w:w="1195" w:type="dxa"/>
            <w:tcBorders>
              <w:top w:val="single" w:color="auto" w:sz="4" w:space="0"/>
              <w:left w:val="single" w:color="auto" w:sz="4" w:space="0"/>
              <w:bottom w:val="single" w:color="auto" w:sz="4" w:space="0"/>
              <w:right w:val="single" w:color="auto" w:sz="4" w:space="0"/>
            </w:tcBorders>
            <w:vAlign w:val="center"/>
          </w:tcPr>
          <w:p w14:paraId="1A90A723">
            <w:pPr>
              <w:adjustRightInd w:val="0"/>
              <w:snapToGrid w:val="0"/>
              <w:spacing w:line="240" w:lineRule="auto"/>
              <w:ind w:firstLine="0" w:firstLineChars="0"/>
              <w:jc w:val="center"/>
              <w:rPr>
                <w:rFonts w:hint="default" w:ascii="Times New Roman" w:hAnsi="Times New Roman" w:eastAsia="仿宋" w:cs="Times New Roman"/>
                <w:spacing w:val="-4"/>
                <w:sz w:val="21"/>
                <w:szCs w:val="21"/>
              </w:rPr>
            </w:pPr>
            <w:r>
              <w:rPr>
                <w:rFonts w:hint="default" w:ascii="Times New Roman" w:hAnsi="Times New Roman" w:eastAsia="仿宋" w:cs="Times New Roman"/>
                <w:spacing w:val="-4"/>
                <w:sz w:val="21"/>
                <w:szCs w:val="21"/>
              </w:rPr>
              <w:t>达标</w:t>
            </w:r>
          </w:p>
        </w:tc>
      </w:tr>
      <w:tr w14:paraId="725F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E570822">
            <w:pPr>
              <w:widowControl/>
              <w:spacing w:line="240" w:lineRule="auto"/>
              <w:ind w:firstLine="0" w:firstLineChars="0"/>
              <w:jc w:val="left"/>
              <w:rPr>
                <w:rFonts w:hint="default" w:ascii="Times New Roman" w:hAnsi="Times New Roman" w:eastAsia="仿宋"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25549E0">
            <w:pPr>
              <w:widowControl/>
              <w:spacing w:line="240" w:lineRule="auto"/>
              <w:ind w:firstLine="0" w:firstLineChars="0"/>
              <w:jc w:val="left"/>
              <w:rPr>
                <w:rFonts w:hint="default" w:ascii="Times New Roman" w:hAnsi="Times New Roman" w:eastAsia="仿宋" w:cs="Times New Roman"/>
                <w:sz w:val="21"/>
                <w:szCs w:val="21"/>
              </w:rPr>
            </w:pPr>
          </w:p>
        </w:tc>
        <w:tc>
          <w:tcPr>
            <w:tcW w:w="532" w:type="dxa"/>
            <w:vMerge w:val="restart"/>
            <w:tcBorders>
              <w:top w:val="single" w:color="auto" w:sz="4" w:space="0"/>
              <w:left w:val="single" w:color="auto" w:sz="4" w:space="0"/>
              <w:bottom w:val="single" w:color="auto" w:sz="4" w:space="0"/>
              <w:right w:val="single" w:color="auto" w:sz="4" w:space="0"/>
            </w:tcBorders>
            <w:vAlign w:val="center"/>
          </w:tcPr>
          <w:p w14:paraId="34DA0DFF">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5</w:t>
            </w:r>
          </w:p>
        </w:tc>
        <w:tc>
          <w:tcPr>
            <w:tcW w:w="12079" w:type="dxa"/>
            <w:gridSpan w:val="7"/>
            <w:tcBorders>
              <w:top w:val="single" w:color="auto" w:sz="4" w:space="0"/>
              <w:left w:val="single" w:color="auto" w:sz="4" w:space="0"/>
              <w:bottom w:val="single" w:color="auto" w:sz="4" w:space="0"/>
              <w:right w:val="single" w:color="auto" w:sz="4" w:space="0"/>
            </w:tcBorders>
            <w:vAlign w:val="center"/>
          </w:tcPr>
          <w:p w14:paraId="2A141091">
            <w:pPr>
              <w:adjustRightInd w:val="0"/>
              <w:snapToGrid w:val="0"/>
              <w:spacing w:line="276" w:lineRule="auto"/>
              <w:ind w:firstLine="0" w:firstLineChars="0"/>
              <w:jc w:val="left"/>
              <w:rPr>
                <w:rFonts w:hint="default" w:ascii="Times New Roman" w:hAnsi="Times New Roman" w:eastAsia="仿宋" w:cs="Times New Roman"/>
                <w:b/>
                <w:bCs/>
                <w:spacing w:val="-4"/>
                <w:sz w:val="21"/>
                <w:szCs w:val="21"/>
              </w:rPr>
            </w:pPr>
            <w:r>
              <w:rPr>
                <w:rFonts w:hint="default" w:ascii="Times New Roman" w:hAnsi="Times New Roman" w:eastAsia="仿宋" w:cs="Times New Roman"/>
                <w:b/>
                <w:bCs/>
                <w:sz w:val="21"/>
                <w:szCs w:val="21"/>
              </w:rPr>
              <w:t>水环境质量</w:t>
            </w:r>
          </w:p>
        </w:tc>
      </w:tr>
      <w:tr w14:paraId="2AEA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DB820EF">
            <w:pPr>
              <w:widowControl/>
              <w:spacing w:line="240" w:lineRule="auto"/>
              <w:ind w:firstLine="0" w:firstLineChars="0"/>
              <w:jc w:val="left"/>
              <w:rPr>
                <w:rFonts w:hint="default" w:ascii="Times New Roman" w:hAnsi="Times New Roman" w:eastAsia="仿宋"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2511EBF">
            <w:pPr>
              <w:widowControl/>
              <w:spacing w:line="240" w:lineRule="auto"/>
              <w:ind w:firstLine="0" w:firstLineChars="0"/>
              <w:jc w:val="left"/>
              <w:rPr>
                <w:rFonts w:hint="default" w:ascii="Times New Roman" w:hAnsi="Times New Roman" w:eastAsia="仿宋"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558E5FB">
            <w:pPr>
              <w:widowControl/>
              <w:spacing w:line="240" w:lineRule="auto"/>
              <w:ind w:firstLine="0" w:firstLineChars="0"/>
              <w:jc w:val="left"/>
              <w:rPr>
                <w:rFonts w:hint="default" w:ascii="Times New Roman" w:hAnsi="Times New Roman" w:eastAsia="仿宋" w:cs="Times New Roman"/>
                <w:sz w:val="21"/>
                <w:szCs w:val="21"/>
              </w:rPr>
            </w:pPr>
          </w:p>
        </w:tc>
        <w:tc>
          <w:tcPr>
            <w:tcW w:w="2662" w:type="dxa"/>
            <w:tcBorders>
              <w:top w:val="single" w:color="auto" w:sz="4" w:space="0"/>
              <w:left w:val="single" w:color="auto" w:sz="4" w:space="0"/>
              <w:bottom w:val="single" w:color="auto" w:sz="4" w:space="0"/>
              <w:right w:val="single" w:color="auto" w:sz="4" w:space="0"/>
            </w:tcBorders>
            <w:vAlign w:val="center"/>
          </w:tcPr>
          <w:p w14:paraId="1B443906">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地表水达到或好于Ⅲ类水体比例</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3E0D1B91">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668F53E5">
            <w:pPr>
              <w:adjustRightInd w:val="0"/>
              <w:snapToGrid w:val="0"/>
              <w:spacing w:line="240" w:lineRule="auto"/>
              <w:ind w:firstLine="0" w:firstLineChars="0"/>
              <w:jc w:val="center"/>
              <w:rPr>
                <w:rFonts w:hint="default" w:ascii="Times New Roman" w:hAnsi="Times New Roman" w:eastAsia="仿宋" w:cs="Times New Roman"/>
                <w:spacing w:val="-4"/>
                <w:sz w:val="21"/>
                <w:szCs w:val="21"/>
              </w:rPr>
            </w:pPr>
            <w:r>
              <w:rPr>
                <w:rFonts w:hint="default" w:ascii="Times New Roman" w:hAnsi="Times New Roman" w:eastAsia="仿宋" w:cs="Times New Roman"/>
                <w:spacing w:val="-4"/>
                <w:sz w:val="21"/>
                <w:szCs w:val="21"/>
              </w:rPr>
              <w:t>完成上级规定的考核任务；保持稳定或持续提高</w:t>
            </w:r>
          </w:p>
        </w:tc>
        <w:tc>
          <w:tcPr>
            <w:tcW w:w="1843" w:type="dxa"/>
            <w:tcBorders>
              <w:top w:val="single" w:color="auto" w:sz="4" w:space="0"/>
              <w:left w:val="single" w:color="auto" w:sz="4" w:space="0"/>
              <w:bottom w:val="single" w:color="auto" w:sz="4" w:space="0"/>
              <w:right w:val="single" w:color="auto" w:sz="4" w:space="0"/>
            </w:tcBorders>
            <w:vAlign w:val="center"/>
          </w:tcPr>
          <w:p w14:paraId="07AB1EFF">
            <w:pPr>
              <w:adjustRightInd w:val="0"/>
              <w:snapToGrid w:val="0"/>
              <w:spacing w:line="240" w:lineRule="auto"/>
              <w:ind w:firstLine="0" w:firstLineChars="0"/>
              <w:jc w:val="center"/>
              <w:rPr>
                <w:rFonts w:hint="default" w:ascii="Times New Roman" w:hAnsi="Times New Roman" w:eastAsia="仿宋" w:cs="Times New Roman"/>
                <w:sz w:val="21"/>
                <w:szCs w:val="21"/>
                <w14:ligatures w14:val="standardContextual"/>
              </w:rPr>
            </w:pPr>
            <w:r>
              <w:rPr>
                <w:rFonts w:hint="default" w:ascii="Times New Roman" w:hAnsi="Times New Roman" w:eastAsia="仿宋" w:cs="Times New Roman"/>
                <w:sz w:val="21"/>
                <w:szCs w:val="21"/>
                <w14:ligatures w14:val="standardContextual"/>
              </w:rPr>
              <w:t>100</w:t>
            </w:r>
          </w:p>
          <w:p w14:paraId="04429160">
            <w:pPr>
              <w:adjustRightInd w:val="0"/>
              <w:snapToGrid w:val="0"/>
              <w:spacing w:line="240" w:lineRule="auto"/>
              <w:ind w:firstLine="0" w:firstLineChars="0"/>
              <w:jc w:val="center"/>
              <w:rPr>
                <w:rFonts w:hint="default" w:ascii="Times New Roman" w:hAnsi="Times New Roman" w:eastAsia="仿宋" w:cs="Times New Roman"/>
                <w:spacing w:val="-4"/>
                <w:sz w:val="21"/>
                <w:szCs w:val="21"/>
              </w:rPr>
            </w:pPr>
            <w:r>
              <w:rPr>
                <w:rFonts w:hint="default" w:ascii="Times New Roman" w:hAnsi="Times New Roman" w:eastAsia="仿宋" w:cs="Times New Roman"/>
                <w:sz w:val="21"/>
                <w:szCs w:val="21"/>
                <w14:ligatures w14:val="standardContextual"/>
              </w:rPr>
              <w:t>目标任务：100</w:t>
            </w:r>
          </w:p>
        </w:tc>
        <w:tc>
          <w:tcPr>
            <w:tcW w:w="1843" w:type="dxa"/>
            <w:tcBorders>
              <w:top w:val="single" w:color="auto" w:sz="4" w:space="0"/>
              <w:left w:val="single" w:color="auto" w:sz="4" w:space="0"/>
              <w:bottom w:val="single" w:color="auto" w:sz="4" w:space="0"/>
              <w:right w:val="single" w:color="auto" w:sz="4" w:space="0"/>
            </w:tcBorders>
            <w:vAlign w:val="center"/>
          </w:tcPr>
          <w:p w14:paraId="17221EBD">
            <w:pPr>
              <w:adjustRightInd w:val="0"/>
              <w:snapToGrid w:val="0"/>
              <w:spacing w:line="240" w:lineRule="auto"/>
              <w:ind w:firstLine="0" w:firstLineChars="0"/>
              <w:jc w:val="center"/>
              <w:rPr>
                <w:rFonts w:hint="default" w:ascii="Times New Roman" w:hAnsi="Times New Roman" w:eastAsia="仿宋" w:cs="Times New Roman"/>
                <w:spacing w:val="-4"/>
                <w:sz w:val="21"/>
                <w:szCs w:val="21"/>
              </w:rPr>
            </w:pPr>
            <w:r>
              <w:rPr>
                <w:rFonts w:hint="default" w:ascii="Times New Roman" w:hAnsi="Times New Roman" w:eastAsia="仿宋" w:cs="Times New Roman"/>
                <w:sz w:val="21"/>
                <w:szCs w:val="21"/>
                <w14:ligatures w14:val="standardContextual"/>
              </w:rPr>
              <w:t>100</w:t>
            </w:r>
          </w:p>
        </w:tc>
        <w:tc>
          <w:tcPr>
            <w:tcW w:w="1559" w:type="dxa"/>
            <w:tcBorders>
              <w:top w:val="single" w:color="auto" w:sz="4" w:space="0"/>
              <w:left w:val="single" w:color="auto" w:sz="4" w:space="0"/>
              <w:bottom w:val="single" w:color="auto" w:sz="4" w:space="0"/>
              <w:right w:val="single" w:color="auto" w:sz="4" w:space="0"/>
            </w:tcBorders>
            <w:vAlign w:val="center"/>
          </w:tcPr>
          <w:p w14:paraId="3D75688D">
            <w:pPr>
              <w:adjustRightInd w:val="0"/>
              <w:snapToGrid w:val="0"/>
              <w:spacing w:line="240" w:lineRule="auto"/>
              <w:ind w:firstLine="0" w:firstLineChars="0"/>
              <w:jc w:val="center"/>
              <w:rPr>
                <w:rFonts w:hint="default" w:ascii="Times New Roman" w:hAnsi="Times New Roman" w:eastAsia="仿宋" w:cs="Times New Roman"/>
                <w:spacing w:val="-4"/>
                <w:sz w:val="21"/>
                <w:szCs w:val="21"/>
              </w:rPr>
            </w:pPr>
            <w:r>
              <w:rPr>
                <w:rFonts w:hint="default" w:ascii="Times New Roman" w:hAnsi="Times New Roman" w:eastAsia="仿宋" w:cs="Times New Roman"/>
                <w:sz w:val="21"/>
                <w:szCs w:val="21"/>
                <w14:ligatures w14:val="standardContextual"/>
              </w:rPr>
              <w:t>100</w:t>
            </w:r>
            <w:r>
              <w:rPr>
                <w:rFonts w:hint="default" w:ascii="Times New Roman" w:hAnsi="Times New Roman" w:eastAsia="仿宋" w:cs="Times New Roman"/>
                <w:spacing w:val="-4"/>
                <w:sz w:val="21"/>
                <w:szCs w:val="21"/>
                <w14:ligatures w14:val="standardContextual"/>
              </w:rPr>
              <w:t> </w:t>
            </w:r>
          </w:p>
        </w:tc>
        <w:tc>
          <w:tcPr>
            <w:tcW w:w="1195" w:type="dxa"/>
            <w:tcBorders>
              <w:top w:val="single" w:color="auto" w:sz="4" w:space="0"/>
              <w:left w:val="single" w:color="auto" w:sz="4" w:space="0"/>
              <w:bottom w:val="single" w:color="auto" w:sz="4" w:space="0"/>
              <w:right w:val="single" w:color="auto" w:sz="4" w:space="0"/>
            </w:tcBorders>
            <w:vAlign w:val="center"/>
          </w:tcPr>
          <w:p w14:paraId="196E42C9">
            <w:pPr>
              <w:adjustRightInd w:val="0"/>
              <w:snapToGrid w:val="0"/>
              <w:spacing w:line="240" w:lineRule="auto"/>
              <w:ind w:firstLine="0" w:firstLineChars="0"/>
              <w:jc w:val="center"/>
              <w:rPr>
                <w:rFonts w:hint="default" w:ascii="Times New Roman" w:hAnsi="Times New Roman" w:eastAsia="仿宋" w:cs="Times New Roman"/>
                <w:spacing w:val="-4"/>
                <w:sz w:val="21"/>
                <w:szCs w:val="21"/>
              </w:rPr>
            </w:pPr>
            <w:r>
              <w:rPr>
                <w:rFonts w:hint="default" w:ascii="Times New Roman" w:hAnsi="Times New Roman" w:eastAsia="仿宋" w:cs="Times New Roman"/>
                <w:spacing w:val="-4"/>
                <w:sz w:val="21"/>
                <w:szCs w:val="21"/>
              </w:rPr>
              <w:t>达标</w:t>
            </w:r>
          </w:p>
        </w:tc>
      </w:tr>
      <w:tr w14:paraId="51EC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D3B3104">
            <w:pPr>
              <w:widowControl/>
              <w:spacing w:line="240" w:lineRule="auto"/>
              <w:ind w:firstLine="0" w:firstLineChars="0"/>
              <w:jc w:val="left"/>
              <w:rPr>
                <w:rFonts w:hint="default" w:ascii="Times New Roman" w:hAnsi="Times New Roman" w:eastAsia="仿宋"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64C67EB">
            <w:pPr>
              <w:widowControl/>
              <w:spacing w:line="240" w:lineRule="auto"/>
              <w:ind w:firstLine="0" w:firstLineChars="0"/>
              <w:jc w:val="left"/>
              <w:rPr>
                <w:rFonts w:hint="default" w:ascii="Times New Roman" w:hAnsi="Times New Roman" w:eastAsia="仿宋"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EE1FAC2">
            <w:pPr>
              <w:widowControl/>
              <w:spacing w:line="240" w:lineRule="auto"/>
              <w:ind w:firstLine="0" w:firstLineChars="0"/>
              <w:jc w:val="left"/>
              <w:rPr>
                <w:rFonts w:hint="default" w:ascii="Times New Roman" w:hAnsi="Times New Roman" w:eastAsia="仿宋" w:cs="Times New Roman"/>
                <w:sz w:val="21"/>
                <w:szCs w:val="21"/>
              </w:rPr>
            </w:pPr>
          </w:p>
        </w:tc>
        <w:tc>
          <w:tcPr>
            <w:tcW w:w="2662" w:type="dxa"/>
            <w:tcBorders>
              <w:top w:val="single" w:color="auto" w:sz="4" w:space="0"/>
              <w:left w:val="single" w:color="auto" w:sz="4" w:space="0"/>
              <w:bottom w:val="single" w:color="auto" w:sz="4" w:space="0"/>
              <w:right w:val="single" w:color="auto" w:sz="4" w:space="0"/>
            </w:tcBorders>
            <w:vAlign w:val="center"/>
          </w:tcPr>
          <w:p w14:paraId="1892B2DE">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县城污水处理率</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408B8B6">
            <w:pPr>
              <w:widowControl/>
              <w:spacing w:line="240" w:lineRule="auto"/>
              <w:ind w:firstLine="0" w:firstLineChars="0"/>
              <w:jc w:val="left"/>
              <w:rPr>
                <w:rFonts w:hint="default" w:ascii="Times New Roman" w:hAnsi="Times New Roman" w:eastAsia="仿宋" w:cs="Times New Roman"/>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5763C23">
            <w:pPr>
              <w:adjustRightInd w:val="0"/>
              <w:snapToGrid w:val="0"/>
              <w:spacing w:line="240" w:lineRule="auto"/>
              <w:ind w:firstLine="0" w:firstLineChars="0"/>
              <w:jc w:val="center"/>
              <w:rPr>
                <w:rFonts w:hint="default" w:ascii="Times New Roman" w:hAnsi="Times New Roman" w:eastAsia="仿宋" w:cs="Times New Roman"/>
                <w:spacing w:val="-4"/>
                <w:kern w:val="0"/>
                <w:sz w:val="21"/>
                <w:szCs w:val="21"/>
              </w:rPr>
            </w:pPr>
            <w:r>
              <w:rPr>
                <w:rFonts w:hint="default" w:ascii="Times New Roman" w:hAnsi="Times New Roman" w:eastAsia="仿宋" w:cs="Times New Roman"/>
                <w:kern w:val="0"/>
                <w:sz w:val="21"/>
                <w:szCs w:val="21"/>
              </w:rPr>
              <w:t>≥95</w:t>
            </w:r>
          </w:p>
        </w:tc>
        <w:tc>
          <w:tcPr>
            <w:tcW w:w="1843" w:type="dxa"/>
            <w:tcBorders>
              <w:top w:val="single" w:color="auto" w:sz="4" w:space="0"/>
              <w:left w:val="single" w:color="auto" w:sz="4" w:space="0"/>
              <w:bottom w:val="single" w:color="auto" w:sz="4" w:space="0"/>
              <w:right w:val="single" w:color="auto" w:sz="4" w:space="0"/>
            </w:tcBorders>
            <w:vAlign w:val="center"/>
          </w:tcPr>
          <w:p w14:paraId="0C47CF08">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98.4</w:t>
            </w:r>
          </w:p>
        </w:tc>
        <w:tc>
          <w:tcPr>
            <w:tcW w:w="1843" w:type="dxa"/>
            <w:tcBorders>
              <w:top w:val="single" w:color="auto" w:sz="4" w:space="0"/>
              <w:left w:val="single" w:color="auto" w:sz="4" w:space="0"/>
              <w:bottom w:val="single" w:color="auto" w:sz="4" w:space="0"/>
              <w:right w:val="single" w:color="auto" w:sz="4" w:space="0"/>
            </w:tcBorders>
            <w:vAlign w:val="center"/>
          </w:tcPr>
          <w:p w14:paraId="58DC937F">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sz w:val="21"/>
                <w:szCs w:val="21"/>
                <w14:ligatures w14:val="standardContextual"/>
              </w:rPr>
              <w:t>98.5</w:t>
            </w:r>
          </w:p>
        </w:tc>
        <w:tc>
          <w:tcPr>
            <w:tcW w:w="1559" w:type="dxa"/>
            <w:tcBorders>
              <w:top w:val="single" w:color="auto" w:sz="4" w:space="0"/>
              <w:left w:val="single" w:color="auto" w:sz="4" w:space="0"/>
              <w:bottom w:val="single" w:color="auto" w:sz="4" w:space="0"/>
              <w:right w:val="single" w:color="auto" w:sz="4" w:space="0"/>
            </w:tcBorders>
            <w:vAlign w:val="center"/>
          </w:tcPr>
          <w:p w14:paraId="24358345">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sz w:val="21"/>
                <w:szCs w:val="21"/>
                <w14:ligatures w14:val="standardContextual"/>
              </w:rPr>
              <w:t>99 </w:t>
            </w:r>
          </w:p>
        </w:tc>
        <w:tc>
          <w:tcPr>
            <w:tcW w:w="1195" w:type="dxa"/>
            <w:tcBorders>
              <w:top w:val="single" w:color="auto" w:sz="4" w:space="0"/>
              <w:left w:val="single" w:color="auto" w:sz="4" w:space="0"/>
              <w:bottom w:val="single" w:color="auto" w:sz="4" w:space="0"/>
              <w:right w:val="single" w:color="auto" w:sz="4" w:space="0"/>
            </w:tcBorders>
            <w:vAlign w:val="center"/>
          </w:tcPr>
          <w:p w14:paraId="2450E642">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达标</w:t>
            </w:r>
          </w:p>
        </w:tc>
      </w:tr>
      <w:tr w14:paraId="7B9F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DA27FFC">
            <w:pPr>
              <w:widowControl/>
              <w:spacing w:line="240" w:lineRule="auto"/>
              <w:ind w:firstLine="0" w:firstLineChars="0"/>
              <w:jc w:val="left"/>
              <w:rPr>
                <w:rFonts w:hint="default" w:ascii="Times New Roman" w:hAnsi="Times New Roman" w:eastAsia="仿宋"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3C1897C">
            <w:pPr>
              <w:widowControl/>
              <w:spacing w:line="240" w:lineRule="auto"/>
              <w:ind w:firstLine="0" w:firstLineChars="0"/>
              <w:jc w:val="left"/>
              <w:rPr>
                <w:rFonts w:hint="default" w:ascii="Times New Roman" w:hAnsi="Times New Roman" w:eastAsia="仿宋"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4489D0A">
            <w:pPr>
              <w:widowControl/>
              <w:spacing w:line="240" w:lineRule="auto"/>
              <w:ind w:firstLine="0" w:firstLineChars="0"/>
              <w:jc w:val="left"/>
              <w:rPr>
                <w:rFonts w:hint="default" w:ascii="Times New Roman" w:hAnsi="Times New Roman" w:eastAsia="仿宋" w:cs="Times New Roman"/>
                <w:sz w:val="21"/>
                <w:szCs w:val="21"/>
              </w:rPr>
            </w:pPr>
          </w:p>
        </w:tc>
        <w:tc>
          <w:tcPr>
            <w:tcW w:w="2662" w:type="dxa"/>
            <w:tcBorders>
              <w:top w:val="single" w:color="auto" w:sz="4" w:space="0"/>
              <w:left w:val="single" w:color="auto" w:sz="4" w:space="0"/>
              <w:bottom w:val="single" w:color="auto" w:sz="4" w:space="0"/>
              <w:right w:val="single" w:color="auto" w:sz="4" w:space="0"/>
            </w:tcBorders>
            <w:vAlign w:val="center"/>
          </w:tcPr>
          <w:p w14:paraId="4ABE4BDD">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县城城市建成区黑臭水体消除率</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C9B33EE">
            <w:pPr>
              <w:widowControl/>
              <w:spacing w:line="240" w:lineRule="auto"/>
              <w:ind w:firstLine="0" w:firstLineChars="0"/>
              <w:jc w:val="left"/>
              <w:rPr>
                <w:rFonts w:hint="default" w:ascii="Times New Roman" w:hAnsi="Times New Roman" w:eastAsia="仿宋" w:cs="Times New Roman"/>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7B8B492B">
            <w:pPr>
              <w:adjustRightInd w:val="0"/>
              <w:snapToGrid w:val="0"/>
              <w:spacing w:line="240" w:lineRule="auto"/>
              <w:ind w:firstLine="0" w:firstLineChars="0"/>
              <w:jc w:val="center"/>
              <w:rPr>
                <w:rFonts w:hint="default" w:ascii="Times New Roman" w:hAnsi="Times New Roman" w:eastAsia="仿宋" w:cs="Times New Roman"/>
                <w:spacing w:val="-4"/>
                <w:sz w:val="21"/>
                <w:szCs w:val="21"/>
              </w:rPr>
            </w:pPr>
            <w:r>
              <w:rPr>
                <w:rFonts w:hint="default" w:ascii="Times New Roman" w:hAnsi="Times New Roman" w:eastAsia="仿宋" w:cs="Times New Roman"/>
                <w:spacing w:val="-4"/>
                <w:sz w:val="21"/>
                <w:szCs w:val="21"/>
              </w:rPr>
              <w:t>100</w:t>
            </w:r>
          </w:p>
        </w:tc>
        <w:tc>
          <w:tcPr>
            <w:tcW w:w="1843" w:type="dxa"/>
            <w:tcBorders>
              <w:top w:val="single" w:color="auto" w:sz="4" w:space="0"/>
              <w:left w:val="single" w:color="auto" w:sz="4" w:space="0"/>
              <w:bottom w:val="single" w:color="auto" w:sz="4" w:space="0"/>
              <w:right w:val="single" w:color="auto" w:sz="4" w:space="0"/>
            </w:tcBorders>
            <w:vAlign w:val="center"/>
          </w:tcPr>
          <w:p w14:paraId="734896BF">
            <w:pPr>
              <w:adjustRightInd w:val="0"/>
              <w:snapToGrid w:val="0"/>
              <w:spacing w:line="240" w:lineRule="auto"/>
              <w:ind w:firstLine="0" w:firstLineChars="0"/>
              <w:jc w:val="center"/>
              <w:rPr>
                <w:rFonts w:hint="default" w:ascii="Times New Roman" w:hAnsi="Times New Roman" w:eastAsia="仿宋" w:cs="Times New Roman"/>
                <w:spacing w:val="-4"/>
                <w:sz w:val="21"/>
                <w:szCs w:val="21"/>
              </w:rPr>
            </w:pPr>
            <w:r>
              <w:rPr>
                <w:rFonts w:hint="default" w:ascii="Times New Roman" w:hAnsi="Times New Roman" w:eastAsia="仿宋" w:cs="Times New Roman"/>
                <w:spacing w:val="-4"/>
                <w:sz w:val="21"/>
                <w:szCs w:val="21"/>
                <w14:ligatures w14:val="standardContextual"/>
              </w:rPr>
              <w:t>100</w:t>
            </w:r>
          </w:p>
        </w:tc>
        <w:tc>
          <w:tcPr>
            <w:tcW w:w="1843" w:type="dxa"/>
            <w:tcBorders>
              <w:top w:val="single" w:color="auto" w:sz="4" w:space="0"/>
              <w:left w:val="single" w:color="auto" w:sz="4" w:space="0"/>
              <w:bottom w:val="single" w:color="auto" w:sz="4" w:space="0"/>
              <w:right w:val="single" w:color="auto" w:sz="4" w:space="0"/>
            </w:tcBorders>
            <w:vAlign w:val="center"/>
          </w:tcPr>
          <w:p w14:paraId="0DE5B1E4">
            <w:pPr>
              <w:adjustRightInd w:val="0"/>
              <w:snapToGrid w:val="0"/>
              <w:spacing w:line="240" w:lineRule="auto"/>
              <w:ind w:firstLine="0" w:firstLineChars="0"/>
              <w:jc w:val="center"/>
              <w:rPr>
                <w:rFonts w:hint="default" w:ascii="Times New Roman" w:hAnsi="Times New Roman" w:eastAsia="仿宋" w:cs="Times New Roman"/>
                <w:spacing w:val="-4"/>
                <w:sz w:val="21"/>
                <w:szCs w:val="21"/>
              </w:rPr>
            </w:pPr>
            <w:r>
              <w:rPr>
                <w:rFonts w:hint="default" w:ascii="Times New Roman" w:hAnsi="Times New Roman" w:eastAsia="仿宋" w:cs="Times New Roman"/>
                <w:spacing w:val="-4"/>
                <w:sz w:val="21"/>
                <w:szCs w:val="21"/>
                <w14:ligatures w14:val="standardContextual"/>
              </w:rPr>
              <w:t>100</w:t>
            </w:r>
          </w:p>
        </w:tc>
        <w:tc>
          <w:tcPr>
            <w:tcW w:w="1559" w:type="dxa"/>
            <w:tcBorders>
              <w:top w:val="single" w:color="auto" w:sz="4" w:space="0"/>
              <w:left w:val="single" w:color="auto" w:sz="4" w:space="0"/>
              <w:bottom w:val="single" w:color="auto" w:sz="4" w:space="0"/>
              <w:right w:val="single" w:color="auto" w:sz="4" w:space="0"/>
            </w:tcBorders>
            <w:vAlign w:val="center"/>
          </w:tcPr>
          <w:p w14:paraId="0937E022">
            <w:pPr>
              <w:adjustRightInd w:val="0"/>
              <w:snapToGrid w:val="0"/>
              <w:spacing w:line="240" w:lineRule="auto"/>
              <w:ind w:firstLine="0" w:firstLineChars="0"/>
              <w:jc w:val="center"/>
              <w:rPr>
                <w:rFonts w:hint="default" w:ascii="Times New Roman" w:hAnsi="Times New Roman" w:eastAsia="仿宋" w:cs="Times New Roman"/>
                <w:spacing w:val="-4"/>
                <w:sz w:val="21"/>
                <w:szCs w:val="21"/>
              </w:rPr>
            </w:pPr>
            <w:r>
              <w:rPr>
                <w:rFonts w:hint="default" w:ascii="Times New Roman" w:hAnsi="Times New Roman" w:eastAsia="仿宋" w:cs="Times New Roman"/>
                <w:spacing w:val="-4"/>
                <w:sz w:val="21"/>
                <w:szCs w:val="21"/>
                <w14:ligatures w14:val="standardContextual"/>
              </w:rPr>
              <w:t>100</w:t>
            </w:r>
          </w:p>
        </w:tc>
        <w:tc>
          <w:tcPr>
            <w:tcW w:w="1195" w:type="dxa"/>
            <w:tcBorders>
              <w:top w:val="single" w:color="auto" w:sz="4" w:space="0"/>
              <w:left w:val="single" w:color="auto" w:sz="4" w:space="0"/>
              <w:bottom w:val="single" w:color="auto" w:sz="4" w:space="0"/>
              <w:right w:val="single" w:color="auto" w:sz="4" w:space="0"/>
            </w:tcBorders>
            <w:vAlign w:val="center"/>
          </w:tcPr>
          <w:p w14:paraId="0959E625">
            <w:pPr>
              <w:adjustRightInd w:val="0"/>
              <w:snapToGrid w:val="0"/>
              <w:spacing w:line="240" w:lineRule="auto"/>
              <w:ind w:firstLine="0" w:firstLineChars="0"/>
              <w:jc w:val="center"/>
              <w:rPr>
                <w:rFonts w:hint="default" w:ascii="Times New Roman" w:hAnsi="Times New Roman" w:eastAsia="仿宋" w:cs="Times New Roman"/>
                <w:spacing w:val="-4"/>
                <w:sz w:val="21"/>
                <w:szCs w:val="21"/>
              </w:rPr>
            </w:pPr>
            <w:r>
              <w:rPr>
                <w:rFonts w:hint="default" w:ascii="Times New Roman" w:hAnsi="Times New Roman" w:eastAsia="仿宋" w:cs="Times New Roman"/>
                <w:spacing w:val="-4"/>
                <w:sz w:val="21"/>
                <w:szCs w:val="21"/>
              </w:rPr>
              <w:t>达标</w:t>
            </w:r>
          </w:p>
        </w:tc>
      </w:tr>
      <w:tr w14:paraId="4F4D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4175F65">
            <w:pPr>
              <w:widowControl/>
              <w:spacing w:line="240" w:lineRule="auto"/>
              <w:ind w:firstLine="0" w:firstLineChars="0"/>
              <w:jc w:val="left"/>
              <w:rPr>
                <w:rFonts w:hint="default" w:ascii="Times New Roman" w:hAnsi="Times New Roman" w:eastAsia="仿宋"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CC7B286">
            <w:pPr>
              <w:widowControl/>
              <w:spacing w:line="240" w:lineRule="auto"/>
              <w:ind w:firstLine="0" w:firstLineChars="0"/>
              <w:jc w:val="left"/>
              <w:rPr>
                <w:rFonts w:hint="default" w:ascii="Times New Roman" w:hAnsi="Times New Roman" w:eastAsia="仿宋"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18B2085">
            <w:pPr>
              <w:widowControl/>
              <w:spacing w:line="240" w:lineRule="auto"/>
              <w:ind w:firstLine="0" w:firstLineChars="0"/>
              <w:jc w:val="left"/>
              <w:rPr>
                <w:rFonts w:hint="default" w:ascii="Times New Roman" w:hAnsi="Times New Roman" w:eastAsia="仿宋" w:cs="Times New Roman"/>
                <w:sz w:val="21"/>
                <w:szCs w:val="21"/>
              </w:rPr>
            </w:pPr>
          </w:p>
        </w:tc>
        <w:tc>
          <w:tcPr>
            <w:tcW w:w="2662" w:type="dxa"/>
            <w:tcBorders>
              <w:top w:val="single" w:color="auto" w:sz="4" w:space="0"/>
              <w:left w:val="single" w:color="auto" w:sz="4" w:space="0"/>
              <w:bottom w:val="single" w:color="auto" w:sz="4" w:space="0"/>
              <w:right w:val="single" w:color="auto" w:sz="4" w:space="0"/>
            </w:tcBorders>
            <w:vAlign w:val="center"/>
          </w:tcPr>
          <w:p w14:paraId="58D0B2BC">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较大面积农村黑臭水体整治率</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591D2AE">
            <w:pPr>
              <w:widowControl/>
              <w:spacing w:line="240" w:lineRule="auto"/>
              <w:ind w:firstLine="0" w:firstLineChars="0"/>
              <w:jc w:val="left"/>
              <w:rPr>
                <w:rFonts w:hint="default" w:ascii="Times New Roman" w:hAnsi="Times New Roman" w:eastAsia="仿宋" w:cs="Times New Roman"/>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0CD6A996">
            <w:pPr>
              <w:adjustRightInd w:val="0"/>
              <w:snapToGrid w:val="0"/>
              <w:spacing w:line="240" w:lineRule="auto"/>
              <w:ind w:firstLine="0" w:firstLineChars="0"/>
              <w:jc w:val="center"/>
              <w:rPr>
                <w:rFonts w:hint="default" w:ascii="Times New Roman" w:hAnsi="Times New Roman" w:eastAsia="仿宋" w:cs="Times New Roman"/>
                <w:spacing w:val="-4"/>
                <w:sz w:val="21"/>
                <w:szCs w:val="21"/>
              </w:rPr>
            </w:pPr>
            <w:r>
              <w:rPr>
                <w:rFonts w:hint="default" w:ascii="Times New Roman" w:hAnsi="Times New Roman" w:eastAsia="仿宋" w:cs="Times New Roman"/>
                <w:spacing w:val="-4"/>
                <w:sz w:val="21"/>
                <w:szCs w:val="21"/>
              </w:rPr>
              <w:t>100</w:t>
            </w:r>
          </w:p>
        </w:tc>
        <w:tc>
          <w:tcPr>
            <w:tcW w:w="1843" w:type="dxa"/>
            <w:tcBorders>
              <w:top w:val="single" w:color="auto" w:sz="4" w:space="0"/>
              <w:left w:val="single" w:color="auto" w:sz="4" w:space="0"/>
              <w:bottom w:val="single" w:color="auto" w:sz="4" w:space="0"/>
              <w:right w:val="single" w:color="auto" w:sz="4" w:space="0"/>
            </w:tcBorders>
            <w:vAlign w:val="center"/>
          </w:tcPr>
          <w:p w14:paraId="26DB31B3">
            <w:pPr>
              <w:adjustRightInd w:val="0"/>
              <w:snapToGrid w:val="0"/>
              <w:spacing w:line="240" w:lineRule="auto"/>
              <w:ind w:firstLine="0" w:firstLineChars="0"/>
              <w:jc w:val="center"/>
              <w:rPr>
                <w:rFonts w:hint="default" w:ascii="Times New Roman" w:hAnsi="Times New Roman" w:eastAsia="仿宋" w:cs="Times New Roman"/>
                <w:spacing w:val="-4"/>
                <w:sz w:val="21"/>
                <w:szCs w:val="21"/>
              </w:rPr>
            </w:pPr>
            <w:r>
              <w:rPr>
                <w:rFonts w:hint="default" w:ascii="Times New Roman" w:hAnsi="Times New Roman" w:eastAsia="仿宋" w:cs="Times New Roman"/>
                <w:spacing w:val="-4"/>
                <w:sz w:val="21"/>
                <w:szCs w:val="21"/>
              </w:rPr>
              <w:t>不涉及</w:t>
            </w:r>
          </w:p>
        </w:tc>
        <w:tc>
          <w:tcPr>
            <w:tcW w:w="1843" w:type="dxa"/>
            <w:tcBorders>
              <w:top w:val="single" w:color="auto" w:sz="4" w:space="0"/>
              <w:left w:val="single" w:color="auto" w:sz="4" w:space="0"/>
              <w:bottom w:val="single" w:color="auto" w:sz="4" w:space="0"/>
              <w:right w:val="single" w:color="auto" w:sz="4" w:space="0"/>
            </w:tcBorders>
            <w:vAlign w:val="center"/>
          </w:tcPr>
          <w:p w14:paraId="502BDEDF">
            <w:pPr>
              <w:adjustRightInd w:val="0"/>
              <w:snapToGrid w:val="0"/>
              <w:spacing w:line="240" w:lineRule="auto"/>
              <w:ind w:firstLine="0" w:firstLineChars="0"/>
              <w:jc w:val="center"/>
              <w:rPr>
                <w:rFonts w:hint="default" w:ascii="Times New Roman" w:hAnsi="Times New Roman" w:eastAsia="仿宋" w:cs="Times New Roman"/>
                <w:spacing w:val="-4"/>
                <w:sz w:val="21"/>
                <w:szCs w:val="21"/>
              </w:rPr>
            </w:pPr>
            <w:r>
              <w:rPr>
                <w:rFonts w:hint="default" w:ascii="Times New Roman" w:hAnsi="Times New Roman" w:eastAsia="仿宋" w:cs="Times New Roman"/>
                <w:spacing w:val="-4"/>
                <w:sz w:val="21"/>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14:paraId="799858DD">
            <w:pPr>
              <w:adjustRightInd w:val="0"/>
              <w:snapToGrid w:val="0"/>
              <w:spacing w:line="240" w:lineRule="auto"/>
              <w:ind w:firstLine="0" w:firstLineChars="0"/>
              <w:jc w:val="center"/>
              <w:rPr>
                <w:rFonts w:hint="default" w:ascii="Times New Roman" w:hAnsi="Times New Roman" w:eastAsia="仿宋" w:cs="Times New Roman"/>
                <w:spacing w:val="-4"/>
                <w:sz w:val="21"/>
                <w:szCs w:val="21"/>
              </w:rPr>
            </w:pPr>
            <w:r>
              <w:rPr>
                <w:rFonts w:hint="default" w:ascii="Times New Roman" w:hAnsi="Times New Roman" w:eastAsia="仿宋" w:cs="Times New Roman"/>
                <w:spacing w:val="-4"/>
                <w:sz w:val="21"/>
                <w:szCs w:val="21"/>
              </w:rPr>
              <w:t>/</w:t>
            </w:r>
          </w:p>
        </w:tc>
        <w:tc>
          <w:tcPr>
            <w:tcW w:w="1195" w:type="dxa"/>
            <w:tcBorders>
              <w:top w:val="single" w:color="auto" w:sz="4" w:space="0"/>
              <w:left w:val="single" w:color="auto" w:sz="4" w:space="0"/>
              <w:bottom w:val="single" w:color="auto" w:sz="4" w:space="0"/>
              <w:right w:val="single" w:color="auto" w:sz="4" w:space="0"/>
            </w:tcBorders>
            <w:vAlign w:val="center"/>
          </w:tcPr>
          <w:p w14:paraId="5A5B3951">
            <w:pPr>
              <w:adjustRightInd w:val="0"/>
              <w:snapToGrid w:val="0"/>
              <w:spacing w:line="240" w:lineRule="auto"/>
              <w:ind w:firstLine="0" w:firstLineChars="0"/>
              <w:jc w:val="center"/>
              <w:rPr>
                <w:rFonts w:hint="default" w:ascii="Times New Roman" w:hAnsi="Times New Roman" w:eastAsia="仿宋" w:cs="Times New Roman"/>
                <w:spacing w:val="-4"/>
                <w:sz w:val="21"/>
                <w:szCs w:val="21"/>
              </w:rPr>
            </w:pPr>
            <w:r>
              <w:rPr>
                <w:rFonts w:hint="default" w:ascii="Times New Roman" w:hAnsi="Times New Roman" w:eastAsia="仿宋" w:cs="Times New Roman"/>
                <w:spacing w:val="-4"/>
                <w:sz w:val="21"/>
                <w:szCs w:val="21"/>
              </w:rPr>
              <w:t>/</w:t>
            </w:r>
          </w:p>
        </w:tc>
      </w:tr>
      <w:tr w14:paraId="39D3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23538A9">
            <w:pPr>
              <w:widowControl/>
              <w:spacing w:line="240" w:lineRule="auto"/>
              <w:ind w:firstLine="0" w:firstLineChars="0"/>
              <w:jc w:val="left"/>
              <w:rPr>
                <w:rFonts w:hint="default" w:ascii="Times New Roman" w:hAnsi="Times New Roman" w:eastAsia="仿宋" w:cs="Times New Roman"/>
                <w:sz w:val="21"/>
                <w:szCs w:val="21"/>
              </w:rPr>
            </w:pPr>
          </w:p>
        </w:tc>
        <w:tc>
          <w:tcPr>
            <w:tcW w:w="702" w:type="dxa"/>
            <w:vMerge w:val="restart"/>
            <w:tcBorders>
              <w:top w:val="single" w:color="auto" w:sz="4" w:space="0"/>
              <w:left w:val="single" w:color="auto" w:sz="4" w:space="0"/>
              <w:bottom w:val="single" w:color="auto" w:sz="4" w:space="0"/>
              <w:right w:val="single" w:color="auto" w:sz="4" w:space="0"/>
            </w:tcBorders>
            <w:vAlign w:val="center"/>
          </w:tcPr>
          <w:p w14:paraId="77D0BBCE">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（三）</w:t>
            </w:r>
          </w:p>
          <w:p w14:paraId="03D58371">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生态质量提升</w:t>
            </w:r>
          </w:p>
        </w:tc>
        <w:tc>
          <w:tcPr>
            <w:tcW w:w="532" w:type="dxa"/>
            <w:vMerge w:val="restart"/>
            <w:tcBorders>
              <w:top w:val="single" w:color="auto" w:sz="4" w:space="0"/>
              <w:left w:val="single" w:color="auto" w:sz="4" w:space="0"/>
              <w:bottom w:val="single" w:color="auto" w:sz="4" w:space="0"/>
              <w:right w:val="single" w:color="auto" w:sz="4" w:space="0"/>
            </w:tcBorders>
            <w:vAlign w:val="center"/>
          </w:tcPr>
          <w:p w14:paraId="380992D5">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6</w:t>
            </w:r>
          </w:p>
        </w:tc>
        <w:tc>
          <w:tcPr>
            <w:tcW w:w="12079" w:type="dxa"/>
            <w:gridSpan w:val="7"/>
            <w:tcBorders>
              <w:top w:val="single" w:color="auto" w:sz="4" w:space="0"/>
              <w:left w:val="single" w:color="auto" w:sz="4" w:space="0"/>
              <w:bottom w:val="single" w:color="auto" w:sz="4" w:space="0"/>
              <w:right w:val="single" w:color="auto" w:sz="4" w:space="0"/>
            </w:tcBorders>
            <w:vAlign w:val="center"/>
          </w:tcPr>
          <w:p w14:paraId="5843D708">
            <w:pPr>
              <w:adjustRightInd w:val="0"/>
              <w:snapToGrid w:val="0"/>
              <w:spacing w:line="240" w:lineRule="auto"/>
              <w:ind w:firstLine="0" w:firstLineChars="0"/>
              <w:jc w:val="left"/>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区域生态保护监管</w:t>
            </w:r>
          </w:p>
        </w:tc>
      </w:tr>
      <w:tr w14:paraId="6964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A4BE2DB">
            <w:pPr>
              <w:widowControl/>
              <w:spacing w:line="240" w:lineRule="auto"/>
              <w:ind w:firstLine="0" w:firstLineChars="0"/>
              <w:jc w:val="left"/>
              <w:rPr>
                <w:rFonts w:hint="default" w:ascii="Times New Roman" w:hAnsi="Times New Roman" w:eastAsia="仿宋"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D1DD4B4">
            <w:pPr>
              <w:widowControl/>
              <w:spacing w:line="240" w:lineRule="auto"/>
              <w:ind w:firstLine="0" w:firstLineChars="0"/>
              <w:jc w:val="left"/>
              <w:rPr>
                <w:rFonts w:hint="default" w:ascii="Times New Roman" w:hAnsi="Times New Roman" w:eastAsia="仿宋"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20FB124">
            <w:pPr>
              <w:widowControl/>
              <w:spacing w:line="240" w:lineRule="auto"/>
              <w:ind w:firstLine="0" w:firstLineChars="0"/>
              <w:jc w:val="left"/>
              <w:rPr>
                <w:rFonts w:hint="default" w:ascii="Times New Roman" w:hAnsi="Times New Roman" w:eastAsia="仿宋" w:cs="Times New Roman"/>
                <w:sz w:val="21"/>
                <w:szCs w:val="21"/>
              </w:rPr>
            </w:pPr>
          </w:p>
        </w:tc>
        <w:tc>
          <w:tcPr>
            <w:tcW w:w="2662" w:type="dxa"/>
            <w:tcBorders>
              <w:top w:val="single" w:color="auto" w:sz="4" w:space="0"/>
              <w:left w:val="single" w:color="auto" w:sz="4" w:space="0"/>
              <w:bottom w:val="single" w:color="auto" w:sz="4" w:space="0"/>
              <w:right w:val="single" w:color="auto" w:sz="4" w:space="0"/>
            </w:tcBorders>
            <w:vAlign w:val="center"/>
          </w:tcPr>
          <w:p w14:paraId="4C32E84C">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生态质量指数（EQI）</w:t>
            </w:r>
          </w:p>
        </w:tc>
        <w:tc>
          <w:tcPr>
            <w:tcW w:w="709" w:type="dxa"/>
            <w:tcBorders>
              <w:top w:val="single" w:color="auto" w:sz="4" w:space="0"/>
              <w:left w:val="single" w:color="auto" w:sz="4" w:space="0"/>
              <w:bottom w:val="single" w:color="auto" w:sz="4" w:space="0"/>
              <w:right w:val="single" w:color="auto" w:sz="4" w:space="0"/>
            </w:tcBorders>
            <w:vAlign w:val="center"/>
          </w:tcPr>
          <w:p w14:paraId="0A9B9300">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3C21F139">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cs="Times New Roman"/>
                <w:sz w:val="21"/>
                <w:szCs w:val="21"/>
              </w:rPr>
              <w:t>△</w:t>
            </w:r>
            <w:r>
              <w:rPr>
                <w:rFonts w:hint="default" w:ascii="Times New Roman" w:hAnsi="Times New Roman" w:eastAsia="仿宋" w:cs="Times New Roman"/>
                <w:sz w:val="21"/>
                <w:szCs w:val="21"/>
              </w:rPr>
              <w:t>EQI&gt;-1</w:t>
            </w:r>
          </w:p>
        </w:tc>
        <w:tc>
          <w:tcPr>
            <w:tcW w:w="1843" w:type="dxa"/>
            <w:tcBorders>
              <w:top w:val="single" w:color="auto" w:sz="4" w:space="0"/>
              <w:left w:val="single" w:color="auto" w:sz="4" w:space="0"/>
              <w:bottom w:val="single" w:color="auto" w:sz="4" w:space="0"/>
              <w:right w:val="single" w:color="auto" w:sz="4" w:space="0"/>
            </w:tcBorders>
            <w:vAlign w:val="center"/>
          </w:tcPr>
          <w:p w14:paraId="0B6450EB">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EQI=41.23</w:t>
            </w:r>
          </w:p>
          <w:p w14:paraId="12C6AC00">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△EQI=-0.11</w:t>
            </w:r>
          </w:p>
        </w:tc>
        <w:tc>
          <w:tcPr>
            <w:tcW w:w="1843" w:type="dxa"/>
            <w:tcBorders>
              <w:top w:val="single" w:color="auto" w:sz="4" w:space="0"/>
              <w:left w:val="single" w:color="auto" w:sz="4" w:space="0"/>
              <w:bottom w:val="single" w:color="auto" w:sz="4" w:space="0"/>
              <w:right w:val="single" w:color="auto" w:sz="4" w:space="0"/>
            </w:tcBorders>
            <w:vAlign w:val="center"/>
          </w:tcPr>
          <w:p w14:paraId="48D8F428">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cs="Times New Roman"/>
                <w:sz w:val="21"/>
                <w:szCs w:val="21"/>
              </w:rPr>
              <w:t>△</w:t>
            </w:r>
            <w:r>
              <w:rPr>
                <w:rFonts w:hint="default" w:ascii="Times New Roman" w:hAnsi="Times New Roman" w:eastAsia="仿宋" w:cs="Times New Roman"/>
                <w:sz w:val="21"/>
                <w:szCs w:val="21"/>
              </w:rPr>
              <w:t>EQI&gt;-1</w:t>
            </w:r>
          </w:p>
        </w:tc>
        <w:tc>
          <w:tcPr>
            <w:tcW w:w="1559" w:type="dxa"/>
            <w:tcBorders>
              <w:top w:val="single" w:color="auto" w:sz="4" w:space="0"/>
              <w:left w:val="single" w:color="auto" w:sz="4" w:space="0"/>
              <w:bottom w:val="single" w:color="auto" w:sz="4" w:space="0"/>
              <w:right w:val="single" w:color="auto" w:sz="4" w:space="0"/>
            </w:tcBorders>
            <w:vAlign w:val="center"/>
          </w:tcPr>
          <w:p w14:paraId="7E812CF1">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cs="Times New Roman"/>
                <w:sz w:val="21"/>
                <w:szCs w:val="21"/>
              </w:rPr>
              <w:t>△</w:t>
            </w:r>
            <w:r>
              <w:rPr>
                <w:rFonts w:hint="default" w:ascii="Times New Roman" w:hAnsi="Times New Roman" w:eastAsia="仿宋" w:cs="Times New Roman"/>
                <w:sz w:val="21"/>
                <w:szCs w:val="21"/>
              </w:rPr>
              <w:t>EQI&gt;-1</w:t>
            </w:r>
          </w:p>
        </w:tc>
        <w:tc>
          <w:tcPr>
            <w:tcW w:w="1195" w:type="dxa"/>
            <w:tcBorders>
              <w:top w:val="single" w:color="auto" w:sz="4" w:space="0"/>
              <w:left w:val="single" w:color="auto" w:sz="4" w:space="0"/>
              <w:bottom w:val="single" w:color="auto" w:sz="4" w:space="0"/>
              <w:right w:val="single" w:color="auto" w:sz="4" w:space="0"/>
            </w:tcBorders>
            <w:vAlign w:val="center"/>
          </w:tcPr>
          <w:p w14:paraId="1BDA3992">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pacing w:val="-4"/>
                <w:sz w:val="21"/>
                <w:szCs w:val="21"/>
              </w:rPr>
              <w:t>达标</w:t>
            </w:r>
          </w:p>
        </w:tc>
      </w:tr>
      <w:tr w14:paraId="0746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8E160FB">
            <w:pPr>
              <w:widowControl/>
              <w:spacing w:line="240" w:lineRule="auto"/>
              <w:ind w:firstLine="0" w:firstLineChars="0"/>
              <w:jc w:val="left"/>
              <w:rPr>
                <w:rFonts w:hint="default" w:ascii="Times New Roman" w:hAnsi="Times New Roman" w:eastAsia="仿宋"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FE81E6A">
            <w:pPr>
              <w:widowControl/>
              <w:spacing w:line="240" w:lineRule="auto"/>
              <w:ind w:firstLine="0" w:firstLineChars="0"/>
              <w:jc w:val="left"/>
              <w:rPr>
                <w:rFonts w:hint="default" w:ascii="Times New Roman" w:hAnsi="Times New Roman" w:eastAsia="仿宋"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E1A5D10">
            <w:pPr>
              <w:widowControl/>
              <w:spacing w:line="240" w:lineRule="auto"/>
              <w:ind w:firstLine="0" w:firstLineChars="0"/>
              <w:jc w:val="left"/>
              <w:rPr>
                <w:rFonts w:hint="default" w:ascii="Times New Roman" w:hAnsi="Times New Roman" w:eastAsia="仿宋" w:cs="Times New Roman"/>
                <w:sz w:val="21"/>
                <w:szCs w:val="21"/>
              </w:rPr>
            </w:pPr>
          </w:p>
        </w:tc>
        <w:tc>
          <w:tcPr>
            <w:tcW w:w="2662" w:type="dxa"/>
            <w:tcBorders>
              <w:top w:val="single" w:color="auto" w:sz="4" w:space="0"/>
              <w:left w:val="single" w:color="auto" w:sz="4" w:space="0"/>
              <w:bottom w:val="single" w:color="auto" w:sz="4" w:space="0"/>
              <w:right w:val="single" w:color="auto" w:sz="4" w:space="0"/>
            </w:tcBorders>
            <w:vAlign w:val="center"/>
          </w:tcPr>
          <w:p w14:paraId="610E875A">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自然保护地和生态保护红线生态环境重点问题整改率</w:t>
            </w:r>
          </w:p>
        </w:tc>
        <w:tc>
          <w:tcPr>
            <w:tcW w:w="709" w:type="dxa"/>
            <w:tcBorders>
              <w:top w:val="single" w:color="auto" w:sz="4" w:space="0"/>
              <w:left w:val="single" w:color="auto" w:sz="4" w:space="0"/>
              <w:bottom w:val="single" w:color="auto" w:sz="4" w:space="0"/>
              <w:right w:val="single" w:color="auto" w:sz="4" w:space="0"/>
            </w:tcBorders>
            <w:vAlign w:val="center"/>
          </w:tcPr>
          <w:p w14:paraId="1E209AA4">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25B60A7C">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100</w:t>
            </w:r>
          </w:p>
        </w:tc>
        <w:tc>
          <w:tcPr>
            <w:tcW w:w="1843" w:type="dxa"/>
            <w:tcBorders>
              <w:top w:val="single" w:color="auto" w:sz="4" w:space="0"/>
              <w:left w:val="single" w:color="auto" w:sz="4" w:space="0"/>
              <w:bottom w:val="single" w:color="auto" w:sz="4" w:space="0"/>
              <w:right w:val="single" w:color="auto" w:sz="4" w:space="0"/>
            </w:tcBorders>
            <w:vAlign w:val="center"/>
          </w:tcPr>
          <w:p w14:paraId="6C20A6C2">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14:ligatures w14:val="standardContextual"/>
              </w:rPr>
              <w:t>100</w:t>
            </w:r>
          </w:p>
        </w:tc>
        <w:tc>
          <w:tcPr>
            <w:tcW w:w="1843" w:type="dxa"/>
            <w:tcBorders>
              <w:top w:val="single" w:color="auto" w:sz="4" w:space="0"/>
              <w:left w:val="single" w:color="auto" w:sz="4" w:space="0"/>
              <w:bottom w:val="single" w:color="auto" w:sz="4" w:space="0"/>
              <w:right w:val="single" w:color="auto" w:sz="4" w:space="0"/>
            </w:tcBorders>
            <w:vAlign w:val="center"/>
          </w:tcPr>
          <w:p w14:paraId="4AA441B2">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14:ligatures w14:val="standardContextual"/>
              </w:rPr>
              <w:t>100</w:t>
            </w:r>
          </w:p>
        </w:tc>
        <w:tc>
          <w:tcPr>
            <w:tcW w:w="1559" w:type="dxa"/>
            <w:tcBorders>
              <w:top w:val="single" w:color="auto" w:sz="4" w:space="0"/>
              <w:left w:val="single" w:color="auto" w:sz="4" w:space="0"/>
              <w:bottom w:val="single" w:color="auto" w:sz="4" w:space="0"/>
              <w:right w:val="single" w:color="auto" w:sz="4" w:space="0"/>
            </w:tcBorders>
            <w:vAlign w:val="center"/>
          </w:tcPr>
          <w:p w14:paraId="1C172FAF">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14:ligatures w14:val="standardContextual"/>
              </w:rPr>
              <w:t>100</w:t>
            </w:r>
          </w:p>
        </w:tc>
        <w:tc>
          <w:tcPr>
            <w:tcW w:w="1195" w:type="dxa"/>
            <w:tcBorders>
              <w:top w:val="single" w:color="auto" w:sz="4" w:space="0"/>
              <w:left w:val="single" w:color="auto" w:sz="4" w:space="0"/>
              <w:bottom w:val="single" w:color="auto" w:sz="4" w:space="0"/>
              <w:right w:val="single" w:color="auto" w:sz="4" w:space="0"/>
            </w:tcBorders>
            <w:vAlign w:val="center"/>
          </w:tcPr>
          <w:p w14:paraId="3FC12BAE">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达标</w:t>
            </w:r>
          </w:p>
        </w:tc>
      </w:tr>
      <w:tr w14:paraId="6D4A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5AB3DD4">
            <w:pPr>
              <w:widowControl/>
              <w:spacing w:line="240" w:lineRule="auto"/>
              <w:ind w:firstLine="0" w:firstLineChars="0"/>
              <w:jc w:val="left"/>
              <w:rPr>
                <w:rFonts w:hint="default" w:ascii="Times New Roman" w:hAnsi="Times New Roman" w:eastAsia="仿宋"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530943E">
            <w:pPr>
              <w:widowControl/>
              <w:spacing w:line="240" w:lineRule="auto"/>
              <w:ind w:firstLine="0" w:firstLineChars="0"/>
              <w:jc w:val="left"/>
              <w:rPr>
                <w:rFonts w:hint="default" w:ascii="Times New Roman" w:hAnsi="Times New Roman" w:eastAsia="仿宋"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396ED0">
            <w:pPr>
              <w:widowControl/>
              <w:spacing w:line="240" w:lineRule="auto"/>
              <w:ind w:firstLine="0" w:firstLineChars="0"/>
              <w:jc w:val="left"/>
              <w:rPr>
                <w:rFonts w:hint="default" w:ascii="Times New Roman" w:hAnsi="Times New Roman" w:eastAsia="仿宋" w:cs="Times New Roman"/>
                <w:sz w:val="21"/>
                <w:szCs w:val="21"/>
              </w:rPr>
            </w:pPr>
          </w:p>
        </w:tc>
        <w:tc>
          <w:tcPr>
            <w:tcW w:w="2662" w:type="dxa"/>
            <w:tcBorders>
              <w:top w:val="single" w:color="auto" w:sz="4" w:space="0"/>
              <w:left w:val="single" w:color="auto" w:sz="4" w:space="0"/>
              <w:bottom w:val="single" w:color="auto" w:sz="4" w:space="0"/>
              <w:right w:val="single" w:color="auto" w:sz="4" w:space="0"/>
            </w:tcBorders>
            <w:vAlign w:val="center"/>
          </w:tcPr>
          <w:p w14:paraId="2A777EC6">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生物多样性调查</w:t>
            </w:r>
          </w:p>
        </w:tc>
        <w:tc>
          <w:tcPr>
            <w:tcW w:w="709" w:type="dxa"/>
            <w:tcBorders>
              <w:top w:val="single" w:color="auto" w:sz="4" w:space="0"/>
              <w:left w:val="single" w:color="auto" w:sz="4" w:space="0"/>
              <w:bottom w:val="single" w:color="auto" w:sz="4" w:space="0"/>
              <w:right w:val="single" w:color="auto" w:sz="4" w:space="0"/>
            </w:tcBorders>
            <w:vAlign w:val="center"/>
          </w:tcPr>
          <w:p w14:paraId="2CBFB4BC">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76E18CEE">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开展</w:t>
            </w:r>
          </w:p>
        </w:tc>
        <w:tc>
          <w:tcPr>
            <w:tcW w:w="1843" w:type="dxa"/>
            <w:tcBorders>
              <w:top w:val="single" w:color="auto" w:sz="4" w:space="0"/>
              <w:left w:val="single" w:color="auto" w:sz="4" w:space="0"/>
              <w:bottom w:val="single" w:color="auto" w:sz="4" w:space="0"/>
              <w:right w:val="single" w:color="auto" w:sz="4" w:space="0"/>
            </w:tcBorders>
            <w:vAlign w:val="center"/>
          </w:tcPr>
          <w:p w14:paraId="1FA833BF">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14:ligatures w14:val="standardContextual"/>
              </w:rPr>
              <w:t>开展</w:t>
            </w:r>
          </w:p>
        </w:tc>
        <w:tc>
          <w:tcPr>
            <w:tcW w:w="1843" w:type="dxa"/>
            <w:tcBorders>
              <w:top w:val="single" w:color="auto" w:sz="4" w:space="0"/>
              <w:left w:val="single" w:color="auto" w:sz="4" w:space="0"/>
              <w:bottom w:val="single" w:color="auto" w:sz="4" w:space="0"/>
              <w:right w:val="single" w:color="auto" w:sz="4" w:space="0"/>
            </w:tcBorders>
            <w:vAlign w:val="center"/>
          </w:tcPr>
          <w:p w14:paraId="1F8A3EC6">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14:ligatures w14:val="standardContextual"/>
              </w:rPr>
              <w:t>开展</w:t>
            </w:r>
          </w:p>
        </w:tc>
        <w:tc>
          <w:tcPr>
            <w:tcW w:w="1559" w:type="dxa"/>
            <w:tcBorders>
              <w:top w:val="single" w:color="auto" w:sz="4" w:space="0"/>
              <w:left w:val="single" w:color="auto" w:sz="4" w:space="0"/>
              <w:bottom w:val="single" w:color="auto" w:sz="4" w:space="0"/>
              <w:right w:val="single" w:color="auto" w:sz="4" w:space="0"/>
            </w:tcBorders>
            <w:vAlign w:val="center"/>
          </w:tcPr>
          <w:p w14:paraId="211D0300">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14:ligatures w14:val="standardContextual"/>
              </w:rPr>
              <w:t>开展</w:t>
            </w:r>
          </w:p>
        </w:tc>
        <w:tc>
          <w:tcPr>
            <w:tcW w:w="1195" w:type="dxa"/>
            <w:tcBorders>
              <w:top w:val="single" w:color="auto" w:sz="4" w:space="0"/>
              <w:left w:val="single" w:color="auto" w:sz="4" w:space="0"/>
              <w:bottom w:val="single" w:color="auto" w:sz="4" w:space="0"/>
              <w:right w:val="single" w:color="auto" w:sz="4" w:space="0"/>
            </w:tcBorders>
            <w:vAlign w:val="center"/>
          </w:tcPr>
          <w:p w14:paraId="0A414086">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达标</w:t>
            </w:r>
          </w:p>
        </w:tc>
      </w:tr>
      <w:tr w14:paraId="4E26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8033633">
            <w:pPr>
              <w:widowControl/>
              <w:spacing w:line="240" w:lineRule="auto"/>
              <w:ind w:firstLine="0" w:firstLineChars="0"/>
              <w:jc w:val="left"/>
              <w:rPr>
                <w:rFonts w:hint="default" w:ascii="Times New Roman" w:hAnsi="Times New Roman" w:eastAsia="仿宋"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CF76E6B">
            <w:pPr>
              <w:widowControl/>
              <w:spacing w:line="240" w:lineRule="auto"/>
              <w:ind w:firstLine="0" w:firstLineChars="0"/>
              <w:jc w:val="left"/>
              <w:rPr>
                <w:rFonts w:hint="default" w:ascii="Times New Roman" w:hAnsi="Times New Roman" w:eastAsia="仿宋" w:cs="Times New Roman"/>
                <w:sz w:val="21"/>
                <w:szCs w:val="21"/>
              </w:rPr>
            </w:pPr>
          </w:p>
        </w:tc>
        <w:tc>
          <w:tcPr>
            <w:tcW w:w="532" w:type="dxa"/>
            <w:vMerge w:val="restart"/>
            <w:tcBorders>
              <w:top w:val="single" w:color="auto" w:sz="4" w:space="0"/>
              <w:left w:val="single" w:color="auto" w:sz="4" w:space="0"/>
              <w:bottom w:val="single" w:color="auto" w:sz="4" w:space="0"/>
              <w:right w:val="single" w:color="auto" w:sz="4" w:space="0"/>
            </w:tcBorders>
            <w:vAlign w:val="center"/>
          </w:tcPr>
          <w:p w14:paraId="53505593">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7</w:t>
            </w:r>
          </w:p>
        </w:tc>
        <w:tc>
          <w:tcPr>
            <w:tcW w:w="12079" w:type="dxa"/>
            <w:gridSpan w:val="7"/>
            <w:tcBorders>
              <w:top w:val="single" w:color="auto" w:sz="4" w:space="0"/>
              <w:left w:val="single" w:color="auto" w:sz="4" w:space="0"/>
              <w:bottom w:val="single" w:color="auto" w:sz="4" w:space="0"/>
              <w:right w:val="single" w:color="auto" w:sz="4" w:space="0"/>
            </w:tcBorders>
            <w:vAlign w:val="center"/>
          </w:tcPr>
          <w:p w14:paraId="23A6A8B5">
            <w:pPr>
              <w:adjustRightInd w:val="0"/>
              <w:snapToGrid w:val="0"/>
              <w:spacing w:line="240" w:lineRule="auto"/>
              <w:ind w:firstLine="0" w:firstLineChars="0"/>
              <w:jc w:val="left"/>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生态系统保护修复</w:t>
            </w:r>
          </w:p>
        </w:tc>
      </w:tr>
      <w:tr w14:paraId="3E34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E8C73D6">
            <w:pPr>
              <w:widowControl/>
              <w:spacing w:line="240" w:lineRule="auto"/>
              <w:ind w:firstLine="0" w:firstLineChars="0"/>
              <w:jc w:val="left"/>
              <w:rPr>
                <w:rFonts w:hint="default" w:ascii="Times New Roman" w:hAnsi="Times New Roman" w:eastAsia="仿宋"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71B4ECF">
            <w:pPr>
              <w:widowControl/>
              <w:spacing w:line="240" w:lineRule="auto"/>
              <w:ind w:firstLine="0" w:firstLineChars="0"/>
              <w:jc w:val="left"/>
              <w:rPr>
                <w:rFonts w:hint="default" w:ascii="Times New Roman" w:hAnsi="Times New Roman" w:eastAsia="仿宋"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EB4756F">
            <w:pPr>
              <w:widowControl/>
              <w:spacing w:line="240" w:lineRule="auto"/>
              <w:ind w:firstLine="0" w:firstLineChars="0"/>
              <w:jc w:val="left"/>
              <w:rPr>
                <w:rFonts w:hint="default" w:ascii="Times New Roman" w:hAnsi="Times New Roman" w:eastAsia="仿宋" w:cs="Times New Roman"/>
                <w:sz w:val="21"/>
                <w:szCs w:val="21"/>
              </w:rPr>
            </w:pPr>
          </w:p>
        </w:tc>
        <w:tc>
          <w:tcPr>
            <w:tcW w:w="2662" w:type="dxa"/>
            <w:tcBorders>
              <w:top w:val="single" w:color="auto" w:sz="4" w:space="0"/>
              <w:left w:val="single" w:color="auto" w:sz="4" w:space="0"/>
              <w:bottom w:val="single" w:color="auto" w:sz="4" w:space="0"/>
              <w:right w:val="single" w:color="auto" w:sz="4" w:space="0"/>
            </w:tcBorders>
            <w:vAlign w:val="center"/>
          </w:tcPr>
          <w:p w14:paraId="228C6AE4">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森林覆盖率*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12BBF3DC">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1BBF0345">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保持稳定或持续改善</w:t>
            </w:r>
          </w:p>
        </w:tc>
        <w:tc>
          <w:tcPr>
            <w:tcW w:w="1843" w:type="dxa"/>
            <w:tcBorders>
              <w:top w:val="single" w:color="auto" w:sz="4" w:space="0"/>
              <w:left w:val="single" w:color="auto" w:sz="4" w:space="0"/>
              <w:bottom w:val="single" w:color="auto" w:sz="4" w:space="0"/>
              <w:right w:val="single" w:color="auto" w:sz="4" w:space="0"/>
            </w:tcBorders>
            <w:vAlign w:val="center"/>
          </w:tcPr>
          <w:p w14:paraId="66D889D1">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14:ligatures w14:val="standardContextual"/>
              </w:rPr>
              <w:t>不涉及</w:t>
            </w:r>
          </w:p>
        </w:tc>
        <w:tc>
          <w:tcPr>
            <w:tcW w:w="1843" w:type="dxa"/>
            <w:tcBorders>
              <w:top w:val="single" w:color="auto" w:sz="4" w:space="0"/>
              <w:left w:val="single" w:color="auto" w:sz="4" w:space="0"/>
              <w:bottom w:val="single" w:color="auto" w:sz="4" w:space="0"/>
              <w:right w:val="single" w:color="auto" w:sz="4" w:space="0"/>
            </w:tcBorders>
            <w:vAlign w:val="center"/>
          </w:tcPr>
          <w:p w14:paraId="34051C31">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14:paraId="06DCA256">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1195" w:type="dxa"/>
            <w:tcBorders>
              <w:top w:val="single" w:color="auto" w:sz="4" w:space="0"/>
              <w:left w:val="single" w:color="auto" w:sz="4" w:space="0"/>
              <w:bottom w:val="single" w:color="auto" w:sz="4" w:space="0"/>
              <w:right w:val="single" w:color="auto" w:sz="4" w:space="0"/>
            </w:tcBorders>
            <w:vAlign w:val="center"/>
          </w:tcPr>
          <w:p w14:paraId="08BF6BFA">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w:t>
            </w:r>
          </w:p>
        </w:tc>
      </w:tr>
      <w:tr w14:paraId="23AF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F5ADC32">
            <w:pPr>
              <w:widowControl/>
              <w:spacing w:line="240" w:lineRule="auto"/>
              <w:ind w:firstLine="0" w:firstLineChars="0"/>
              <w:jc w:val="left"/>
              <w:rPr>
                <w:rFonts w:hint="default" w:ascii="Times New Roman" w:hAnsi="Times New Roman" w:eastAsia="仿宋"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41324C6">
            <w:pPr>
              <w:widowControl/>
              <w:spacing w:line="240" w:lineRule="auto"/>
              <w:ind w:firstLine="0" w:firstLineChars="0"/>
              <w:jc w:val="left"/>
              <w:rPr>
                <w:rFonts w:hint="default" w:ascii="Times New Roman" w:hAnsi="Times New Roman" w:eastAsia="仿宋"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F84D4F0">
            <w:pPr>
              <w:widowControl/>
              <w:spacing w:line="240" w:lineRule="auto"/>
              <w:ind w:firstLine="0" w:firstLineChars="0"/>
              <w:jc w:val="left"/>
              <w:rPr>
                <w:rFonts w:hint="default" w:ascii="Times New Roman" w:hAnsi="Times New Roman" w:eastAsia="仿宋" w:cs="Times New Roman"/>
                <w:sz w:val="21"/>
                <w:szCs w:val="21"/>
              </w:rPr>
            </w:pPr>
          </w:p>
        </w:tc>
        <w:tc>
          <w:tcPr>
            <w:tcW w:w="2662" w:type="dxa"/>
            <w:tcBorders>
              <w:top w:val="single" w:color="auto" w:sz="4" w:space="0"/>
              <w:left w:val="single" w:color="auto" w:sz="4" w:space="0"/>
              <w:bottom w:val="single" w:color="auto" w:sz="4" w:space="0"/>
              <w:right w:val="single" w:color="auto" w:sz="4" w:space="0"/>
            </w:tcBorders>
            <w:vAlign w:val="center"/>
          </w:tcPr>
          <w:p w14:paraId="0C06F9FC">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草原综合植被盖度*</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46E4653">
            <w:pPr>
              <w:widowControl/>
              <w:spacing w:line="240" w:lineRule="auto"/>
              <w:ind w:firstLine="0" w:firstLineChars="0"/>
              <w:jc w:val="left"/>
              <w:rPr>
                <w:rFonts w:hint="default" w:ascii="Times New Roman" w:hAnsi="Times New Roman" w:eastAsia="仿宋" w:cs="Times New Roman"/>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79754AFE">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保持稳定或持续改善</w:t>
            </w:r>
          </w:p>
        </w:tc>
        <w:tc>
          <w:tcPr>
            <w:tcW w:w="1843" w:type="dxa"/>
            <w:tcBorders>
              <w:top w:val="single" w:color="auto" w:sz="4" w:space="0"/>
              <w:left w:val="single" w:color="auto" w:sz="4" w:space="0"/>
              <w:bottom w:val="single" w:color="auto" w:sz="4" w:space="0"/>
              <w:right w:val="single" w:color="auto" w:sz="4" w:space="0"/>
            </w:tcBorders>
            <w:vAlign w:val="center"/>
          </w:tcPr>
          <w:p w14:paraId="52FFA1D4">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14:ligatures w14:val="standardContextual"/>
              </w:rPr>
              <w:t>不涉及</w:t>
            </w:r>
          </w:p>
        </w:tc>
        <w:tc>
          <w:tcPr>
            <w:tcW w:w="1843" w:type="dxa"/>
            <w:tcBorders>
              <w:top w:val="single" w:color="auto" w:sz="4" w:space="0"/>
              <w:left w:val="single" w:color="auto" w:sz="4" w:space="0"/>
              <w:bottom w:val="single" w:color="auto" w:sz="4" w:space="0"/>
              <w:right w:val="single" w:color="auto" w:sz="4" w:space="0"/>
            </w:tcBorders>
            <w:vAlign w:val="center"/>
          </w:tcPr>
          <w:p w14:paraId="4806E33D">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14:paraId="49B2D8E2">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1195" w:type="dxa"/>
            <w:tcBorders>
              <w:top w:val="single" w:color="auto" w:sz="4" w:space="0"/>
              <w:left w:val="single" w:color="auto" w:sz="4" w:space="0"/>
              <w:bottom w:val="single" w:color="auto" w:sz="4" w:space="0"/>
              <w:right w:val="single" w:color="auto" w:sz="4" w:space="0"/>
            </w:tcBorders>
            <w:vAlign w:val="center"/>
          </w:tcPr>
          <w:p w14:paraId="49206D0F">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w:t>
            </w:r>
          </w:p>
        </w:tc>
      </w:tr>
      <w:tr w14:paraId="0F4B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38984D0">
            <w:pPr>
              <w:widowControl/>
              <w:spacing w:line="240" w:lineRule="auto"/>
              <w:ind w:firstLine="0" w:firstLineChars="0"/>
              <w:jc w:val="left"/>
              <w:rPr>
                <w:rFonts w:hint="default" w:ascii="Times New Roman" w:hAnsi="Times New Roman" w:eastAsia="仿宋" w:cs="Times New Roman"/>
                <w:sz w:val="21"/>
                <w:szCs w:val="21"/>
              </w:rPr>
            </w:pPr>
          </w:p>
        </w:tc>
        <w:tc>
          <w:tcPr>
            <w:tcW w:w="702" w:type="dxa"/>
            <w:vMerge w:val="restart"/>
            <w:tcBorders>
              <w:top w:val="single" w:color="auto" w:sz="4" w:space="0"/>
              <w:left w:val="single" w:color="auto" w:sz="4" w:space="0"/>
              <w:bottom w:val="single" w:color="auto" w:sz="4" w:space="0"/>
              <w:right w:val="single" w:color="auto" w:sz="4" w:space="0"/>
            </w:tcBorders>
            <w:vAlign w:val="center"/>
          </w:tcPr>
          <w:p w14:paraId="08AD8CE2">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（四）</w:t>
            </w:r>
          </w:p>
          <w:p w14:paraId="38D83833">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生态环境风险防范</w:t>
            </w:r>
          </w:p>
        </w:tc>
        <w:tc>
          <w:tcPr>
            <w:tcW w:w="532" w:type="dxa"/>
            <w:tcBorders>
              <w:top w:val="single" w:color="auto" w:sz="4" w:space="0"/>
              <w:left w:val="single" w:color="auto" w:sz="4" w:space="0"/>
              <w:bottom w:val="single" w:color="auto" w:sz="4" w:space="0"/>
              <w:right w:val="single" w:color="auto" w:sz="4" w:space="0"/>
            </w:tcBorders>
            <w:vAlign w:val="center"/>
          </w:tcPr>
          <w:p w14:paraId="30DB8A38">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8</w:t>
            </w:r>
          </w:p>
        </w:tc>
        <w:tc>
          <w:tcPr>
            <w:tcW w:w="2662" w:type="dxa"/>
            <w:tcBorders>
              <w:top w:val="single" w:color="auto" w:sz="4" w:space="0"/>
              <w:left w:val="single" w:color="auto" w:sz="4" w:space="0"/>
              <w:bottom w:val="single" w:color="auto" w:sz="4" w:space="0"/>
              <w:right w:val="single" w:color="auto" w:sz="4" w:space="0"/>
            </w:tcBorders>
            <w:vAlign w:val="center"/>
          </w:tcPr>
          <w:p w14:paraId="55E142F5">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受污染耕地安全利用率*</w:t>
            </w:r>
          </w:p>
        </w:tc>
        <w:tc>
          <w:tcPr>
            <w:tcW w:w="709" w:type="dxa"/>
            <w:tcBorders>
              <w:top w:val="single" w:color="auto" w:sz="4" w:space="0"/>
              <w:left w:val="single" w:color="auto" w:sz="4" w:space="0"/>
              <w:bottom w:val="single" w:color="auto" w:sz="4" w:space="0"/>
              <w:right w:val="single" w:color="auto" w:sz="4" w:space="0"/>
            </w:tcBorders>
            <w:vAlign w:val="center"/>
          </w:tcPr>
          <w:p w14:paraId="475E2D9B">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4E7DA7C7">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≥93</w:t>
            </w:r>
          </w:p>
        </w:tc>
        <w:tc>
          <w:tcPr>
            <w:tcW w:w="1843" w:type="dxa"/>
            <w:tcBorders>
              <w:top w:val="single" w:color="auto" w:sz="4" w:space="0"/>
              <w:left w:val="single" w:color="auto" w:sz="4" w:space="0"/>
              <w:bottom w:val="single" w:color="auto" w:sz="4" w:space="0"/>
              <w:right w:val="single" w:color="auto" w:sz="4" w:space="0"/>
            </w:tcBorders>
            <w:vAlign w:val="center"/>
          </w:tcPr>
          <w:p w14:paraId="5D959475">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sz w:val="21"/>
                <w:szCs w:val="21"/>
                <w14:ligatures w14:val="standardContextual"/>
              </w:rPr>
              <w:t>不涉及</w:t>
            </w:r>
          </w:p>
        </w:tc>
        <w:tc>
          <w:tcPr>
            <w:tcW w:w="1843" w:type="dxa"/>
            <w:tcBorders>
              <w:top w:val="single" w:color="auto" w:sz="4" w:space="0"/>
              <w:left w:val="single" w:color="auto" w:sz="4" w:space="0"/>
              <w:bottom w:val="single" w:color="auto" w:sz="4" w:space="0"/>
              <w:right w:val="single" w:color="auto" w:sz="4" w:space="0"/>
            </w:tcBorders>
            <w:vAlign w:val="center"/>
          </w:tcPr>
          <w:p w14:paraId="6C19A5DA">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14:paraId="259C3A50">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1195" w:type="dxa"/>
            <w:tcBorders>
              <w:top w:val="single" w:color="auto" w:sz="4" w:space="0"/>
              <w:left w:val="single" w:color="auto" w:sz="4" w:space="0"/>
              <w:bottom w:val="single" w:color="auto" w:sz="4" w:space="0"/>
              <w:right w:val="single" w:color="auto" w:sz="4" w:space="0"/>
            </w:tcBorders>
            <w:vAlign w:val="center"/>
          </w:tcPr>
          <w:p w14:paraId="50E1583F">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r>
      <w:tr w14:paraId="4D5EB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59CFA91">
            <w:pPr>
              <w:widowControl/>
              <w:spacing w:line="240" w:lineRule="auto"/>
              <w:ind w:firstLine="0" w:firstLineChars="0"/>
              <w:jc w:val="left"/>
              <w:rPr>
                <w:rFonts w:hint="default" w:ascii="Times New Roman" w:hAnsi="Times New Roman" w:eastAsia="仿宋"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C5D6636">
            <w:pPr>
              <w:widowControl/>
              <w:spacing w:line="240" w:lineRule="auto"/>
              <w:ind w:firstLine="0" w:firstLineChars="0"/>
              <w:jc w:val="left"/>
              <w:rPr>
                <w:rFonts w:hint="default" w:ascii="Times New Roman" w:hAnsi="Times New Roman" w:eastAsia="仿宋" w:cs="Times New Roman"/>
                <w:sz w:val="21"/>
                <w:szCs w:val="21"/>
              </w:rPr>
            </w:pPr>
          </w:p>
        </w:tc>
        <w:tc>
          <w:tcPr>
            <w:tcW w:w="532" w:type="dxa"/>
            <w:tcBorders>
              <w:top w:val="single" w:color="auto" w:sz="4" w:space="0"/>
              <w:left w:val="single" w:color="auto" w:sz="4" w:space="0"/>
              <w:bottom w:val="single" w:color="auto" w:sz="4" w:space="0"/>
              <w:right w:val="single" w:color="auto" w:sz="4" w:space="0"/>
            </w:tcBorders>
            <w:vAlign w:val="center"/>
          </w:tcPr>
          <w:p w14:paraId="392F1927">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9</w:t>
            </w:r>
          </w:p>
        </w:tc>
        <w:tc>
          <w:tcPr>
            <w:tcW w:w="2662" w:type="dxa"/>
            <w:tcBorders>
              <w:top w:val="single" w:color="auto" w:sz="4" w:space="0"/>
              <w:left w:val="single" w:color="auto" w:sz="4" w:space="0"/>
              <w:bottom w:val="single" w:color="auto" w:sz="4" w:space="0"/>
              <w:right w:val="single" w:color="auto" w:sz="4" w:space="0"/>
            </w:tcBorders>
            <w:vAlign w:val="center"/>
          </w:tcPr>
          <w:p w14:paraId="08D101A0">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重点建设用地安全利用</w:t>
            </w:r>
          </w:p>
        </w:tc>
        <w:tc>
          <w:tcPr>
            <w:tcW w:w="709" w:type="dxa"/>
            <w:tcBorders>
              <w:top w:val="single" w:color="auto" w:sz="4" w:space="0"/>
              <w:left w:val="single" w:color="auto" w:sz="4" w:space="0"/>
              <w:bottom w:val="single" w:color="auto" w:sz="4" w:space="0"/>
              <w:right w:val="single" w:color="auto" w:sz="4" w:space="0"/>
            </w:tcBorders>
            <w:vAlign w:val="center"/>
          </w:tcPr>
          <w:p w14:paraId="56CA2B21">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1AA17521">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有效保障</w:t>
            </w:r>
          </w:p>
        </w:tc>
        <w:tc>
          <w:tcPr>
            <w:tcW w:w="1843" w:type="dxa"/>
            <w:tcBorders>
              <w:top w:val="single" w:color="auto" w:sz="4" w:space="0"/>
              <w:left w:val="single" w:color="auto" w:sz="4" w:space="0"/>
              <w:bottom w:val="single" w:color="auto" w:sz="4" w:space="0"/>
              <w:right w:val="single" w:color="auto" w:sz="4" w:space="0"/>
            </w:tcBorders>
            <w:vAlign w:val="center"/>
          </w:tcPr>
          <w:p w14:paraId="2DA91FE1">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14:ligatures w14:val="standardContextual"/>
              </w:rPr>
              <w:t>有效保障</w:t>
            </w:r>
          </w:p>
        </w:tc>
        <w:tc>
          <w:tcPr>
            <w:tcW w:w="1843" w:type="dxa"/>
            <w:tcBorders>
              <w:top w:val="single" w:color="auto" w:sz="4" w:space="0"/>
              <w:left w:val="single" w:color="auto" w:sz="4" w:space="0"/>
              <w:bottom w:val="single" w:color="auto" w:sz="4" w:space="0"/>
              <w:right w:val="single" w:color="auto" w:sz="4" w:space="0"/>
            </w:tcBorders>
            <w:vAlign w:val="center"/>
          </w:tcPr>
          <w:p w14:paraId="3360981D">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14:ligatures w14:val="standardContextual"/>
              </w:rPr>
              <w:t>有效保障</w:t>
            </w:r>
          </w:p>
        </w:tc>
        <w:tc>
          <w:tcPr>
            <w:tcW w:w="1559" w:type="dxa"/>
            <w:tcBorders>
              <w:top w:val="single" w:color="auto" w:sz="4" w:space="0"/>
              <w:left w:val="single" w:color="auto" w:sz="4" w:space="0"/>
              <w:bottom w:val="single" w:color="auto" w:sz="4" w:space="0"/>
              <w:right w:val="single" w:color="auto" w:sz="4" w:space="0"/>
            </w:tcBorders>
            <w:vAlign w:val="center"/>
          </w:tcPr>
          <w:p w14:paraId="19BE0C01">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14:ligatures w14:val="standardContextual"/>
              </w:rPr>
              <w:t>有效保障</w:t>
            </w:r>
          </w:p>
        </w:tc>
        <w:tc>
          <w:tcPr>
            <w:tcW w:w="1195" w:type="dxa"/>
            <w:tcBorders>
              <w:top w:val="single" w:color="auto" w:sz="4" w:space="0"/>
              <w:left w:val="single" w:color="auto" w:sz="4" w:space="0"/>
              <w:bottom w:val="single" w:color="auto" w:sz="4" w:space="0"/>
              <w:right w:val="single" w:color="auto" w:sz="4" w:space="0"/>
            </w:tcBorders>
            <w:vAlign w:val="center"/>
          </w:tcPr>
          <w:p w14:paraId="7D3175A6">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达标</w:t>
            </w:r>
          </w:p>
        </w:tc>
      </w:tr>
      <w:tr w14:paraId="7D94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4DAFA86">
            <w:pPr>
              <w:widowControl/>
              <w:spacing w:line="240" w:lineRule="auto"/>
              <w:ind w:firstLine="0" w:firstLineChars="0"/>
              <w:jc w:val="left"/>
              <w:rPr>
                <w:rFonts w:hint="default" w:ascii="Times New Roman" w:hAnsi="Times New Roman" w:eastAsia="仿宋"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724A8E6">
            <w:pPr>
              <w:widowControl/>
              <w:spacing w:line="240" w:lineRule="auto"/>
              <w:ind w:firstLine="0" w:firstLineChars="0"/>
              <w:jc w:val="left"/>
              <w:rPr>
                <w:rFonts w:hint="default" w:ascii="Times New Roman" w:hAnsi="Times New Roman" w:eastAsia="仿宋" w:cs="Times New Roman"/>
                <w:sz w:val="21"/>
                <w:szCs w:val="21"/>
              </w:rPr>
            </w:pPr>
          </w:p>
        </w:tc>
        <w:tc>
          <w:tcPr>
            <w:tcW w:w="532" w:type="dxa"/>
            <w:tcBorders>
              <w:top w:val="single" w:color="auto" w:sz="4" w:space="0"/>
              <w:left w:val="single" w:color="auto" w:sz="4" w:space="0"/>
              <w:bottom w:val="single" w:color="auto" w:sz="4" w:space="0"/>
              <w:right w:val="single" w:color="auto" w:sz="4" w:space="0"/>
            </w:tcBorders>
            <w:vAlign w:val="center"/>
          </w:tcPr>
          <w:p w14:paraId="47508584">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10</w:t>
            </w:r>
          </w:p>
        </w:tc>
        <w:tc>
          <w:tcPr>
            <w:tcW w:w="2662" w:type="dxa"/>
            <w:tcBorders>
              <w:top w:val="single" w:color="auto" w:sz="4" w:space="0"/>
              <w:left w:val="single" w:color="auto" w:sz="4" w:space="0"/>
              <w:bottom w:val="single" w:color="auto" w:sz="4" w:space="0"/>
              <w:right w:val="single" w:color="auto" w:sz="4" w:space="0"/>
            </w:tcBorders>
            <w:vAlign w:val="center"/>
          </w:tcPr>
          <w:p w14:paraId="44577264">
            <w:pPr>
              <w:adjustRightInd w:val="0"/>
              <w:snapToGrid w:val="0"/>
              <w:spacing w:line="240" w:lineRule="auto"/>
              <w:ind w:firstLine="0" w:firstLineChars="0"/>
              <w:jc w:val="center"/>
              <w:rPr>
                <w:rFonts w:hint="default" w:ascii="Times New Roman" w:hAnsi="Times New Roman" w:eastAsia="仿宋" w:cs="Times New Roman"/>
                <w:spacing w:val="-6"/>
                <w:sz w:val="21"/>
                <w:szCs w:val="21"/>
              </w:rPr>
            </w:pPr>
            <w:r>
              <w:rPr>
                <w:rFonts w:hint="default" w:ascii="Times New Roman" w:hAnsi="Times New Roman" w:eastAsia="仿宋" w:cs="Times New Roman"/>
                <w:spacing w:val="-6"/>
                <w:sz w:val="21"/>
                <w:szCs w:val="21"/>
              </w:rPr>
              <w:t>外来物种入侵防控</w:t>
            </w:r>
          </w:p>
        </w:tc>
        <w:tc>
          <w:tcPr>
            <w:tcW w:w="709" w:type="dxa"/>
            <w:tcBorders>
              <w:top w:val="single" w:color="auto" w:sz="4" w:space="0"/>
              <w:left w:val="single" w:color="auto" w:sz="4" w:space="0"/>
              <w:bottom w:val="single" w:color="auto" w:sz="4" w:space="0"/>
              <w:right w:val="single" w:color="auto" w:sz="4" w:space="0"/>
            </w:tcBorders>
            <w:vAlign w:val="center"/>
          </w:tcPr>
          <w:p w14:paraId="47791B0A">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0DD73518">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有效开展</w:t>
            </w:r>
          </w:p>
        </w:tc>
        <w:tc>
          <w:tcPr>
            <w:tcW w:w="1843" w:type="dxa"/>
            <w:tcBorders>
              <w:top w:val="single" w:color="auto" w:sz="4" w:space="0"/>
              <w:left w:val="single" w:color="auto" w:sz="4" w:space="0"/>
              <w:bottom w:val="single" w:color="auto" w:sz="4" w:space="0"/>
              <w:right w:val="single" w:color="auto" w:sz="4" w:space="0"/>
            </w:tcBorders>
            <w:vAlign w:val="center"/>
          </w:tcPr>
          <w:p w14:paraId="22D12CD0">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14:ligatures w14:val="standardContextual"/>
              </w:rPr>
              <w:t>有效开展</w:t>
            </w:r>
          </w:p>
        </w:tc>
        <w:tc>
          <w:tcPr>
            <w:tcW w:w="1843" w:type="dxa"/>
            <w:tcBorders>
              <w:top w:val="single" w:color="auto" w:sz="4" w:space="0"/>
              <w:left w:val="single" w:color="auto" w:sz="4" w:space="0"/>
              <w:bottom w:val="single" w:color="auto" w:sz="4" w:space="0"/>
              <w:right w:val="single" w:color="auto" w:sz="4" w:space="0"/>
            </w:tcBorders>
            <w:vAlign w:val="center"/>
          </w:tcPr>
          <w:p w14:paraId="14E1A555">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14:ligatures w14:val="standardContextual"/>
              </w:rPr>
              <w:t>有效开展</w:t>
            </w:r>
          </w:p>
        </w:tc>
        <w:tc>
          <w:tcPr>
            <w:tcW w:w="1559" w:type="dxa"/>
            <w:tcBorders>
              <w:top w:val="single" w:color="auto" w:sz="4" w:space="0"/>
              <w:left w:val="single" w:color="auto" w:sz="4" w:space="0"/>
              <w:bottom w:val="single" w:color="auto" w:sz="4" w:space="0"/>
              <w:right w:val="single" w:color="auto" w:sz="4" w:space="0"/>
            </w:tcBorders>
            <w:vAlign w:val="center"/>
          </w:tcPr>
          <w:p w14:paraId="0B0D3871">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14:ligatures w14:val="standardContextual"/>
              </w:rPr>
              <w:t>有效开展</w:t>
            </w:r>
          </w:p>
        </w:tc>
        <w:tc>
          <w:tcPr>
            <w:tcW w:w="1195" w:type="dxa"/>
            <w:tcBorders>
              <w:top w:val="single" w:color="auto" w:sz="4" w:space="0"/>
              <w:left w:val="single" w:color="auto" w:sz="4" w:space="0"/>
              <w:bottom w:val="single" w:color="auto" w:sz="4" w:space="0"/>
              <w:right w:val="single" w:color="auto" w:sz="4" w:space="0"/>
            </w:tcBorders>
            <w:vAlign w:val="center"/>
          </w:tcPr>
          <w:p w14:paraId="2641365B">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达标</w:t>
            </w:r>
          </w:p>
        </w:tc>
      </w:tr>
      <w:tr w14:paraId="504D7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9E94845">
            <w:pPr>
              <w:widowControl/>
              <w:spacing w:line="240" w:lineRule="auto"/>
              <w:ind w:firstLine="0" w:firstLineChars="0"/>
              <w:jc w:val="left"/>
              <w:rPr>
                <w:rFonts w:hint="default" w:ascii="Times New Roman" w:hAnsi="Times New Roman" w:eastAsia="仿宋"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8E2BCFE">
            <w:pPr>
              <w:widowControl/>
              <w:spacing w:line="240" w:lineRule="auto"/>
              <w:ind w:firstLine="0" w:firstLineChars="0"/>
              <w:jc w:val="left"/>
              <w:rPr>
                <w:rFonts w:hint="default" w:ascii="Times New Roman" w:hAnsi="Times New Roman" w:eastAsia="仿宋" w:cs="Times New Roman"/>
                <w:sz w:val="21"/>
                <w:szCs w:val="21"/>
              </w:rPr>
            </w:pPr>
          </w:p>
        </w:tc>
        <w:tc>
          <w:tcPr>
            <w:tcW w:w="532" w:type="dxa"/>
            <w:tcBorders>
              <w:top w:val="single" w:color="auto" w:sz="4" w:space="0"/>
              <w:left w:val="single" w:color="auto" w:sz="4" w:space="0"/>
              <w:bottom w:val="single" w:color="auto" w:sz="4" w:space="0"/>
              <w:right w:val="single" w:color="auto" w:sz="4" w:space="0"/>
            </w:tcBorders>
            <w:vAlign w:val="center"/>
          </w:tcPr>
          <w:p w14:paraId="5F9424BE">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11</w:t>
            </w:r>
          </w:p>
        </w:tc>
        <w:tc>
          <w:tcPr>
            <w:tcW w:w="2662" w:type="dxa"/>
            <w:tcBorders>
              <w:top w:val="single" w:color="auto" w:sz="4" w:space="0"/>
              <w:left w:val="single" w:color="auto" w:sz="4" w:space="0"/>
              <w:bottom w:val="single" w:color="auto" w:sz="4" w:space="0"/>
              <w:right w:val="single" w:color="auto" w:sz="4" w:space="0"/>
            </w:tcBorders>
            <w:vAlign w:val="center"/>
          </w:tcPr>
          <w:p w14:paraId="07A3BEB0">
            <w:pPr>
              <w:adjustRightInd w:val="0"/>
              <w:snapToGrid w:val="0"/>
              <w:spacing w:line="240" w:lineRule="auto"/>
              <w:ind w:firstLine="0" w:firstLineChars="0"/>
              <w:jc w:val="center"/>
              <w:rPr>
                <w:rFonts w:hint="default" w:ascii="Times New Roman" w:hAnsi="Times New Roman" w:eastAsia="仿宋" w:cs="Times New Roman"/>
                <w:spacing w:val="-6"/>
                <w:sz w:val="21"/>
                <w:szCs w:val="21"/>
              </w:rPr>
            </w:pPr>
            <w:r>
              <w:rPr>
                <w:rFonts w:hint="default" w:ascii="Times New Roman" w:hAnsi="Times New Roman" w:eastAsia="仿宋" w:cs="Times New Roman"/>
                <w:spacing w:val="-6"/>
                <w:sz w:val="21"/>
                <w:szCs w:val="21"/>
              </w:rPr>
              <w:t>突发环境事件应急管理机制</w:t>
            </w:r>
          </w:p>
        </w:tc>
        <w:tc>
          <w:tcPr>
            <w:tcW w:w="709" w:type="dxa"/>
            <w:tcBorders>
              <w:top w:val="single" w:color="auto" w:sz="4" w:space="0"/>
              <w:left w:val="single" w:color="auto" w:sz="4" w:space="0"/>
              <w:bottom w:val="single" w:color="auto" w:sz="4" w:space="0"/>
              <w:right w:val="single" w:color="auto" w:sz="4" w:space="0"/>
            </w:tcBorders>
            <w:vAlign w:val="center"/>
          </w:tcPr>
          <w:p w14:paraId="116CB253">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51D5432C">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建立</w:t>
            </w:r>
          </w:p>
        </w:tc>
        <w:tc>
          <w:tcPr>
            <w:tcW w:w="1843" w:type="dxa"/>
            <w:tcBorders>
              <w:top w:val="single" w:color="auto" w:sz="4" w:space="0"/>
              <w:left w:val="single" w:color="auto" w:sz="4" w:space="0"/>
              <w:bottom w:val="single" w:color="auto" w:sz="4" w:space="0"/>
              <w:right w:val="single" w:color="auto" w:sz="4" w:space="0"/>
            </w:tcBorders>
            <w:vAlign w:val="center"/>
          </w:tcPr>
          <w:p w14:paraId="7CC928FA">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14:ligatures w14:val="standardContextual"/>
              </w:rPr>
              <w:t>建立</w:t>
            </w:r>
          </w:p>
        </w:tc>
        <w:tc>
          <w:tcPr>
            <w:tcW w:w="1843" w:type="dxa"/>
            <w:tcBorders>
              <w:top w:val="single" w:color="auto" w:sz="4" w:space="0"/>
              <w:left w:val="single" w:color="auto" w:sz="4" w:space="0"/>
              <w:bottom w:val="single" w:color="auto" w:sz="4" w:space="0"/>
              <w:right w:val="single" w:color="auto" w:sz="4" w:space="0"/>
            </w:tcBorders>
            <w:vAlign w:val="center"/>
          </w:tcPr>
          <w:p w14:paraId="77E517CE">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14:ligatures w14:val="standardContextual"/>
              </w:rPr>
              <w:t>建立</w:t>
            </w:r>
          </w:p>
        </w:tc>
        <w:tc>
          <w:tcPr>
            <w:tcW w:w="1559" w:type="dxa"/>
            <w:tcBorders>
              <w:top w:val="single" w:color="auto" w:sz="4" w:space="0"/>
              <w:left w:val="single" w:color="auto" w:sz="4" w:space="0"/>
              <w:bottom w:val="single" w:color="auto" w:sz="4" w:space="0"/>
              <w:right w:val="single" w:color="auto" w:sz="4" w:space="0"/>
            </w:tcBorders>
            <w:vAlign w:val="center"/>
          </w:tcPr>
          <w:p w14:paraId="71AB1855">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14:ligatures w14:val="standardContextual"/>
              </w:rPr>
              <w:t>建立</w:t>
            </w:r>
          </w:p>
        </w:tc>
        <w:tc>
          <w:tcPr>
            <w:tcW w:w="1195" w:type="dxa"/>
            <w:tcBorders>
              <w:top w:val="single" w:color="auto" w:sz="4" w:space="0"/>
              <w:left w:val="single" w:color="auto" w:sz="4" w:space="0"/>
              <w:bottom w:val="single" w:color="auto" w:sz="4" w:space="0"/>
              <w:right w:val="single" w:color="auto" w:sz="4" w:space="0"/>
            </w:tcBorders>
            <w:vAlign w:val="center"/>
          </w:tcPr>
          <w:p w14:paraId="0E22EC1D">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达标</w:t>
            </w:r>
          </w:p>
        </w:tc>
      </w:tr>
      <w:tr w14:paraId="3B56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527" w:type="dxa"/>
            <w:vMerge w:val="restart"/>
            <w:tcBorders>
              <w:top w:val="single" w:color="auto" w:sz="4" w:space="0"/>
              <w:left w:val="single" w:color="auto" w:sz="4" w:space="0"/>
              <w:right w:val="single" w:color="auto" w:sz="4" w:space="0"/>
            </w:tcBorders>
            <w:vAlign w:val="center"/>
          </w:tcPr>
          <w:p w14:paraId="1EE0B60B">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生态</w:t>
            </w:r>
          </w:p>
          <w:p w14:paraId="2864D4E3">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经济</w:t>
            </w:r>
          </w:p>
        </w:tc>
        <w:tc>
          <w:tcPr>
            <w:tcW w:w="702" w:type="dxa"/>
            <w:tcBorders>
              <w:top w:val="single" w:color="auto" w:sz="4" w:space="0"/>
              <w:left w:val="single" w:color="auto" w:sz="4" w:space="0"/>
              <w:bottom w:val="single" w:color="auto" w:sz="4" w:space="0"/>
              <w:right w:val="single" w:color="auto" w:sz="4" w:space="0"/>
            </w:tcBorders>
            <w:vAlign w:val="center"/>
          </w:tcPr>
          <w:p w14:paraId="04DB74E1">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（五）</w:t>
            </w:r>
          </w:p>
          <w:p w14:paraId="339B147D">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节能减排降碳增效</w:t>
            </w:r>
          </w:p>
        </w:tc>
        <w:tc>
          <w:tcPr>
            <w:tcW w:w="532" w:type="dxa"/>
            <w:tcBorders>
              <w:top w:val="single" w:color="auto" w:sz="4" w:space="0"/>
              <w:left w:val="single" w:color="auto" w:sz="4" w:space="0"/>
              <w:bottom w:val="single" w:color="auto" w:sz="4" w:space="0"/>
              <w:right w:val="single" w:color="auto" w:sz="4" w:space="0"/>
            </w:tcBorders>
            <w:vAlign w:val="center"/>
          </w:tcPr>
          <w:p w14:paraId="6BD7B3E8">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12</w:t>
            </w:r>
          </w:p>
        </w:tc>
        <w:tc>
          <w:tcPr>
            <w:tcW w:w="2662" w:type="dxa"/>
            <w:tcBorders>
              <w:top w:val="single" w:color="auto" w:sz="4" w:space="0"/>
              <w:left w:val="single" w:color="auto" w:sz="4" w:space="0"/>
              <w:bottom w:val="single" w:color="auto" w:sz="4" w:space="0"/>
              <w:right w:val="single" w:color="auto" w:sz="4" w:space="0"/>
            </w:tcBorders>
            <w:vAlign w:val="center"/>
          </w:tcPr>
          <w:p w14:paraId="75822C62">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新增和更新公共汽车电车中新能源和清洁能源车辆比例</w:t>
            </w:r>
          </w:p>
        </w:tc>
        <w:tc>
          <w:tcPr>
            <w:tcW w:w="709" w:type="dxa"/>
            <w:tcBorders>
              <w:top w:val="single" w:color="auto" w:sz="4" w:space="0"/>
              <w:left w:val="single" w:color="auto" w:sz="4" w:space="0"/>
              <w:bottom w:val="single" w:color="auto" w:sz="4" w:space="0"/>
              <w:right w:val="single" w:color="auto" w:sz="4" w:space="0"/>
            </w:tcBorders>
            <w:vAlign w:val="center"/>
          </w:tcPr>
          <w:p w14:paraId="656B4AFA">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42982130">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≥80</w:t>
            </w:r>
          </w:p>
        </w:tc>
        <w:tc>
          <w:tcPr>
            <w:tcW w:w="1843" w:type="dxa"/>
            <w:tcBorders>
              <w:top w:val="single" w:color="auto" w:sz="4" w:space="0"/>
              <w:left w:val="single" w:color="auto" w:sz="4" w:space="0"/>
              <w:bottom w:val="single" w:color="auto" w:sz="4" w:space="0"/>
              <w:right w:val="single" w:color="auto" w:sz="4" w:space="0"/>
            </w:tcBorders>
            <w:vAlign w:val="center"/>
          </w:tcPr>
          <w:p w14:paraId="2857F2F2">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sz w:val="21"/>
                <w:szCs w:val="21"/>
                <w14:ligatures w14:val="standardContextual"/>
              </w:rPr>
              <w:t>该年未新增和更新</w:t>
            </w:r>
          </w:p>
        </w:tc>
        <w:tc>
          <w:tcPr>
            <w:tcW w:w="1843" w:type="dxa"/>
            <w:tcBorders>
              <w:top w:val="single" w:color="auto" w:sz="4" w:space="0"/>
              <w:left w:val="single" w:color="auto" w:sz="4" w:space="0"/>
              <w:bottom w:val="single" w:color="auto" w:sz="4" w:space="0"/>
              <w:right w:val="single" w:color="auto" w:sz="4" w:space="0"/>
            </w:tcBorders>
            <w:vAlign w:val="center"/>
          </w:tcPr>
          <w:p w14:paraId="68DEAF7B">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100</w:t>
            </w:r>
          </w:p>
        </w:tc>
        <w:tc>
          <w:tcPr>
            <w:tcW w:w="1559" w:type="dxa"/>
            <w:tcBorders>
              <w:top w:val="single" w:color="auto" w:sz="4" w:space="0"/>
              <w:left w:val="single" w:color="auto" w:sz="4" w:space="0"/>
              <w:bottom w:val="single" w:color="auto" w:sz="4" w:space="0"/>
              <w:right w:val="single" w:color="auto" w:sz="4" w:space="0"/>
            </w:tcBorders>
            <w:vAlign w:val="center"/>
          </w:tcPr>
          <w:p w14:paraId="500B9DFB">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100</w:t>
            </w:r>
          </w:p>
        </w:tc>
        <w:tc>
          <w:tcPr>
            <w:tcW w:w="1195" w:type="dxa"/>
            <w:tcBorders>
              <w:top w:val="single" w:color="auto" w:sz="4" w:space="0"/>
              <w:left w:val="single" w:color="auto" w:sz="4" w:space="0"/>
              <w:bottom w:val="single" w:color="auto" w:sz="4" w:space="0"/>
              <w:right w:val="single" w:color="auto" w:sz="4" w:space="0"/>
            </w:tcBorders>
            <w:vAlign w:val="center"/>
          </w:tcPr>
          <w:p w14:paraId="4AE129A1">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达标</w:t>
            </w:r>
          </w:p>
        </w:tc>
      </w:tr>
      <w:tr w14:paraId="0D31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527" w:type="dxa"/>
            <w:vMerge w:val="continue"/>
            <w:tcBorders>
              <w:left w:val="single" w:color="auto" w:sz="4" w:space="0"/>
              <w:right w:val="single" w:color="auto" w:sz="4" w:space="0"/>
            </w:tcBorders>
            <w:vAlign w:val="center"/>
          </w:tcPr>
          <w:p w14:paraId="7E267E85">
            <w:pPr>
              <w:adjustRightInd w:val="0"/>
              <w:snapToGrid w:val="0"/>
              <w:spacing w:line="240" w:lineRule="auto"/>
              <w:ind w:firstLine="0" w:firstLineChars="0"/>
              <w:jc w:val="center"/>
              <w:rPr>
                <w:rFonts w:hint="default" w:ascii="Times New Roman" w:hAnsi="Times New Roman" w:eastAsia="仿宋" w:cs="Times New Roman"/>
                <w:sz w:val="21"/>
                <w:szCs w:val="21"/>
              </w:rPr>
            </w:pPr>
          </w:p>
        </w:tc>
        <w:tc>
          <w:tcPr>
            <w:tcW w:w="702" w:type="dxa"/>
            <w:vMerge w:val="restart"/>
            <w:tcBorders>
              <w:top w:val="single" w:color="auto" w:sz="4" w:space="0"/>
              <w:left w:val="single" w:color="auto" w:sz="4" w:space="0"/>
              <w:bottom w:val="single" w:color="auto" w:sz="4" w:space="0"/>
              <w:right w:val="single" w:color="auto" w:sz="4" w:space="0"/>
            </w:tcBorders>
            <w:vAlign w:val="center"/>
          </w:tcPr>
          <w:p w14:paraId="0F087C87">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（六）</w:t>
            </w:r>
          </w:p>
          <w:p w14:paraId="500E110F">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资源节约与利用</w:t>
            </w:r>
          </w:p>
        </w:tc>
        <w:tc>
          <w:tcPr>
            <w:tcW w:w="532" w:type="dxa"/>
            <w:tcBorders>
              <w:top w:val="single" w:color="auto" w:sz="4" w:space="0"/>
              <w:left w:val="single" w:color="auto" w:sz="4" w:space="0"/>
              <w:bottom w:val="single" w:color="auto" w:sz="4" w:space="0"/>
              <w:right w:val="single" w:color="auto" w:sz="4" w:space="0"/>
            </w:tcBorders>
            <w:vAlign w:val="center"/>
          </w:tcPr>
          <w:p w14:paraId="3BD2E17E">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13</w:t>
            </w:r>
          </w:p>
        </w:tc>
        <w:tc>
          <w:tcPr>
            <w:tcW w:w="2662" w:type="dxa"/>
            <w:tcBorders>
              <w:top w:val="single" w:color="auto" w:sz="4" w:space="0"/>
              <w:left w:val="single" w:color="auto" w:sz="4" w:space="0"/>
              <w:bottom w:val="single" w:color="auto" w:sz="4" w:space="0"/>
              <w:right w:val="single" w:color="auto" w:sz="4" w:space="0"/>
            </w:tcBorders>
            <w:vAlign w:val="center"/>
          </w:tcPr>
          <w:p w14:paraId="4A550A97">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万元工业增加值用水量下降率</w:t>
            </w:r>
          </w:p>
        </w:tc>
        <w:tc>
          <w:tcPr>
            <w:tcW w:w="709" w:type="dxa"/>
            <w:tcBorders>
              <w:top w:val="single" w:color="auto" w:sz="4" w:space="0"/>
              <w:left w:val="single" w:color="auto" w:sz="4" w:space="0"/>
              <w:bottom w:val="single" w:color="auto" w:sz="4" w:space="0"/>
              <w:right w:val="single" w:color="auto" w:sz="4" w:space="0"/>
            </w:tcBorders>
            <w:vAlign w:val="center"/>
          </w:tcPr>
          <w:p w14:paraId="20730664">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77093CC3">
            <w:pPr>
              <w:adjustRightInd w:val="0"/>
              <w:snapToGrid w:val="0"/>
              <w:spacing w:line="240" w:lineRule="auto"/>
              <w:ind w:firstLine="0" w:firstLineChars="0"/>
              <w:jc w:val="center"/>
              <w:rPr>
                <w:rFonts w:hint="default" w:ascii="Times New Roman" w:hAnsi="Times New Roman" w:eastAsia="仿宋" w:cs="Times New Roman"/>
                <w:spacing w:val="-12"/>
                <w:sz w:val="21"/>
                <w:szCs w:val="21"/>
              </w:rPr>
            </w:pPr>
            <w:r>
              <w:rPr>
                <w:rFonts w:hint="default" w:ascii="Times New Roman" w:hAnsi="Times New Roman" w:eastAsia="仿宋" w:cs="Times New Roman"/>
                <w:kern w:val="0"/>
                <w:sz w:val="21"/>
                <w:szCs w:val="21"/>
              </w:rPr>
              <w:t>完成上级规定的考核任务</w:t>
            </w:r>
          </w:p>
        </w:tc>
        <w:tc>
          <w:tcPr>
            <w:tcW w:w="1843" w:type="dxa"/>
            <w:tcBorders>
              <w:top w:val="single" w:color="auto" w:sz="4" w:space="0"/>
              <w:left w:val="single" w:color="auto" w:sz="4" w:space="0"/>
              <w:bottom w:val="single" w:color="auto" w:sz="4" w:space="0"/>
              <w:right w:val="single" w:color="auto" w:sz="4" w:space="0"/>
            </w:tcBorders>
            <w:vAlign w:val="center"/>
          </w:tcPr>
          <w:p w14:paraId="2997E739">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2"/>
                <w14:ligatures w14:val="standardContextual"/>
              </w:rPr>
              <w:t>较2020年下降12.5%</w:t>
            </w:r>
          </w:p>
        </w:tc>
        <w:tc>
          <w:tcPr>
            <w:tcW w:w="1843" w:type="dxa"/>
            <w:tcBorders>
              <w:top w:val="single" w:color="auto" w:sz="4" w:space="0"/>
              <w:left w:val="single" w:color="auto" w:sz="4" w:space="0"/>
              <w:bottom w:val="single" w:color="auto" w:sz="4" w:space="0"/>
              <w:right w:val="single" w:color="auto" w:sz="4" w:space="0"/>
            </w:tcBorders>
            <w:vAlign w:val="center"/>
          </w:tcPr>
          <w:p w14:paraId="2DAA4261">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完成上级目标，持续下降</w:t>
            </w:r>
          </w:p>
        </w:tc>
        <w:tc>
          <w:tcPr>
            <w:tcW w:w="1559" w:type="dxa"/>
            <w:tcBorders>
              <w:top w:val="single" w:color="auto" w:sz="4" w:space="0"/>
              <w:left w:val="single" w:color="auto" w:sz="4" w:space="0"/>
              <w:bottom w:val="single" w:color="auto" w:sz="4" w:space="0"/>
              <w:right w:val="single" w:color="auto" w:sz="4" w:space="0"/>
            </w:tcBorders>
            <w:vAlign w:val="center"/>
          </w:tcPr>
          <w:p w14:paraId="0B9AF8EB">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完成上级目标，持续下降</w:t>
            </w:r>
          </w:p>
        </w:tc>
        <w:tc>
          <w:tcPr>
            <w:tcW w:w="1195" w:type="dxa"/>
            <w:tcBorders>
              <w:top w:val="single" w:color="auto" w:sz="4" w:space="0"/>
              <w:left w:val="single" w:color="auto" w:sz="4" w:space="0"/>
              <w:bottom w:val="single" w:color="auto" w:sz="4" w:space="0"/>
              <w:right w:val="single" w:color="auto" w:sz="4" w:space="0"/>
            </w:tcBorders>
            <w:vAlign w:val="center"/>
          </w:tcPr>
          <w:p w14:paraId="7AC0C0A4">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达标</w:t>
            </w:r>
          </w:p>
        </w:tc>
      </w:tr>
      <w:tr w14:paraId="4012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0" w:type="auto"/>
            <w:vMerge w:val="continue"/>
            <w:tcBorders>
              <w:left w:val="single" w:color="auto" w:sz="4" w:space="0"/>
              <w:right w:val="single" w:color="auto" w:sz="4" w:space="0"/>
            </w:tcBorders>
            <w:vAlign w:val="center"/>
          </w:tcPr>
          <w:p w14:paraId="2E00E08D">
            <w:pPr>
              <w:widowControl/>
              <w:spacing w:line="240" w:lineRule="auto"/>
              <w:ind w:firstLine="0" w:firstLineChars="0"/>
              <w:jc w:val="left"/>
              <w:rPr>
                <w:rFonts w:hint="default" w:ascii="Times New Roman" w:hAnsi="Times New Roman" w:eastAsia="仿宋"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1C5B41B">
            <w:pPr>
              <w:widowControl/>
              <w:spacing w:line="240" w:lineRule="auto"/>
              <w:ind w:firstLine="0" w:firstLineChars="0"/>
              <w:jc w:val="left"/>
              <w:rPr>
                <w:rFonts w:hint="default" w:ascii="Times New Roman" w:hAnsi="Times New Roman" w:eastAsia="仿宋" w:cs="Times New Roman"/>
                <w:sz w:val="21"/>
                <w:szCs w:val="21"/>
              </w:rPr>
            </w:pPr>
          </w:p>
        </w:tc>
        <w:tc>
          <w:tcPr>
            <w:tcW w:w="532" w:type="dxa"/>
            <w:tcBorders>
              <w:top w:val="single" w:color="auto" w:sz="4" w:space="0"/>
              <w:left w:val="single" w:color="auto" w:sz="4" w:space="0"/>
              <w:bottom w:val="single" w:color="auto" w:sz="4" w:space="0"/>
              <w:right w:val="single" w:color="auto" w:sz="4" w:space="0"/>
            </w:tcBorders>
            <w:vAlign w:val="center"/>
          </w:tcPr>
          <w:p w14:paraId="47705DE1">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14</w:t>
            </w:r>
          </w:p>
        </w:tc>
        <w:tc>
          <w:tcPr>
            <w:tcW w:w="2662" w:type="dxa"/>
            <w:tcBorders>
              <w:top w:val="single" w:color="auto" w:sz="4" w:space="0"/>
              <w:left w:val="single" w:color="auto" w:sz="4" w:space="0"/>
              <w:bottom w:val="single" w:color="auto" w:sz="4" w:space="0"/>
              <w:right w:val="single" w:color="auto" w:sz="4" w:space="0"/>
            </w:tcBorders>
            <w:vAlign w:val="center"/>
          </w:tcPr>
          <w:p w14:paraId="10E89715">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农田灌溉水有效利用系数</w:t>
            </w:r>
          </w:p>
        </w:tc>
        <w:tc>
          <w:tcPr>
            <w:tcW w:w="709" w:type="dxa"/>
            <w:tcBorders>
              <w:top w:val="single" w:color="auto" w:sz="4" w:space="0"/>
              <w:left w:val="single" w:color="auto" w:sz="4" w:space="0"/>
              <w:bottom w:val="single" w:color="auto" w:sz="4" w:space="0"/>
              <w:right w:val="single" w:color="auto" w:sz="4" w:space="0"/>
            </w:tcBorders>
            <w:vAlign w:val="center"/>
          </w:tcPr>
          <w:p w14:paraId="0E937C03">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4ADF9741">
            <w:pPr>
              <w:adjustRightInd w:val="0"/>
              <w:snapToGrid w:val="0"/>
              <w:spacing w:line="240" w:lineRule="auto"/>
              <w:ind w:firstLine="0" w:firstLineChars="0"/>
              <w:jc w:val="center"/>
              <w:rPr>
                <w:rFonts w:hint="default" w:ascii="Times New Roman" w:hAnsi="Times New Roman" w:eastAsia="仿宋" w:cs="Times New Roman"/>
                <w:spacing w:val="-12"/>
                <w:sz w:val="21"/>
                <w:szCs w:val="21"/>
              </w:rPr>
            </w:pPr>
            <w:r>
              <w:rPr>
                <w:rFonts w:hint="default" w:ascii="Times New Roman" w:hAnsi="Times New Roman" w:eastAsia="仿宋" w:cs="Times New Roman"/>
                <w:kern w:val="0"/>
                <w:sz w:val="21"/>
                <w:szCs w:val="21"/>
              </w:rPr>
              <w:t>完成上级规定的考核任务</w:t>
            </w:r>
          </w:p>
        </w:tc>
        <w:tc>
          <w:tcPr>
            <w:tcW w:w="1843" w:type="dxa"/>
            <w:tcBorders>
              <w:top w:val="single" w:color="auto" w:sz="4" w:space="0"/>
              <w:left w:val="single" w:color="auto" w:sz="4" w:space="0"/>
              <w:bottom w:val="single" w:color="auto" w:sz="4" w:space="0"/>
              <w:right w:val="single" w:color="auto" w:sz="4" w:space="0"/>
            </w:tcBorders>
            <w:vAlign w:val="center"/>
          </w:tcPr>
          <w:p w14:paraId="400D6A15">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sz w:val="21"/>
                <w:szCs w:val="21"/>
                <w14:ligatures w14:val="standardContextual"/>
              </w:rPr>
              <w:t>不涉及</w:t>
            </w:r>
          </w:p>
        </w:tc>
        <w:tc>
          <w:tcPr>
            <w:tcW w:w="1843" w:type="dxa"/>
            <w:tcBorders>
              <w:top w:val="single" w:color="auto" w:sz="4" w:space="0"/>
              <w:left w:val="single" w:color="auto" w:sz="4" w:space="0"/>
              <w:bottom w:val="single" w:color="auto" w:sz="4" w:space="0"/>
              <w:right w:val="single" w:color="auto" w:sz="4" w:space="0"/>
            </w:tcBorders>
            <w:vAlign w:val="center"/>
          </w:tcPr>
          <w:p w14:paraId="1E1F9F19">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14:paraId="550C130A">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1195" w:type="dxa"/>
            <w:tcBorders>
              <w:top w:val="single" w:color="auto" w:sz="4" w:space="0"/>
              <w:left w:val="single" w:color="auto" w:sz="4" w:space="0"/>
              <w:bottom w:val="single" w:color="auto" w:sz="4" w:space="0"/>
              <w:right w:val="single" w:color="auto" w:sz="4" w:space="0"/>
            </w:tcBorders>
            <w:vAlign w:val="center"/>
          </w:tcPr>
          <w:p w14:paraId="4BD67E2C">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r>
      <w:tr w14:paraId="21FD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0" w:type="auto"/>
            <w:vMerge w:val="continue"/>
            <w:tcBorders>
              <w:left w:val="single" w:color="auto" w:sz="4" w:space="0"/>
              <w:right w:val="single" w:color="auto" w:sz="4" w:space="0"/>
            </w:tcBorders>
            <w:vAlign w:val="center"/>
          </w:tcPr>
          <w:p w14:paraId="58717C43">
            <w:pPr>
              <w:widowControl/>
              <w:spacing w:line="240" w:lineRule="auto"/>
              <w:ind w:firstLine="0" w:firstLineChars="0"/>
              <w:jc w:val="left"/>
              <w:rPr>
                <w:rFonts w:hint="default" w:ascii="Times New Roman" w:hAnsi="Times New Roman" w:eastAsia="仿宋"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D027D6E">
            <w:pPr>
              <w:widowControl/>
              <w:spacing w:line="240" w:lineRule="auto"/>
              <w:ind w:firstLine="0" w:firstLineChars="0"/>
              <w:jc w:val="left"/>
              <w:rPr>
                <w:rFonts w:hint="default" w:ascii="Times New Roman" w:hAnsi="Times New Roman" w:eastAsia="仿宋" w:cs="Times New Roman"/>
                <w:sz w:val="21"/>
                <w:szCs w:val="21"/>
              </w:rPr>
            </w:pPr>
          </w:p>
        </w:tc>
        <w:tc>
          <w:tcPr>
            <w:tcW w:w="532" w:type="dxa"/>
            <w:tcBorders>
              <w:top w:val="single" w:color="auto" w:sz="4" w:space="0"/>
              <w:left w:val="single" w:color="auto" w:sz="4" w:space="0"/>
              <w:bottom w:val="single" w:color="auto" w:sz="4" w:space="0"/>
              <w:right w:val="single" w:color="auto" w:sz="4" w:space="0"/>
            </w:tcBorders>
            <w:vAlign w:val="center"/>
          </w:tcPr>
          <w:p w14:paraId="7E3E5B01">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15</w:t>
            </w:r>
          </w:p>
        </w:tc>
        <w:tc>
          <w:tcPr>
            <w:tcW w:w="2662" w:type="dxa"/>
            <w:tcBorders>
              <w:top w:val="single" w:color="auto" w:sz="4" w:space="0"/>
              <w:left w:val="single" w:color="auto" w:sz="4" w:space="0"/>
              <w:bottom w:val="single" w:color="auto" w:sz="4" w:space="0"/>
              <w:right w:val="single" w:color="auto" w:sz="4" w:space="0"/>
            </w:tcBorders>
            <w:vAlign w:val="center"/>
          </w:tcPr>
          <w:p w14:paraId="28DD00C1">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农膜回收率</w:t>
            </w:r>
          </w:p>
        </w:tc>
        <w:tc>
          <w:tcPr>
            <w:tcW w:w="709" w:type="dxa"/>
            <w:tcBorders>
              <w:top w:val="single" w:color="auto" w:sz="4" w:space="0"/>
              <w:left w:val="single" w:color="auto" w:sz="4" w:space="0"/>
              <w:bottom w:val="single" w:color="auto" w:sz="4" w:space="0"/>
              <w:right w:val="single" w:color="auto" w:sz="4" w:space="0"/>
            </w:tcBorders>
            <w:vAlign w:val="center"/>
          </w:tcPr>
          <w:p w14:paraId="1FFB7747">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52D0B5CC">
            <w:pPr>
              <w:adjustRightInd w:val="0"/>
              <w:snapToGrid w:val="0"/>
              <w:spacing w:line="240" w:lineRule="auto"/>
              <w:ind w:firstLine="0" w:firstLineChars="0"/>
              <w:jc w:val="center"/>
              <w:rPr>
                <w:rFonts w:hint="default" w:ascii="Times New Roman" w:hAnsi="Times New Roman" w:eastAsia="仿宋" w:cs="Times New Roman"/>
                <w:spacing w:val="-12"/>
                <w:kern w:val="0"/>
                <w:sz w:val="21"/>
                <w:szCs w:val="21"/>
              </w:rPr>
            </w:pPr>
            <w:r>
              <w:rPr>
                <w:rFonts w:hint="default" w:ascii="Times New Roman" w:hAnsi="Times New Roman" w:eastAsia="仿宋" w:cs="Times New Roman"/>
                <w:kern w:val="0"/>
                <w:sz w:val="21"/>
                <w:szCs w:val="21"/>
              </w:rPr>
              <w:t>≥85</w:t>
            </w:r>
          </w:p>
        </w:tc>
        <w:tc>
          <w:tcPr>
            <w:tcW w:w="1843" w:type="dxa"/>
            <w:tcBorders>
              <w:top w:val="single" w:color="auto" w:sz="4" w:space="0"/>
              <w:left w:val="single" w:color="auto" w:sz="4" w:space="0"/>
              <w:bottom w:val="single" w:color="auto" w:sz="4" w:space="0"/>
              <w:right w:val="single" w:color="auto" w:sz="4" w:space="0"/>
            </w:tcBorders>
            <w:vAlign w:val="center"/>
          </w:tcPr>
          <w:p w14:paraId="0B4EC962">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sz w:val="21"/>
                <w:szCs w:val="21"/>
                <w14:ligatures w14:val="standardContextual"/>
              </w:rPr>
              <w:t>不涉及</w:t>
            </w:r>
          </w:p>
        </w:tc>
        <w:tc>
          <w:tcPr>
            <w:tcW w:w="1843" w:type="dxa"/>
            <w:tcBorders>
              <w:top w:val="single" w:color="auto" w:sz="4" w:space="0"/>
              <w:left w:val="single" w:color="auto" w:sz="4" w:space="0"/>
              <w:bottom w:val="single" w:color="auto" w:sz="4" w:space="0"/>
              <w:right w:val="single" w:color="auto" w:sz="4" w:space="0"/>
            </w:tcBorders>
            <w:vAlign w:val="center"/>
          </w:tcPr>
          <w:p w14:paraId="48F20950">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14:paraId="79CDC09C">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1195" w:type="dxa"/>
            <w:tcBorders>
              <w:top w:val="single" w:color="auto" w:sz="4" w:space="0"/>
              <w:left w:val="single" w:color="auto" w:sz="4" w:space="0"/>
              <w:bottom w:val="single" w:color="auto" w:sz="4" w:space="0"/>
              <w:right w:val="single" w:color="auto" w:sz="4" w:space="0"/>
            </w:tcBorders>
            <w:vAlign w:val="center"/>
          </w:tcPr>
          <w:p w14:paraId="78E30B86">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r>
      <w:tr w14:paraId="3957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0" w:type="auto"/>
            <w:vMerge w:val="continue"/>
            <w:tcBorders>
              <w:left w:val="single" w:color="auto" w:sz="4" w:space="0"/>
              <w:bottom w:val="single" w:color="auto" w:sz="4" w:space="0"/>
              <w:right w:val="single" w:color="auto" w:sz="4" w:space="0"/>
            </w:tcBorders>
            <w:vAlign w:val="center"/>
          </w:tcPr>
          <w:p w14:paraId="4E8A9CF1">
            <w:pPr>
              <w:widowControl/>
              <w:spacing w:line="240" w:lineRule="auto"/>
              <w:ind w:firstLine="0" w:firstLineChars="0"/>
              <w:jc w:val="left"/>
              <w:rPr>
                <w:rFonts w:hint="default" w:ascii="Times New Roman" w:hAnsi="Times New Roman" w:eastAsia="仿宋"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015B98E">
            <w:pPr>
              <w:widowControl/>
              <w:spacing w:line="240" w:lineRule="auto"/>
              <w:ind w:firstLine="0" w:firstLineChars="0"/>
              <w:jc w:val="left"/>
              <w:rPr>
                <w:rFonts w:hint="default" w:ascii="Times New Roman" w:hAnsi="Times New Roman" w:eastAsia="仿宋" w:cs="Times New Roman"/>
                <w:sz w:val="21"/>
                <w:szCs w:val="21"/>
              </w:rPr>
            </w:pPr>
          </w:p>
        </w:tc>
        <w:tc>
          <w:tcPr>
            <w:tcW w:w="532" w:type="dxa"/>
            <w:tcBorders>
              <w:top w:val="single" w:color="auto" w:sz="4" w:space="0"/>
              <w:left w:val="single" w:color="auto" w:sz="4" w:space="0"/>
              <w:bottom w:val="single" w:color="auto" w:sz="4" w:space="0"/>
              <w:right w:val="single" w:color="auto" w:sz="4" w:space="0"/>
            </w:tcBorders>
            <w:vAlign w:val="center"/>
          </w:tcPr>
          <w:p w14:paraId="1354020C">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16</w:t>
            </w:r>
          </w:p>
        </w:tc>
        <w:tc>
          <w:tcPr>
            <w:tcW w:w="2662" w:type="dxa"/>
            <w:tcBorders>
              <w:top w:val="single" w:color="auto" w:sz="4" w:space="0"/>
              <w:left w:val="single" w:color="auto" w:sz="4" w:space="0"/>
              <w:bottom w:val="single" w:color="auto" w:sz="4" w:space="0"/>
              <w:right w:val="single" w:color="auto" w:sz="4" w:space="0"/>
            </w:tcBorders>
            <w:vAlign w:val="center"/>
          </w:tcPr>
          <w:p w14:paraId="5E0E6300">
            <w:pPr>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sz w:val="21"/>
                <w:szCs w:val="21"/>
              </w:rPr>
              <w:t>一般工业固体废物综合利用率</w:t>
            </w:r>
          </w:p>
        </w:tc>
        <w:tc>
          <w:tcPr>
            <w:tcW w:w="709" w:type="dxa"/>
            <w:tcBorders>
              <w:top w:val="single" w:color="auto" w:sz="4" w:space="0"/>
              <w:left w:val="single" w:color="auto" w:sz="4" w:space="0"/>
              <w:bottom w:val="single" w:color="auto" w:sz="4" w:space="0"/>
              <w:right w:val="single" w:color="auto" w:sz="4" w:space="0"/>
            </w:tcBorders>
            <w:vAlign w:val="center"/>
          </w:tcPr>
          <w:p w14:paraId="68944FD6">
            <w:pPr>
              <w:widowControl/>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5883CEB9">
            <w:pPr>
              <w:widowControl/>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保持稳定或持续改善</w:t>
            </w:r>
          </w:p>
        </w:tc>
        <w:tc>
          <w:tcPr>
            <w:tcW w:w="1843" w:type="dxa"/>
            <w:tcBorders>
              <w:top w:val="single" w:color="auto" w:sz="4" w:space="0"/>
              <w:left w:val="single" w:color="auto" w:sz="4" w:space="0"/>
              <w:bottom w:val="single" w:color="auto" w:sz="4" w:space="0"/>
              <w:right w:val="single" w:color="auto" w:sz="4" w:space="0"/>
            </w:tcBorders>
            <w:vAlign w:val="center"/>
          </w:tcPr>
          <w:p w14:paraId="40A0B629">
            <w:pPr>
              <w:widowControl/>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14:ligatures w14:val="standardContextual"/>
              </w:rPr>
              <w:t>99.7</w:t>
            </w:r>
          </w:p>
        </w:tc>
        <w:tc>
          <w:tcPr>
            <w:tcW w:w="1843" w:type="dxa"/>
            <w:tcBorders>
              <w:top w:val="single" w:color="auto" w:sz="4" w:space="0"/>
              <w:left w:val="single" w:color="auto" w:sz="4" w:space="0"/>
              <w:bottom w:val="single" w:color="auto" w:sz="4" w:space="0"/>
              <w:right w:val="single" w:color="auto" w:sz="4" w:space="0"/>
            </w:tcBorders>
            <w:vAlign w:val="center"/>
          </w:tcPr>
          <w:p w14:paraId="04838BB8">
            <w:pPr>
              <w:widowControl/>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14:ligatures w14:val="standardContextual"/>
              </w:rPr>
              <w:t>保持稳定</w:t>
            </w:r>
          </w:p>
        </w:tc>
        <w:tc>
          <w:tcPr>
            <w:tcW w:w="1559" w:type="dxa"/>
            <w:tcBorders>
              <w:top w:val="single" w:color="auto" w:sz="4" w:space="0"/>
              <w:left w:val="single" w:color="auto" w:sz="4" w:space="0"/>
              <w:bottom w:val="single" w:color="auto" w:sz="4" w:space="0"/>
              <w:right w:val="single" w:color="auto" w:sz="4" w:space="0"/>
            </w:tcBorders>
            <w:vAlign w:val="center"/>
          </w:tcPr>
          <w:p w14:paraId="72ED42FF">
            <w:pPr>
              <w:widowControl/>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14:ligatures w14:val="standardContextual"/>
              </w:rPr>
              <w:t>保持稳定</w:t>
            </w:r>
          </w:p>
        </w:tc>
        <w:tc>
          <w:tcPr>
            <w:tcW w:w="1195" w:type="dxa"/>
            <w:tcBorders>
              <w:top w:val="single" w:color="auto" w:sz="4" w:space="0"/>
              <w:left w:val="single" w:color="auto" w:sz="4" w:space="0"/>
              <w:bottom w:val="single" w:color="auto" w:sz="4" w:space="0"/>
              <w:right w:val="single" w:color="auto" w:sz="4" w:space="0"/>
            </w:tcBorders>
            <w:vAlign w:val="center"/>
          </w:tcPr>
          <w:p w14:paraId="0B87CB0E">
            <w:pPr>
              <w:widowControl/>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达标</w:t>
            </w:r>
          </w:p>
        </w:tc>
      </w:tr>
      <w:tr w14:paraId="5CC0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527" w:type="dxa"/>
            <w:vMerge w:val="restart"/>
            <w:tcBorders>
              <w:top w:val="single" w:color="auto" w:sz="4" w:space="0"/>
              <w:left w:val="single" w:color="auto" w:sz="4" w:space="0"/>
              <w:bottom w:val="single" w:color="auto" w:sz="4" w:space="0"/>
              <w:right w:val="single" w:color="auto" w:sz="4" w:space="0"/>
            </w:tcBorders>
            <w:vAlign w:val="center"/>
          </w:tcPr>
          <w:p w14:paraId="249A2908">
            <w:pPr>
              <w:widowControl/>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生态文化</w:t>
            </w:r>
          </w:p>
        </w:tc>
        <w:tc>
          <w:tcPr>
            <w:tcW w:w="702" w:type="dxa"/>
            <w:vMerge w:val="restart"/>
            <w:tcBorders>
              <w:top w:val="single" w:color="auto" w:sz="4" w:space="0"/>
              <w:left w:val="single" w:color="auto" w:sz="4" w:space="0"/>
              <w:bottom w:val="single" w:color="auto" w:sz="4" w:space="0"/>
              <w:right w:val="single" w:color="auto" w:sz="4" w:space="0"/>
            </w:tcBorders>
            <w:vAlign w:val="center"/>
          </w:tcPr>
          <w:p w14:paraId="646217CC">
            <w:pPr>
              <w:widowControl/>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（七）</w:t>
            </w:r>
          </w:p>
          <w:p w14:paraId="36FEABE0">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全民共建共享</w:t>
            </w:r>
          </w:p>
        </w:tc>
        <w:tc>
          <w:tcPr>
            <w:tcW w:w="532" w:type="dxa"/>
            <w:tcBorders>
              <w:top w:val="single" w:color="auto" w:sz="4" w:space="0"/>
              <w:left w:val="single" w:color="auto" w:sz="4" w:space="0"/>
              <w:bottom w:val="single" w:color="auto" w:sz="4" w:space="0"/>
              <w:right w:val="single" w:color="auto" w:sz="4" w:space="0"/>
            </w:tcBorders>
            <w:vAlign w:val="center"/>
          </w:tcPr>
          <w:p w14:paraId="10DC559F">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17</w:t>
            </w:r>
          </w:p>
        </w:tc>
        <w:tc>
          <w:tcPr>
            <w:tcW w:w="2662" w:type="dxa"/>
            <w:tcBorders>
              <w:top w:val="single" w:color="auto" w:sz="4" w:space="0"/>
              <w:left w:val="single" w:color="auto" w:sz="4" w:space="0"/>
              <w:bottom w:val="single" w:color="auto" w:sz="4" w:space="0"/>
              <w:right w:val="single" w:color="auto" w:sz="4" w:space="0"/>
            </w:tcBorders>
            <w:vAlign w:val="center"/>
          </w:tcPr>
          <w:p w14:paraId="11754A39">
            <w:pPr>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sz w:val="21"/>
                <w:szCs w:val="21"/>
              </w:rPr>
              <w:t>公众对生态环境质量满意程度</w:t>
            </w:r>
          </w:p>
        </w:tc>
        <w:tc>
          <w:tcPr>
            <w:tcW w:w="709" w:type="dxa"/>
            <w:tcBorders>
              <w:top w:val="single" w:color="auto" w:sz="4" w:space="0"/>
              <w:left w:val="single" w:color="auto" w:sz="4" w:space="0"/>
              <w:bottom w:val="single" w:color="auto" w:sz="4" w:space="0"/>
              <w:right w:val="single" w:color="auto" w:sz="4" w:space="0"/>
            </w:tcBorders>
            <w:vAlign w:val="center"/>
          </w:tcPr>
          <w:p w14:paraId="7E3B7C8B">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0DAC524E">
            <w:pPr>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≥90</w:t>
            </w:r>
          </w:p>
        </w:tc>
        <w:tc>
          <w:tcPr>
            <w:tcW w:w="1843" w:type="dxa"/>
            <w:tcBorders>
              <w:top w:val="single" w:color="auto" w:sz="4" w:space="0"/>
              <w:left w:val="single" w:color="auto" w:sz="4" w:space="0"/>
              <w:bottom w:val="single" w:color="auto" w:sz="4" w:space="0"/>
              <w:right w:val="single" w:color="auto" w:sz="4" w:space="0"/>
            </w:tcBorders>
            <w:vAlign w:val="center"/>
          </w:tcPr>
          <w:p w14:paraId="46BB19E3">
            <w:pPr>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正在开展调查</w:t>
            </w:r>
          </w:p>
        </w:tc>
        <w:tc>
          <w:tcPr>
            <w:tcW w:w="1843" w:type="dxa"/>
            <w:tcBorders>
              <w:top w:val="single" w:color="auto" w:sz="4" w:space="0"/>
              <w:left w:val="single" w:color="auto" w:sz="4" w:space="0"/>
              <w:bottom w:val="single" w:color="auto" w:sz="4" w:space="0"/>
              <w:right w:val="single" w:color="auto" w:sz="4" w:space="0"/>
            </w:tcBorders>
            <w:vAlign w:val="center"/>
          </w:tcPr>
          <w:p w14:paraId="5C4A8AB5">
            <w:pPr>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≥90</w:t>
            </w:r>
          </w:p>
        </w:tc>
        <w:tc>
          <w:tcPr>
            <w:tcW w:w="1559" w:type="dxa"/>
            <w:tcBorders>
              <w:top w:val="single" w:color="auto" w:sz="4" w:space="0"/>
              <w:left w:val="single" w:color="auto" w:sz="4" w:space="0"/>
              <w:bottom w:val="single" w:color="auto" w:sz="4" w:space="0"/>
              <w:right w:val="single" w:color="auto" w:sz="4" w:space="0"/>
            </w:tcBorders>
            <w:vAlign w:val="center"/>
          </w:tcPr>
          <w:p w14:paraId="42DFF570">
            <w:pPr>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≥95</w:t>
            </w:r>
          </w:p>
        </w:tc>
        <w:tc>
          <w:tcPr>
            <w:tcW w:w="1195" w:type="dxa"/>
            <w:tcBorders>
              <w:top w:val="single" w:color="auto" w:sz="4" w:space="0"/>
              <w:left w:val="single" w:color="auto" w:sz="4" w:space="0"/>
              <w:bottom w:val="single" w:color="auto" w:sz="4" w:space="0"/>
              <w:right w:val="single" w:color="auto" w:sz="4" w:space="0"/>
            </w:tcBorders>
            <w:vAlign w:val="center"/>
          </w:tcPr>
          <w:p w14:paraId="0EACF59D">
            <w:pPr>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r>
      <w:tr w14:paraId="4A4E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2AC4F5E">
            <w:pPr>
              <w:widowControl/>
              <w:spacing w:line="240" w:lineRule="auto"/>
              <w:ind w:firstLine="0" w:firstLineChars="0"/>
              <w:jc w:val="left"/>
              <w:rPr>
                <w:rFonts w:hint="default" w:ascii="Times New Roman" w:hAnsi="Times New Roman" w:eastAsia="仿宋"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33C522D">
            <w:pPr>
              <w:widowControl/>
              <w:spacing w:line="240" w:lineRule="auto"/>
              <w:ind w:firstLine="0" w:firstLineChars="0"/>
              <w:jc w:val="left"/>
              <w:rPr>
                <w:rFonts w:hint="default" w:ascii="Times New Roman" w:hAnsi="Times New Roman" w:eastAsia="仿宋" w:cs="Times New Roman"/>
                <w:sz w:val="21"/>
                <w:szCs w:val="21"/>
              </w:rPr>
            </w:pPr>
          </w:p>
        </w:tc>
        <w:tc>
          <w:tcPr>
            <w:tcW w:w="532" w:type="dxa"/>
            <w:tcBorders>
              <w:top w:val="single" w:color="auto" w:sz="4" w:space="0"/>
              <w:left w:val="single" w:color="auto" w:sz="4" w:space="0"/>
              <w:bottom w:val="single" w:color="auto" w:sz="4" w:space="0"/>
              <w:right w:val="single" w:color="auto" w:sz="4" w:space="0"/>
            </w:tcBorders>
            <w:vAlign w:val="center"/>
          </w:tcPr>
          <w:p w14:paraId="3D6637EB">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18</w:t>
            </w:r>
          </w:p>
        </w:tc>
        <w:tc>
          <w:tcPr>
            <w:tcW w:w="2662" w:type="dxa"/>
            <w:tcBorders>
              <w:top w:val="single" w:color="auto" w:sz="4" w:space="0"/>
              <w:left w:val="single" w:color="auto" w:sz="4" w:space="0"/>
              <w:bottom w:val="single" w:color="auto" w:sz="4" w:space="0"/>
              <w:right w:val="single" w:color="auto" w:sz="4" w:space="0"/>
            </w:tcBorders>
            <w:vAlign w:val="center"/>
          </w:tcPr>
          <w:p w14:paraId="1964EFFE">
            <w:pPr>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城镇新建绿色建筑比例</w:t>
            </w:r>
          </w:p>
        </w:tc>
        <w:tc>
          <w:tcPr>
            <w:tcW w:w="709" w:type="dxa"/>
            <w:tcBorders>
              <w:top w:val="single" w:color="auto" w:sz="4" w:space="0"/>
              <w:left w:val="single" w:color="auto" w:sz="4" w:space="0"/>
              <w:bottom w:val="single" w:color="auto" w:sz="4" w:space="0"/>
              <w:right w:val="single" w:color="auto" w:sz="4" w:space="0"/>
            </w:tcBorders>
            <w:vAlign w:val="center"/>
          </w:tcPr>
          <w:p w14:paraId="014E9CB6">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7AD96876">
            <w:pPr>
              <w:widowControl/>
              <w:spacing w:after="120"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100</w:t>
            </w:r>
          </w:p>
        </w:tc>
        <w:tc>
          <w:tcPr>
            <w:tcW w:w="1843" w:type="dxa"/>
            <w:tcBorders>
              <w:top w:val="single" w:color="auto" w:sz="4" w:space="0"/>
              <w:left w:val="single" w:color="auto" w:sz="4" w:space="0"/>
              <w:bottom w:val="single" w:color="auto" w:sz="4" w:space="0"/>
              <w:right w:val="single" w:color="auto" w:sz="4" w:space="0"/>
            </w:tcBorders>
            <w:vAlign w:val="center"/>
          </w:tcPr>
          <w:p w14:paraId="475DFF1D">
            <w:pPr>
              <w:widowControl/>
              <w:spacing w:after="120"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14:ligatures w14:val="standardContextual"/>
              </w:rPr>
              <w:t>100</w:t>
            </w:r>
          </w:p>
        </w:tc>
        <w:tc>
          <w:tcPr>
            <w:tcW w:w="1843" w:type="dxa"/>
            <w:tcBorders>
              <w:top w:val="single" w:color="auto" w:sz="4" w:space="0"/>
              <w:left w:val="single" w:color="auto" w:sz="4" w:space="0"/>
              <w:bottom w:val="single" w:color="auto" w:sz="4" w:space="0"/>
              <w:right w:val="single" w:color="auto" w:sz="4" w:space="0"/>
            </w:tcBorders>
            <w:vAlign w:val="center"/>
          </w:tcPr>
          <w:p w14:paraId="13262FD9">
            <w:pPr>
              <w:widowControl/>
              <w:spacing w:after="120"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14:ligatures w14:val="standardContextual"/>
              </w:rPr>
              <w:t>100</w:t>
            </w:r>
          </w:p>
        </w:tc>
        <w:tc>
          <w:tcPr>
            <w:tcW w:w="1559" w:type="dxa"/>
            <w:tcBorders>
              <w:top w:val="single" w:color="auto" w:sz="4" w:space="0"/>
              <w:left w:val="single" w:color="auto" w:sz="4" w:space="0"/>
              <w:bottom w:val="single" w:color="auto" w:sz="4" w:space="0"/>
              <w:right w:val="single" w:color="auto" w:sz="4" w:space="0"/>
            </w:tcBorders>
            <w:vAlign w:val="center"/>
          </w:tcPr>
          <w:p w14:paraId="2ADB8CD2">
            <w:pPr>
              <w:widowControl/>
              <w:spacing w:after="120"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14:ligatures w14:val="standardContextual"/>
              </w:rPr>
              <w:t>100</w:t>
            </w:r>
          </w:p>
        </w:tc>
        <w:tc>
          <w:tcPr>
            <w:tcW w:w="1195" w:type="dxa"/>
            <w:tcBorders>
              <w:top w:val="single" w:color="auto" w:sz="4" w:space="0"/>
              <w:left w:val="single" w:color="auto" w:sz="4" w:space="0"/>
              <w:bottom w:val="single" w:color="auto" w:sz="4" w:space="0"/>
              <w:right w:val="single" w:color="auto" w:sz="4" w:space="0"/>
            </w:tcBorders>
            <w:vAlign w:val="center"/>
          </w:tcPr>
          <w:p w14:paraId="4F46026D">
            <w:pPr>
              <w:widowControl/>
              <w:spacing w:after="120"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达标</w:t>
            </w:r>
          </w:p>
        </w:tc>
      </w:tr>
      <w:tr w14:paraId="6E6D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527" w:type="dxa"/>
            <w:tcBorders>
              <w:top w:val="single" w:color="auto" w:sz="4" w:space="0"/>
              <w:left w:val="single" w:color="auto" w:sz="4" w:space="0"/>
              <w:bottom w:val="single" w:color="auto" w:sz="4" w:space="0"/>
              <w:right w:val="single" w:color="auto" w:sz="4" w:space="0"/>
            </w:tcBorders>
            <w:vAlign w:val="center"/>
          </w:tcPr>
          <w:p w14:paraId="0940F197">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生态文明制度</w:t>
            </w:r>
          </w:p>
        </w:tc>
        <w:tc>
          <w:tcPr>
            <w:tcW w:w="702" w:type="dxa"/>
            <w:tcBorders>
              <w:top w:val="single" w:color="auto" w:sz="4" w:space="0"/>
              <w:left w:val="single" w:color="auto" w:sz="4" w:space="0"/>
              <w:bottom w:val="single" w:color="auto" w:sz="4" w:space="0"/>
              <w:right w:val="single" w:color="auto" w:sz="4" w:space="0"/>
            </w:tcBorders>
            <w:vAlign w:val="center"/>
          </w:tcPr>
          <w:p w14:paraId="37FF9A48">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（八）</w:t>
            </w:r>
          </w:p>
          <w:p w14:paraId="4B45C72D">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体制机制保障</w:t>
            </w:r>
          </w:p>
        </w:tc>
        <w:tc>
          <w:tcPr>
            <w:tcW w:w="532" w:type="dxa"/>
            <w:tcBorders>
              <w:top w:val="single" w:color="auto" w:sz="4" w:space="0"/>
              <w:left w:val="single" w:color="auto" w:sz="4" w:space="0"/>
              <w:bottom w:val="single" w:color="auto" w:sz="4" w:space="0"/>
              <w:right w:val="single" w:color="auto" w:sz="4" w:space="0"/>
            </w:tcBorders>
            <w:vAlign w:val="center"/>
          </w:tcPr>
          <w:p w14:paraId="4EE86E93">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19</w:t>
            </w:r>
          </w:p>
        </w:tc>
        <w:tc>
          <w:tcPr>
            <w:tcW w:w="2662" w:type="dxa"/>
            <w:tcBorders>
              <w:top w:val="single" w:color="auto" w:sz="4" w:space="0"/>
              <w:left w:val="single" w:color="auto" w:sz="4" w:space="0"/>
              <w:bottom w:val="single" w:color="auto" w:sz="4" w:space="0"/>
              <w:right w:val="single" w:color="auto" w:sz="4" w:space="0"/>
            </w:tcBorders>
            <w:vAlign w:val="center"/>
          </w:tcPr>
          <w:p w14:paraId="3ABCE141">
            <w:pPr>
              <w:adjustRightInd w:val="0"/>
              <w:snapToGrid w:val="0"/>
              <w:spacing w:line="240" w:lineRule="auto"/>
              <w:ind w:firstLine="0" w:firstLineChars="0"/>
              <w:jc w:val="center"/>
              <w:rPr>
                <w:rFonts w:hint="default" w:ascii="Times New Roman" w:hAnsi="Times New Roman" w:eastAsia="仿宋" w:cs="Times New Roman"/>
                <w:spacing w:val="-4"/>
                <w:sz w:val="21"/>
                <w:szCs w:val="21"/>
              </w:rPr>
            </w:pPr>
            <w:r>
              <w:rPr>
                <w:rFonts w:hint="default" w:ascii="Times New Roman" w:hAnsi="Times New Roman" w:eastAsia="仿宋" w:cs="Times New Roman"/>
                <w:spacing w:val="-4"/>
                <w:sz w:val="21"/>
                <w:szCs w:val="21"/>
              </w:rPr>
              <w:t>生态环境信息公开率</w:t>
            </w:r>
          </w:p>
        </w:tc>
        <w:tc>
          <w:tcPr>
            <w:tcW w:w="709" w:type="dxa"/>
            <w:tcBorders>
              <w:top w:val="single" w:color="auto" w:sz="4" w:space="0"/>
              <w:left w:val="single" w:color="auto" w:sz="4" w:space="0"/>
              <w:bottom w:val="single" w:color="auto" w:sz="4" w:space="0"/>
              <w:right w:val="single" w:color="auto" w:sz="4" w:space="0"/>
            </w:tcBorders>
            <w:vAlign w:val="center"/>
          </w:tcPr>
          <w:p w14:paraId="142B666F">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367D60C1">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100</w:t>
            </w:r>
          </w:p>
        </w:tc>
        <w:tc>
          <w:tcPr>
            <w:tcW w:w="1843" w:type="dxa"/>
            <w:tcBorders>
              <w:top w:val="single" w:color="auto" w:sz="4" w:space="0"/>
              <w:left w:val="single" w:color="auto" w:sz="4" w:space="0"/>
              <w:bottom w:val="single" w:color="auto" w:sz="4" w:space="0"/>
              <w:right w:val="single" w:color="auto" w:sz="4" w:space="0"/>
            </w:tcBorders>
            <w:vAlign w:val="center"/>
          </w:tcPr>
          <w:p w14:paraId="6186B468">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14:ligatures w14:val="standardContextual"/>
              </w:rPr>
              <w:t>100</w:t>
            </w:r>
          </w:p>
        </w:tc>
        <w:tc>
          <w:tcPr>
            <w:tcW w:w="1843" w:type="dxa"/>
            <w:tcBorders>
              <w:top w:val="single" w:color="auto" w:sz="4" w:space="0"/>
              <w:left w:val="single" w:color="auto" w:sz="4" w:space="0"/>
              <w:bottom w:val="single" w:color="auto" w:sz="4" w:space="0"/>
              <w:right w:val="single" w:color="auto" w:sz="4" w:space="0"/>
            </w:tcBorders>
            <w:vAlign w:val="center"/>
          </w:tcPr>
          <w:p w14:paraId="069F1CFD">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14:ligatures w14:val="standardContextual"/>
              </w:rPr>
              <w:t>100</w:t>
            </w:r>
          </w:p>
        </w:tc>
        <w:tc>
          <w:tcPr>
            <w:tcW w:w="1559" w:type="dxa"/>
            <w:tcBorders>
              <w:top w:val="single" w:color="auto" w:sz="4" w:space="0"/>
              <w:left w:val="single" w:color="auto" w:sz="4" w:space="0"/>
              <w:bottom w:val="single" w:color="auto" w:sz="4" w:space="0"/>
              <w:right w:val="single" w:color="auto" w:sz="4" w:space="0"/>
            </w:tcBorders>
            <w:vAlign w:val="center"/>
          </w:tcPr>
          <w:p w14:paraId="312834F9">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14:ligatures w14:val="standardContextual"/>
              </w:rPr>
              <w:t>100</w:t>
            </w:r>
          </w:p>
        </w:tc>
        <w:tc>
          <w:tcPr>
            <w:tcW w:w="1195" w:type="dxa"/>
            <w:tcBorders>
              <w:top w:val="single" w:color="auto" w:sz="4" w:space="0"/>
              <w:left w:val="single" w:color="auto" w:sz="4" w:space="0"/>
              <w:bottom w:val="single" w:color="auto" w:sz="4" w:space="0"/>
              <w:right w:val="single" w:color="auto" w:sz="4" w:space="0"/>
            </w:tcBorders>
            <w:vAlign w:val="center"/>
          </w:tcPr>
          <w:p w14:paraId="69AB88EB">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达标</w:t>
            </w:r>
          </w:p>
        </w:tc>
      </w:tr>
      <w:tr w14:paraId="3995C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1229" w:type="dxa"/>
            <w:gridSpan w:val="2"/>
            <w:vMerge w:val="restart"/>
            <w:tcBorders>
              <w:top w:val="single" w:color="auto" w:sz="4" w:space="0"/>
              <w:left w:val="single" w:color="auto" w:sz="4" w:space="0"/>
              <w:bottom w:val="single" w:color="auto" w:sz="4" w:space="0"/>
              <w:right w:val="single" w:color="auto" w:sz="4" w:space="0"/>
            </w:tcBorders>
            <w:vAlign w:val="center"/>
          </w:tcPr>
          <w:p w14:paraId="24FDDEEE">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参考性指标</w:t>
            </w:r>
          </w:p>
        </w:tc>
        <w:tc>
          <w:tcPr>
            <w:tcW w:w="532" w:type="dxa"/>
            <w:tcBorders>
              <w:top w:val="single" w:color="auto" w:sz="4" w:space="0"/>
              <w:left w:val="single" w:color="auto" w:sz="4" w:space="0"/>
              <w:bottom w:val="single" w:color="auto" w:sz="4" w:space="0"/>
              <w:right w:val="single" w:color="auto" w:sz="4" w:space="0"/>
            </w:tcBorders>
            <w:vAlign w:val="center"/>
          </w:tcPr>
          <w:p w14:paraId="6FC3DF78">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c>
          <w:tcPr>
            <w:tcW w:w="2662" w:type="dxa"/>
            <w:tcBorders>
              <w:top w:val="single" w:color="auto" w:sz="4" w:space="0"/>
              <w:left w:val="single" w:color="auto" w:sz="4" w:space="0"/>
              <w:bottom w:val="single" w:color="auto" w:sz="4" w:space="0"/>
              <w:right w:val="single" w:color="auto" w:sz="4" w:space="0"/>
            </w:tcBorders>
            <w:vAlign w:val="center"/>
          </w:tcPr>
          <w:p w14:paraId="2F6FD823">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农村生活污水治理（管控）率</w:t>
            </w:r>
          </w:p>
        </w:tc>
        <w:tc>
          <w:tcPr>
            <w:tcW w:w="709" w:type="dxa"/>
            <w:tcBorders>
              <w:top w:val="single" w:color="auto" w:sz="4" w:space="0"/>
              <w:left w:val="single" w:color="auto" w:sz="4" w:space="0"/>
              <w:bottom w:val="single" w:color="auto" w:sz="4" w:space="0"/>
              <w:right w:val="single" w:color="auto" w:sz="4" w:space="0"/>
            </w:tcBorders>
            <w:vAlign w:val="center"/>
          </w:tcPr>
          <w:p w14:paraId="50F17FEE">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0ABF05E1">
            <w:pPr>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≥60</w:t>
            </w:r>
          </w:p>
        </w:tc>
        <w:tc>
          <w:tcPr>
            <w:tcW w:w="1843" w:type="dxa"/>
            <w:tcBorders>
              <w:top w:val="single" w:color="auto" w:sz="4" w:space="0"/>
              <w:left w:val="single" w:color="auto" w:sz="4" w:space="0"/>
              <w:bottom w:val="single" w:color="auto" w:sz="4" w:space="0"/>
              <w:right w:val="single" w:color="auto" w:sz="4" w:space="0"/>
            </w:tcBorders>
            <w:vAlign w:val="center"/>
          </w:tcPr>
          <w:p w14:paraId="76FD4609">
            <w:pPr>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sz w:val="21"/>
                <w:szCs w:val="21"/>
                <w14:ligatures w14:val="standardContextual"/>
              </w:rPr>
              <w:t>不涉及</w:t>
            </w:r>
          </w:p>
        </w:tc>
        <w:tc>
          <w:tcPr>
            <w:tcW w:w="1843" w:type="dxa"/>
            <w:tcBorders>
              <w:top w:val="single" w:color="auto" w:sz="4" w:space="0"/>
              <w:left w:val="single" w:color="auto" w:sz="4" w:space="0"/>
              <w:bottom w:val="single" w:color="auto" w:sz="4" w:space="0"/>
              <w:right w:val="single" w:color="auto" w:sz="4" w:space="0"/>
            </w:tcBorders>
            <w:vAlign w:val="center"/>
          </w:tcPr>
          <w:p w14:paraId="0315D410">
            <w:pPr>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14:paraId="1ABE24F2">
            <w:pPr>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1195" w:type="dxa"/>
            <w:tcBorders>
              <w:top w:val="single" w:color="auto" w:sz="4" w:space="0"/>
              <w:left w:val="single" w:color="auto" w:sz="4" w:space="0"/>
              <w:bottom w:val="single" w:color="auto" w:sz="4" w:space="0"/>
              <w:right w:val="single" w:color="auto" w:sz="4" w:space="0"/>
            </w:tcBorders>
            <w:vAlign w:val="center"/>
          </w:tcPr>
          <w:p w14:paraId="76FD4F1A">
            <w:pPr>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r>
      <w:tr w14:paraId="1CA1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7EED7D2E">
            <w:pPr>
              <w:widowControl/>
              <w:spacing w:line="240" w:lineRule="auto"/>
              <w:ind w:firstLine="0" w:firstLineChars="0"/>
              <w:jc w:val="left"/>
              <w:rPr>
                <w:rFonts w:hint="default" w:ascii="Times New Roman" w:hAnsi="Times New Roman" w:eastAsia="仿宋" w:cs="Times New Roman"/>
                <w:sz w:val="21"/>
                <w:szCs w:val="21"/>
              </w:rPr>
            </w:pPr>
          </w:p>
        </w:tc>
        <w:tc>
          <w:tcPr>
            <w:tcW w:w="532" w:type="dxa"/>
            <w:tcBorders>
              <w:top w:val="single" w:color="auto" w:sz="4" w:space="0"/>
              <w:left w:val="single" w:color="auto" w:sz="4" w:space="0"/>
              <w:bottom w:val="single" w:color="auto" w:sz="4" w:space="0"/>
              <w:right w:val="single" w:color="auto" w:sz="4" w:space="0"/>
            </w:tcBorders>
            <w:vAlign w:val="center"/>
          </w:tcPr>
          <w:p w14:paraId="6400B4EB">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w:t>
            </w:r>
          </w:p>
        </w:tc>
        <w:tc>
          <w:tcPr>
            <w:tcW w:w="2662" w:type="dxa"/>
            <w:tcBorders>
              <w:top w:val="single" w:color="auto" w:sz="4" w:space="0"/>
              <w:left w:val="single" w:color="auto" w:sz="4" w:space="0"/>
              <w:bottom w:val="single" w:color="auto" w:sz="4" w:space="0"/>
              <w:right w:val="single" w:color="auto" w:sz="4" w:space="0"/>
            </w:tcBorders>
            <w:vAlign w:val="center"/>
          </w:tcPr>
          <w:p w14:paraId="44045DEE">
            <w:pPr>
              <w:adjustRightInd w:val="0"/>
              <w:snapToGrid w:val="0"/>
              <w:spacing w:line="240" w:lineRule="auto"/>
              <w:ind w:firstLine="0" w:firstLineChars="0"/>
              <w:jc w:val="center"/>
              <w:rPr>
                <w:rFonts w:hint="default" w:ascii="Times New Roman" w:hAnsi="Times New Roman" w:eastAsia="仿宋" w:cs="Times New Roman"/>
                <w:spacing w:val="-12"/>
                <w:sz w:val="21"/>
                <w:szCs w:val="21"/>
              </w:rPr>
            </w:pPr>
            <w:r>
              <w:rPr>
                <w:rFonts w:hint="default" w:ascii="Times New Roman" w:hAnsi="Times New Roman" w:eastAsia="仿宋" w:cs="Times New Roman"/>
                <w:spacing w:val="-12"/>
                <w:sz w:val="21"/>
                <w:szCs w:val="21"/>
              </w:rPr>
              <w:t>声环境功能区夜间达标率</w:t>
            </w:r>
          </w:p>
        </w:tc>
        <w:tc>
          <w:tcPr>
            <w:tcW w:w="709" w:type="dxa"/>
            <w:tcBorders>
              <w:top w:val="single" w:color="auto" w:sz="4" w:space="0"/>
              <w:left w:val="single" w:color="auto" w:sz="4" w:space="0"/>
              <w:bottom w:val="single" w:color="auto" w:sz="4" w:space="0"/>
              <w:right w:val="single" w:color="auto" w:sz="4" w:space="0"/>
            </w:tcBorders>
            <w:vAlign w:val="center"/>
          </w:tcPr>
          <w:p w14:paraId="354923DA">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2693B449">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pacing w:val="-4"/>
                <w:sz w:val="21"/>
                <w:szCs w:val="21"/>
              </w:rPr>
              <w:t>完成上级规定的考核任务；保持稳定或持续提高</w:t>
            </w:r>
          </w:p>
        </w:tc>
        <w:tc>
          <w:tcPr>
            <w:tcW w:w="1843" w:type="dxa"/>
            <w:tcBorders>
              <w:top w:val="single" w:color="auto" w:sz="4" w:space="0"/>
              <w:left w:val="single" w:color="auto" w:sz="4" w:space="0"/>
              <w:bottom w:val="single" w:color="auto" w:sz="4" w:space="0"/>
              <w:right w:val="single" w:color="auto" w:sz="4" w:space="0"/>
            </w:tcBorders>
            <w:vAlign w:val="center"/>
          </w:tcPr>
          <w:p w14:paraId="40AD00EC">
            <w:pPr>
              <w:adjustRightInd w:val="0"/>
              <w:snapToGrid w:val="0"/>
              <w:spacing w:line="240" w:lineRule="auto"/>
              <w:ind w:firstLine="0" w:firstLineChars="0"/>
              <w:jc w:val="center"/>
              <w:rPr>
                <w:rFonts w:hint="default" w:ascii="Times New Roman" w:hAnsi="Times New Roman" w:eastAsia="仿宋" w:cs="Times New Roman"/>
                <w:spacing w:val="-4"/>
                <w:sz w:val="21"/>
                <w:szCs w:val="21"/>
              </w:rPr>
            </w:pPr>
            <w:r>
              <w:rPr>
                <w:rFonts w:hint="default" w:ascii="Times New Roman" w:hAnsi="Times New Roman" w:eastAsia="仿宋" w:cs="Times New Roman"/>
                <w:spacing w:val="-4"/>
                <w:sz w:val="21"/>
                <w:szCs w:val="21"/>
              </w:rPr>
              <w:t>上级未下达考核任务</w:t>
            </w:r>
          </w:p>
        </w:tc>
        <w:tc>
          <w:tcPr>
            <w:tcW w:w="1843" w:type="dxa"/>
            <w:tcBorders>
              <w:top w:val="single" w:color="auto" w:sz="4" w:space="0"/>
              <w:left w:val="single" w:color="auto" w:sz="4" w:space="0"/>
              <w:bottom w:val="single" w:color="auto" w:sz="4" w:space="0"/>
              <w:right w:val="single" w:color="auto" w:sz="4" w:space="0"/>
            </w:tcBorders>
            <w:vAlign w:val="center"/>
          </w:tcPr>
          <w:p w14:paraId="31C59A3D">
            <w:pPr>
              <w:adjustRightInd w:val="0"/>
              <w:snapToGrid w:val="0"/>
              <w:spacing w:line="240" w:lineRule="auto"/>
              <w:ind w:firstLine="0" w:firstLineChars="0"/>
              <w:jc w:val="center"/>
              <w:rPr>
                <w:rFonts w:hint="default" w:ascii="Times New Roman" w:hAnsi="Times New Roman" w:eastAsia="仿宋" w:cs="Times New Roman"/>
                <w:spacing w:val="-4"/>
                <w:sz w:val="21"/>
                <w:szCs w:val="21"/>
              </w:rPr>
            </w:pPr>
            <w:r>
              <w:rPr>
                <w:rFonts w:hint="default" w:ascii="Times New Roman" w:hAnsi="Times New Roman" w:eastAsia="仿宋" w:cs="Times New Roman"/>
                <w:spacing w:val="-4"/>
                <w:sz w:val="21"/>
                <w:szCs w:val="21"/>
              </w:rPr>
              <w:t>完成上级任务，保持稳定或提升</w:t>
            </w:r>
          </w:p>
        </w:tc>
        <w:tc>
          <w:tcPr>
            <w:tcW w:w="1559" w:type="dxa"/>
            <w:tcBorders>
              <w:top w:val="single" w:color="auto" w:sz="4" w:space="0"/>
              <w:left w:val="single" w:color="auto" w:sz="4" w:space="0"/>
              <w:bottom w:val="single" w:color="auto" w:sz="4" w:space="0"/>
              <w:right w:val="single" w:color="auto" w:sz="4" w:space="0"/>
            </w:tcBorders>
            <w:vAlign w:val="center"/>
          </w:tcPr>
          <w:p w14:paraId="36D65379">
            <w:pPr>
              <w:adjustRightInd w:val="0"/>
              <w:snapToGrid w:val="0"/>
              <w:spacing w:line="240" w:lineRule="auto"/>
              <w:ind w:firstLine="0" w:firstLineChars="0"/>
              <w:jc w:val="center"/>
              <w:rPr>
                <w:rFonts w:hint="default" w:ascii="Times New Roman" w:hAnsi="Times New Roman" w:eastAsia="仿宋" w:cs="Times New Roman"/>
                <w:spacing w:val="-4"/>
                <w:sz w:val="21"/>
                <w:szCs w:val="21"/>
              </w:rPr>
            </w:pPr>
            <w:r>
              <w:rPr>
                <w:rFonts w:hint="default" w:ascii="Times New Roman" w:hAnsi="Times New Roman" w:eastAsia="仿宋" w:cs="Times New Roman"/>
                <w:spacing w:val="-4"/>
                <w:sz w:val="21"/>
                <w:szCs w:val="21"/>
              </w:rPr>
              <w:t>完成上级任务，保持稳定或提升</w:t>
            </w:r>
          </w:p>
        </w:tc>
        <w:tc>
          <w:tcPr>
            <w:tcW w:w="1195" w:type="dxa"/>
            <w:tcBorders>
              <w:top w:val="single" w:color="auto" w:sz="4" w:space="0"/>
              <w:left w:val="single" w:color="auto" w:sz="4" w:space="0"/>
              <w:bottom w:val="single" w:color="auto" w:sz="4" w:space="0"/>
              <w:right w:val="single" w:color="auto" w:sz="4" w:space="0"/>
            </w:tcBorders>
            <w:vAlign w:val="center"/>
          </w:tcPr>
          <w:p w14:paraId="04E9CEAF">
            <w:pPr>
              <w:adjustRightInd w:val="0"/>
              <w:snapToGrid w:val="0"/>
              <w:spacing w:line="240" w:lineRule="auto"/>
              <w:ind w:firstLine="0" w:firstLineChars="0"/>
              <w:jc w:val="center"/>
              <w:rPr>
                <w:rFonts w:hint="default" w:ascii="Times New Roman" w:hAnsi="Times New Roman" w:eastAsia="仿宋" w:cs="Times New Roman"/>
                <w:spacing w:val="-4"/>
                <w:sz w:val="21"/>
                <w:szCs w:val="21"/>
              </w:rPr>
            </w:pPr>
            <w:r>
              <w:rPr>
                <w:rFonts w:hint="default" w:ascii="Times New Roman" w:hAnsi="Times New Roman" w:eastAsia="仿宋" w:cs="Times New Roman"/>
                <w:kern w:val="0"/>
                <w:sz w:val="21"/>
                <w:szCs w:val="21"/>
              </w:rPr>
              <w:t>/</w:t>
            </w:r>
          </w:p>
        </w:tc>
      </w:tr>
      <w:tr w14:paraId="6D06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316612FD">
            <w:pPr>
              <w:widowControl/>
              <w:spacing w:line="240" w:lineRule="auto"/>
              <w:ind w:firstLine="0" w:firstLineChars="0"/>
              <w:jc w:val="left"/>
              <w:rPr>
                <w:rFonts w:hint="default" w:ascii="Times New Roman" w:hAnsi="Times New Roman" w:eastAsia="仿宋" w:cs="Times New Roman"/>
                <w:sz w:val="21"/>
                <w:szCs w:val="21"/>
              </w:rPr>
            </w:pPr>
          </w:p>
        </w:tc>
        <w:tc>
          <w:tcPr>
            <w:tcW w:w="532" w:type="dxa"/>
            <w:tcBorders>
              <w:top w:val="single" w:color="auto" w:sz="4" w:space="0"/>
              <w:left w:val="single" w:color="auto" w:sz="4" w:space="0"/>
              <w:bottom w:val="single" w:color="auto" w:sz="4" w:space="0"/>
              <w:right w:val="single" w:color="auto" w:sz="4" w:space="0"/>
            </w:tcBorders>
            <w:vAlign w:val="center"/>
          </w:tcPr>
          <w:p w14:paraId="5E9ECF1D">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w:t>
            </w:r>
          </w:p>
        </w:tc>
        <w:tc>
          <w:tcPr>
            <w:tcW w:w="2662" w:type="dxa"/>
            <w:tcBorders>
              <w:top w:val="single" w:color="auto" w:sz="4" w:space="0"/>
              <w:left w:val="single" w:color="auto" w:sz="4" w:space="0"/>
              <w:bottom w:val="single" w:color="auto" w:sz="4" w:space="0"/>
              <w:right w:val="single" w:color="auto" w:sz="4" w:space="0"/>
            </w:tcBorders>
            <w:vAlign w:val="center"/>
          </w:tcPr>
          <w:p w14:paraId="18B51F17">
            <w:pPr>
              <w:adjustRightInd w:val="0"/>
              <w:snapToGrid w:val="0"/>
              <w:spacing w:line="240" w:lineRule="auto"/>
              <w:ind w:firstLine="0" w:firstLineChars="0"/>
              <w:jc w:val="center"/>
              <w:rPr>
                <w:rFonts w:hint="default" w:ascii="Times New Roman" w:hAnsi="Times New Roman" w:eastAsia="仿宋" w:cs="Times New Roman"/>
                <w:spacing w:val="-12"/>
                <w:sz w:val="21"/>
                <w:szCs w:val="21"/>
              </w:rPr>
            </w:pPr>
            <w:r>
              <w:rPr>
                <w:rFonts w:hint="default" w:ascii="Times New Roman" w:hAnsi="Times New Roman" w:eastAsia="仿宋" w:cs="Times New Roman"/>
                <w:spacing w:val="-12"/>
                <w:sz w:val="21"/>
                <w:szCs w:val="21"/>
              </w:rPr>
              <w:t>危险废物填埋处置量占比</w:t>
            </w:r>
          </w:p>
        </w:tc>
        <w:tc>
          <w:tcPr>
            <w:tcW w:w="709" w:type="dxa"/>
            <w:tcBorders>
              <w:top w:val="single" w:color="auto" w:sz="4" w:space="0"/>
              <w:left w:val="single" w:color="auto" w:sz="4" w:space="0"/>
              <w:bottom w:val="single" w:color="auto" w:sz="4" w:space="0"/>
              <w:right w:val="single" w:color="auto" w:sz="4" w:space="0"/>
            </w:tcBorders>
            <w:vAlign w:val="center"/>
          </w:tcPr>
          <w:p w14:paraId="794466B8">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14F5C0E4">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持续下降</w:t>
            </w:r>
          </w:p>
        </w:tc>
        <w:tc>
          <w:tcPr>
            <w:tcW w:w="1843" w:type="dxa"/>
            <w:tcBorders>
              <w:top w:val="single" w:color="auto" w:sz="4" w:space="0"/>
              <w:left w:val="single" w:color="auto" w:sz="4" w:space="0"/>
              <w:bottom w:val="single" w:color="auto" w:sz="4" w:space="0"/>
              <w:right w:val="single" w:color="auto" w:sz="4" w:space="0"/>
            </w:tcBorders>
            <w:vAlign w:val="center"/>
          </w:tcPr>
          <w:p w14:paraId="2D30318D">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7.65</w:t>
            </w:r>
          </w:p>
        </w:tc>
        <w:tc>
          <w:tcPr>
            <w:tcW w:w="1843" w:type="dxa"/>
            <w:tcBorders>
              <w:top w:val="single" w:color="auto" w:sz="4" w:space="0"/>
              <w:left w:val="single" w:color="auto" w:sz="4" w:space="0"/>
              <w:bottom w:val="single" w:color="auto" w:sz="4" w:space="0"/>
              <w:right w:val="single" w:color="auto" w:sz="4" w:space="0"/>
            </w:tcBorders>
            <w:vAlign w:val="center"/>
          </w:tcPr>
          <w:p w14:paraId="65EEA6F8">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持续下降</w:t>
            </w:r>
          </w:p>
        </w:tc>
        <w:tc>
          <w:tcPr>
            <w:tcW w:w="1559" w:type="dxa"/>
            <w:tcBorders>
              <w:top w:val="single" w:color="auto" w:sz="4" w:space="0"/>
              <w:left w:val="single" w:color="auto" w:sz="4" w:space="0"/>
              <w:bottom w:val="single" w:color="auto" w:sz="4" w:space="0"/>
              <w:right w:val="single" w:color="auto" w:sz="4" w:space="0"/>
            </w:tcBorders>
            <w:vAlign w:val="center"/>
          </w:tcPr>
          <w:p w14:paraId="1414F1B6">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持续下降</w:t>
            </w:r>
          </w:p>
        </w:tc>
        <w:tc>
          <w:tcPr>
            <w:tcW w:w="1195" w:type="dxa"/>
            <w:tcBorders>
              <w:top w:val="single" w:color="auto" w:sz="4" w:space="0"/>
              <w:left w:val="single" w:color="auto" w:sz="4" w:space="0"/>
              <w:bottom w:val="single" w:color="auto" w:sz="4" w:space="0"/>
              <w:right w:val="single" w:color="auto" w:sz="4" w:space="0"/>
            </w:tcBorders>
            <w:vAlign w:val="center"/>
          </w:tcPr>
          <w:p w14:paraId="4B44DB7D">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持续上升，不达标</w:t>
            </w:r>
          </w:p>
        </w:tc>
      </w:tr>
      <w:tr w14:paraId="32BE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0DA8D675">
            <w:pPr>
              <w:widowControl/>
              <w:spacing w:line="240" w:lineRule="auto"/>
              <w:ind w:firstLine="0" w:firstLineChars="0"/>
              <w:jc w:val="left"/>
              <w:rPr>
                <w:rFonts w:hint="default" w:ascii="Times New Roman" w:hAnsi="Times New Roman" w:eastAsia="仿宋" w:cs="Times New Roman"/>
                <w:sz w:val="21"/>
                <w:szCs w:val="21"/>
              </w:rPr>
            </w:pPr>
          </w:p>
        </w:tc>
        <w:tc>
          <w:tcPr>
            <w:tcW w:w="532" w:type="dxa"/>
            <w:tcBorders>
              <w:top w:val="single" w:color="auto" w:sz="4" w:space="0"/>
              <w:left w:val="single" w:color="auto" w:sz="4" w:space="0"/>
              <w:bottom w:val="single" w:color="auto" w:sz="4" w:space="0"/>
              <w:right w:val="single" w:color="auto" w:sz="4" w:space="0"/>
            </w:tcBorders>
            <w:vAlign w:val="center"/>
          </w:tcPr>
          <w:p w14:paraId="069504DA">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w:t>
            </w:r>
          </w:p>
        </w:tc>
        <w:tc>
          <w:tcPr>
            <w:tcW w:w="2662" w:type="dxa"/>
            <w:tcBorders>
              <w:top w:val="single" w:color="auto" w:sz="4" w:space="0"/>
              <w:left w:val="single" w:color="auto" w:sz="4" w:space="0"/>
              <w:bottom w:val="single" w:color="auto" w:sz="4" w:space="0"/>
              <w:right w:val="single" w:color="auto" w:sz="4" w:space="0"/>
            </w:tcBorders>
            <w:vAlign w:val="center"/>
          </w:tcPr>
          <w:p w14:paraId="08BDA54F">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河湖岸线保护率</w:t>
            </w:r>
          </w:p>
        </w:tc>
        <w:tc>
          <w:tcPr>
            <w:tcW w:w="709" w:type="dxa"/>
            <w:tcBorders>
              <w:top w:val="single" w:color="auto" w:sz="4" w:space="0"/>
              <w:left w:val="single" w:color="auto" w:sz="4" w:space="0"/>
              <w:bottom w:val="single" w:color="auto" w:sz="4" w:space="0"/>
              <w:right w:val="single" w:color="auto" w:sz="4" w:space="0"/>
            </w:tcBorders>
            <w:vAlign w:val="center"/>
          </w:tcPr>
          <w:p w14:paraId="32D0322B">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424B1E19">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spacing w:val="-4"/>
                <w:sz w:val="21"/>
                <w:szCs w:val="21"/>
              </w:rPr>
              <w:t>完成上级规定的考核任务</w:t>
            </w:r>
          </w:p>
        </w:tc>
        <w:tc>
          <w:tcPr>
            <w:tcW w:w="1843" w:type="dxa"/>
            <w:tcBorders>
              <w:top w:val="single" w:color="auto" w:sz="4" w:space="0"/>
              <w:left w:val="single" w:color="auto" w:sz="4" w:space="0"/>
              <w:bottom w:val="single" w:color="auto" w:sz="4" w:space="0"/>
              <w:right w:val="single" w:color="auto" w:sz="4" w:space="0"/>
            </w:tcBorders>
            <w:vAlign w:val="center"/>
          </w:tcPr>
          <w:p w14:paraId="3DD5A3D6">
            <w:pPr>
              <w:adjustRightInd w:val="0"/>
              <w:snapToGrid w:val="0"/>
              <w:spacing w:line="240" w:lineRule="auto"/>
              <w:ind w:firstLine="0" w:firstLineChars="0"/>
              <w:jc w:val="center"/>
              <w:rPr>
                <w:rFonts w:hint="default" w:ascii="Times New Roman" w:hAnsi="Times New Roman" w:eastAsia="仿宋" w:cs="Times New Roman"/>
                <w:spacing w:val="-4"/>
                <w:sz w:val="21"/>
                <w:szCs w:val="21"/>
              </w:rPr>
            </w:pPr>
            <w:r>
              <w:rPr>
                <w:rFonts w:hint="default" w:ascii="Times New Roman" w:hAnsi="Times New Roman" w:eastAsia="仿宋" w:cs="Times New Roman"/>
                <w:spacing w:val="-4"/>
                <w:sz w:val="21"/>
                <w:szCs w:val="21"/>
              </w:rPr>
              <w:t>划定了河道蓝线，上级未下达考核任务</w:t>
            </w:r>
          </w:p>
        </w:tc>
        <w:tc>
          <w:tcPr>
            <w:tcW w:w="1843" w:type="dxa"/>
            <w:tcBorders>
              <w:top w:val="single" w:color="auto" w:sz="4" w:space="0"/>
              <w:left w:val="single" w:color="auto" w:sz="4" w:space="0"/>
              <w:bottom w:val="single" w:color="auto" w:sz="4" w:space="0"/>
              <w:right w:val="single" w:color="auto" w:sz="4" w:space="0"/>
            </w:tcBorders>
            <w:vAlign w:val="center"/>
          </w:tcPr>
          <w:p w14:paraId="593B71C1">
            <w:pPr>
              <w:adjustRightInd w:val="0"/>
              <w:snapToGrid w:val="0"/>
              <w:spacing w:line="240" w:lineRule="auto"/>
              <w:ind w:firstLine="0" w:firstLineChars="0"/>
              <w:jc w:val="center"/>
              <w:rPr>
                <w:rFonts w:hint="default" w:ascii="Times New Roman" w:hAnsi="Times New Roman" w:eastAsia="仿宋" w:cs="Times New Roman"/>
                <w:spacing w:val="-4"/>
                <w:sz w:val="21"/>
                <w:szCs w:val="21"/>
              </w:rPr>
            </w:pPr>
            <w:r>
              <w:rPr>
                <w:rFonts w:hint="default" w:ascii="Times New Roman" w:hAnsi="Times New Roman" w:eastAsia="仿宋" w:cs="Times New Roman"/>
                <w:spacing w:val="-4"/>
                <w:sz w:val="21"/>
                <w:szCs w:val="21"/>
              </w:rPr>
              <w:t>完成上级规定的考核任务</w:t>
            </w:r>
          </w:p>
        </w:tc>
        <w:tc>
          <w:tcPr>
            <w:tcW w:w="1559" w:type="dxa"/>
            <w:tcBorders>
              <w:top w:val="single" w:color="auto" w:sz="4" w:space="0"/>
              <w:left w:val="single" w:color="auto" w:sz="4" w:space="0"/>
              <w:bottom w:val="single" w:color="auto" w:sz="4" w:space="0"/>
              <w:right w:val="single" w:color="auto" w:sz="4" w:space="0"/>
            </w:tcBorders>
            <w:vAlign w:val="center"/>
          </w:tcPr>
          <w:p w14:paraId="1090082C">
            <w:pPr>
              <w:adjustRightInd w:val="0"/>
              <w:snapToGrid w:val="0"/>
              <w:spacing w:line="240" w:lineRule="auto"/>
              <w:ind w:firstLine="0" w:firstLineChars="0"/>
              <w:jc w:val="center"/>
              <w:rPr>
                <w:rFonts w:hint="default" w:ascii="Times New Roman" w:hAnsi="Times New Roman" w:eastAsia="仿宋" w:cs="Times New Roman"/>
                <w:spacing w:val="-4"/>
                <w:sz w:val="21"/>
                <w:szCs w:val="21"/>
              </w:rPr>
            </w:pPr>
            <w:r>
              <w:rPr>
                <w:rFonts w:hint="default" w:ascii="Times New Roman" w:hAnsi="Times New Roman" w:eastAsia="仿宋" w:cs="Times New Roman"/>
                <w:spacing w:val="-4"/>
                <w:sz w:val="21"/>
                <w:szCs w:val="21"/>
              </w:rPr>
              <w:t>完成上级规定的考核任务</w:t>
            </w:r>
          </w:p>
        </w:tc>
        <w:tc>
          <w:tcPr>
            <w:tcW w:w="1195" w:type="dxa"/>
            <w:tcBorders>
              <w:top w:val="single" w:color="auto" w:sz="4" w:space="0"/>
              <w:left w:val="single" w:color="auto" w:sz="4" w:space="0"/>
              <w:bottom w:val="single" w:color="auto" w:sz="4" w:space="0"/>
              <w:right w:val="single" w:color="auto" w:sz="4" w:space="0"/>
            </w:tcBorders>
            <w:vAlign w:val="center"/>
          </w:tcPr>
          <w:p w14:paraId="28EAD34B">
            <w:pPr>
              <w:adjustRightInd w:val="0"/>
              <w:snapToGrid w:val="0"/>
              <w:spacing w:line="240" w:lineRule="auto"/>
              <w:ind w:firstLine="0" w:firstLineChars="0"/>
              <w:jc w:val="center"/>
              <w:rPr>
                <w:rFonts w:hint="default" w:ascii="Times New Roman" w:hAnsi="Times New Roman" w:eastAsia="仿宋" w:cs="Times New Roman"/>
                <w:spacing w:val="-4"/>
                <w:sz w:val="21"/>
                <w:szCs w:val="21"/>
              </w:rPr>
            </w:pPr>
            <w:r>
              <w:rPr>
                <w:rFonts w:hint="default" w:ascii="Times New Roman" w:hAnsi="Times New Roman" w:eastAsia="仿宋" w:cs="Times New Roman"/>
                <w:kern w:val="0"/>
                <w:sz w:val="21"/>
                <w:szCs w:val="21"/>
              </w:rPr>
              <w:t>/</w:t>
            </w:r>
          </w:p>
        </w:tc>
      </w:tr>
      <w:tr w14:paraId="38F3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04032577">
            <w:pPr>
              <w:widowControl/>
              <w:spacing w:line="240" w:lineRule="auto"/>
              <w:ind w:firstLine="0" w:firstLineChars="0"/>
              <w:jc w:val="left"/>
              <w:rPr>
                <w:rFonts w:hint="default" w:ascii="Times New Roman" w:hAnsi="Times New Roman" w:eastAsia="仿宋" w:cs="Times New Roman"/>
                <w:sz w:val="21"/>
                <w:szCs w:val="21"/>
              </w:rPr>
            </w:pPr>
          </w:p>
        </w:tc>
        <w:tc>
          <w:tcPr>
            <w:tcW w:w="532" w:type="dxa"/>
            <w:tcBorders>
              <w:top w:val="single" w:color="auto" w:sz="4" w:space="0"/>
              <w:left w:val="single" w:color="auto" w:sz="4" w:space="0"/>
              <w:bottom w:val="single" w:color="auto" w:sz="4" w:space="0"/>
              <w:right w:val="single" w:color="auto" w:sz="4" w:space="0"/>
            </w:tcBorders>
            <w:vAlign w:val="center"/>
          </w:tcPr>
          <w:p w14:paraId="460E4545">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5</w:t>
            </w:r>
          </w:p>
        </w:tc>
        <w:tc>
          <w:tcPr>
            <w:tcW w:w="2662" w:type="dxa"/>
            <w:tcBorders>
              <w:top w:val="single" w:color="auto" w:sz="4" w:space="0"/>
              <w:left w:val="single" w:color="auto" w:sz="4" w:space="0"/>
              <w:bottom w:val="single" w:color="auto" w:sz="4" w:space="0"/>
              <w:right w:val="single" w:color="auto" w:sz="4" w:space="0"/>
            </w:tcBorders>
            <w:vAlign w:val="center"/>
          </w:tcPr>
          <w:p w14:paraId="2E44CA49">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规模以下畜禽粪污集中收运利用体系</w:t>
            </w:r>
          </w:p>
        </w:tc>
        <w:tc>
          <w:tcPr>
            <w:tcW w:w="709" w:type="dxa"/>
            <w:tcBorders>
              <w:top w:val="single" w:color="auto" w:sz="4" w:space="0"/>
              <w:left w:val="single" w:color="auto" w:sz="4" w:space="0"/>
              <w:bottom w:val="single" w:color="auto" w:sz="4" w:space="0"/>
              <w:right w:val="single" w:color="auto" w:sz="4" w:space="0"/>
            </w:tcBorders>
            <w:vAlign w:val="center"/>
          </w:tcPr>
          <w:p w14:paraId="264AD2ED">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084726A1">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建立</w:t>
            </w:r>
          </w:p>
        </w:tc>
        <w:tc>
          <w:tcPr>
            <w:tcW w:w="1843" w:type="dxa"/>
            <w:tcBorders>
              <w:top w:val="single" w:color="auto" w:sz="4" w:space="0"/>
              <w:left w:val="single" w:color="auto" w:sz="4" w:space="0"/>
              <w:bottom w:val="single" w:color="auto" w:sz="4" w:space="0"/>
              <w:right w:val="single" w:color="auto" w:sz="4" w:space="0"/>
            </w:tcBorders>
            <w:vAlign w:val="center"/>
          </w:tcPr>
          <w:p w14:paraId="76D62BC7">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sz w:val="21"/>
                <w:szCs w:val="21"/>
                <w14:ligatures w14:val="standardContextual"/>
              </w:rPr>
              <w:t>不涉及</w:t>
            </w:r>
          </w:p>
        </w:tc>
        <w:tc>
          <w:tcPr>
            <w:tcW w:w="1843" w:type="dxa"/>
            <w:tcBorders>
              <w:top w:val="single" w:color="auto" w:sz="4" w:space="0"/>
              <w:left w:val="single" w:color="auto" w:sz="4" w:space="0"/>
              <w:bottom w:val="single" w:color="auto" w:sz="4" w:space="0"/>
              <w:right w:val="single" w:color="auto" w:sz="4" w:space="0"/>
            </w:tcBorders>
            <w:vAlign w:val="center"/>
          </w:tcPr>
          <w:p w14:paraId="1E9FA051">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14:paraId="161F4D76">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1195" w:type="dxa"/>
            <w:tcBorders>
              <w:top w:val="single" w:color="auto" w:sz="4" w:space="0"/>
              <w:left w:val="single" w:color="auto" w:sz="4" w:space="0"/>
              <w:bottom w:val="single" w:color="auto" w:sz="4" w:space="0"/>
              <w:right w:val="single" w:color="auto" w:sz="4" w:space="0"/>
            </w:tcBorders>
            <w:vAlign w:val="center"/>
          </w:tcPr>
          <w:p w14:paraId="6F99D267">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r>
      <w:tr w14:paraId="3B3E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416C6288">
            <w:pPr>
              <w:widowControl/>
              <w:spacing w:line="240" w:lineRule="auto"/>
              <w:ind w:firstLine="0" w:firstLineChars="0"/>
              <w:jc w:val="left"/>
              <w:rPr>
                <w:rFonts w:hint="default" w:ascii="Times New Roman" w:hAnsi="Times New Roman" w:eastAsia="仿宋" w:cs="Times New Roman"/>
                <w:sz w:val="21"/>
                <w:szCs w:val="21"/>
              </w:rPr>
            </w:pPr>
          </w:p>
        </w:tc>
        <w:tc>
          <w:tcPr>
            <w:tcW w:w="532" w:type="dxa"/>
            <w:tcBorders>
              <w:top w:val="single" w:color="auto" w:sz="4" w:space="0"/>
              <w:left w:val="single" w:color="auto" w:sz="4" w:space="0"/>
              <w:bottom w:val="single" w:color="auto" w:sz="4" w:space="0"/>
              <w:right w:val="single" w:color="auto" w:sz="4" w:space="0"/>
            </w:tcBorders>
            <w:vAlign w:val="center"/>
          </w:tcPr>
          <w:p w14:paraId="7C4CB3B1">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6</w:t>
            </w:r>
          </w:p>
        </w:tc>
        <w:tc>
          <w:tcPr>
            <w:tcW w:w="2662" w:type="dxa"/>
            <w:tcBorders>
              <w:top w:val="single" w:color="auto" w:sz="4" w:space="0"/>
              <w:left w:val="single" w:color="auto" w:sz="4" w:space="0"/>
              <w:bottom w:val="single" w:color="auto" w:sz="4" w:space="0"/>
              <w:right w:val="single" w:color="auto" w:sz="4" w:space="0"/>
            </w:tcBorders>
            <w:vAlign w:val="center"/>
          </w:tcPr>
          <w:p w14:paraId="14FBACCE">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耕地土壤有机质含量</w:t>
            </w:r>
          </w:p>
        </w:tc>
        <w:tc>
          <w:tcPr>
            <w:tcW w:w="709" w:type="dxa"/>
            <w:tcBorders>
              <w:top w:val="single" w:color="auto" w:sz="4" w:space="0"/>
              <w:left w:val="single" w:color="auto" w:sz="4" w:space="0"/>
              <w:bottom w:val="single" w:color="auto" w:sz="4" w:space="0"/>
              <w:right w:val="single" w:color="auto" w:sz="4" w:space="0"/>
            </w:tcBorders>
            <w:vAlign w:val="center"/>
          </w:tcPr>
          <w:p w14:paraId="7704D01C">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g/kg</w:t>
            </w:r>
          </w:p>
        </w:tc>
        <w:tc>
          <w:tcPr>
            <w:tcW w:w="2268" w:type="dxa"/>
            <w:tcBorders>
              <w:top w:val="single" w:color="auto" w:sz="4" w:space="0"/>
              <w:left w:val="single" w:color="auto" w:sz="4" w:space="0"/>
              <w:bottom w:val="single" w:color="auto" w:sz="4" w:space="0"/>
              <w:right w:val="single" w:color="auto" w:sz="4" w:space="0"/>
            </w:tcBorders>
            <w:vAlign w:val="center"/>
          </w:tcPr>
          <w:p w14:paraId="1C087966">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保持稳定或有所提高</w:t>
            </w:r>
          </w:p>
        </w:tc>
        <w:tc>
          <w:tcPr>
            <w:tcW w:w="1843" w:type="dxa"/>
            <w:tcBorders>
              <w:top w:val="single" w:color="auto" w:sz="4" w:space="0"/>
              <w:left w:val="single" w:color="auto" w:sz="4" w:space="0"/>
              <w:bottom w:val="single" w:color="auto" w:sz="4" w:space="0"/>
              <w:right w:val="single" w:color="auto" w:sz="4" w:space="0"/>
            </w:tcBorders>
            <w:vAlign w:val="center"/>
          </w:tcPr>
          <w:p w14:paraId="3B32EA16">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不涉及</w:t>
            </w:r>
          </w:p>
        </w:tc>
        <w:tc>
          <w:tcPr>
            <w:tcW w:w="1843" w:type="dxa"/>
            <w:tcBorders>
              <w:top w:val="single" w:color="auto" w:sz="4" w:space="0"/>
              <w:left w:val="single" w:color="auto" w:sz="4" w:space="0"/>
              <w:bottom w:val="single" w:color="auto" w:sz="4" w:space="0"/>
              <w:right w:val="single" w:color="auto" w:sz="4" w:space="0"/>
            </w:tcBorders>
            <w:vAlign w:val="center"/>
          </w:tcPr>
          <w:p w14:paraId="7A596899">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14:paraId="0C6703F4">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1195" w:type="dxa"/>
            <w:tcBorders>
              <w:top w:val="single" w:color="auto" w:sz="4" w:space="0"/>
              <w:left w:val="single" w:color="auto" w:sz="4" w:space="0"/>
              <w:bottom w:val="single" w:color="auto" w:sz="4" w:space="0"/>
              <w:right w:val="single" w:color="auto" w:sz="4" w:space="0"/>
            </w:tcBorders>
            <w:vAlign w:val="center"/>
          </w:tcPr>
          <w:p w14:paraId="5347B1F3">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r>
      <w:tr w14:paraId="498C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1229" w:type="dxa"/>
            <w:gridSpan w:val="2"/>
            <w:vMerge w:val="restart"/>
            <w:tcBorders>
              <w:top w:val="single" w:color="auto" w:sz="4" w:space="0"/>
              <w:left w:val="single" w:color="auto" w:sz="4" w:space="0"/>
              <w:right w:val="single" w:color="auto" w:sz="4" w:space="0"/>
            </w:tcBorders>
            <w:vAlign w:val="center"/>
          </w:tcPr>
          <w:p w14:paraId="5E8F9610">
            <w:pPr>
              <w:widowControl/>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特色指标</w:t>
            </w:r>
          </w:p>
        </w:tc>
        <w:tc>
          <w:tcPr>
            <w:tcW w:w="532" w:type="dxa"/>
            <w:tcBorders>
              <w:top w:val="single" w:color="auto" w:sz="4" w:space="0"/>
              <w:left w:val="single" w:color="auto" w:sz="4" w:space="0"/>
              <w:bottom w:val="single" w:color="auto" w:sz="4" w:space="0"/>
              <w:right w:val="single" w:color="auto" w:sz="4" w:space="0"/>
            </w:tcBorders>
            <w:vAlign w:val="center"/>
          </w:tcPr>
          <w:p w14:paraId="2DD405E9">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c>
          <w:tcPr>
            <w:tcW w:w="2662" w:type="dxa"/>
            <w:tcBorders>
              <w:top w:val="single" w:color="auto" w:sz="4" w:space="0"/>
              <w:left w:val="single" w:color="auto" w:sz="4" w:space="0"/>
              <w:bottom w:val="single" w:color="auto" w:sz="4" w:space="0"/>
              <w:right w:val="single" w:color="auto" w:sz="4" w:space="0"/>
            </w:tcBorders>
            <w:vAlign w:val="center"/>
          </w:tcPr>
          <w:p w14:paraId="73F4DE0A">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生活垃圾分类收集处理率</w:t>
            </w:r>
          </w:p>
        </w:tc>
        <w:tc>
          <w:tcPr>
            <w:tcW w:w="709" w:type="dxa"/>
            <w:tcBorders>
              <w:top w:val="single" w:color="auto" w:sz="4" w:space="0"/>
              <w:left w:val="single" w:color="auto" w:sz="4" w:space="0"/>
              <w:bottom w:val="single" w:color="auto" w:sz="4" w:space="0"/>
              <w:right w:val="single" w:color="auto" w:sz="4" w:space="0"/>
            </w:tcBorders>
            <w:vAlign w:val="center"/>
          </w:tcPr>
          <w:p w14:paraId="6D3C2A25">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14:paraId="638F8A74">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100</w:t>
            </w:r>
          </w:p>
        </w:tc>
        <w:tc>
          <w:tcPr>
            <w:tcW w:w="1843" w:type="dxa"/>
            <w:tcBorders>
              <w:top w:val="single" w:color="auto" w:sz="4" w:space="0"/>
              <w:left w:val="single" w:color="auto" w:sz="4" w:space="0"/>
              <w:bottom w:val="single" w:color="auto" w:sz="4" w:space="0"/>
              <w:right w:val="single" w:color="auto" w:sz="4" w:space="0"/>
            </w:tcBorders>
            <w:vAlign w:val="center"/>
          </w:tcPr>
          <w:p w14:paraId="2B9AA362">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100</w:t>
            </w:r>
          </w:p>
        </w:tc>
        <w:tc>
          <w:tcPr>
            <w:tcW w:w="1843" w:type="dxa"/>
            <w:tcBorders>
              <w:top w:val="single" w:color="auto" w:sz="4" w:space="0"/>
              <w:left w:val="single" w:color="auto" w:sz="4" w:space="0"/>
              <w:bottom w:val="single" w:color="auto" w:sz="4" w:space="0"/>
              <w:right w:val="single" w:color="auto" w:sz="4" w:space="0"/>
            </w:tcBorders>
            <w:vAlign w:val="center"/>
          </w:tcPr>
          <w:p w14:paraId="1A24D9F8">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100</w:t>
            </w:r>
          </w:p>
        </w:tc>
        <w:tc>
          <w:tcPr>
            <w:tcW w:w="1559" w:type="dxa"/>
            <w:tcBorders>
              <w:top w:val="single" w:color="auto" w:sz="4" w:space="0"/>
              <w:left w:val="single" w:color="auto" w:sz="4" w:space="0"/>
              <w:bottom w:val="single" w:color="auto" w:sz="4" w:space="0"/>
              <w:right w:val="single" w:color="auto" w:sz="4" w:space="0"/>
            </w:tcBorders>
            <w:vAlign w:val="center"/>
          </w:tcPr>
          <w:p w14:paraId="5019DBC2">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100</w:t>
            </w:r>
          </w:p>
        </w:tc>
        <w:tc>
          <w:tcPr>
            <w:tcW w:w="1195" w:type="dxa"/>
            <w:tcBorders>
              <w:top w:val="single" w:color="auto" w:sz="4" w:space="0"/>
              <w:left w:val="single" w:color="auto" w:sz="4" w:space="0"/>
              <w:bottom w:val="single" w:color="auto" w:sz="4" w:space="0"/>
              <w:right w:val="single" w:color="auto" w:sz="4" w:space="0"/>
            </w:tcBorders>
            <w:vAlign w:val="center"/>
          </w:tcPr>
          <w:p w14:paraId="53759F71">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达标</w:t>
            </w:r>
          </w:p>
        </w:tc>
      </w:tr>
      <w:tr w14:paraId="6BFD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1229" w:type="dxa"/>
            <w:gridSpan w:val="2"/>
            <w:vMerge w:val="continue"/>
            <w:tcBorders>
              <w:left w:val="single" w:color="auto" w:sz="4" w:space="0"/>
              <w:bottom w:val="single" w:color="auto" w:sz="4" w:space="0"/>
              <w:right w:val="single" w:color="auto" w:sz="4" w:space="0"/>
            </w:tcBorders>
            <w:vAlign w:val="center"/>
          </w:tcPr>
          <w:p w14:paraId="1907F828">
            <w:pPr>
              <w:widowControl/>
              <w:spacing w:line="240" w:lineRule="auto"/>
              <w:ind w:firstLine="0" w:firstLineChars="0"/>
              <w:jc w:val="left"/>
              <w:rPr>
                <w:rFonts w:hint="default" w:ascii="Times New Roman" w:hAnsi="Times New Roman" w:eastAsia="仿宋" w:cs="Times New Roman"/>
                <w:sz w:val="21"/>
                <w:szCs w:val="21"/>
              </w:rPr>
            </w:pPr>
          </w:p>
        </w:tc>
        <w:tc>
          <w:tcPr>
            <w:tcW w:w="532" w:type="dxa"/>
            <w:tcBorders>
              <w:top w:val="single" w:color="auto" w:sz="4" w:space="0"/>
              <w:left w:val="single" w:color="auto" w:sz="4" w:space="0"/>
              <w:bottom w:val="single" w:color="auto" w:sz="4" w:space="0"/>
              <w:right w:val="single" w:color="auto" w:sz="4" w:space="0"/>
            </w:tcBorders>
            <w:vAlign w:val="center"/>
          </w:tcPr>
          <w:p w14:paraId="5AD8CFAC">
            <w:pPr>
              <w:adjustRightInd w:val="0"/>
              <w:snapToGrid w:val="0"/>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w:t>
            </w:r>
          </w:p>
        </w:tc>
        <w:tc>
          <w:tcPr>
            <w:tcW w:w="2662" w:type="dxa"/>
            <w:tcBorders>
              <w:top w:val="single" w:color="auto" w:sz="4" w:space="0"/>
              <w:left w:val="single" w:color="auto" w:sz="4" w:space="0"/>
              <w:bottom w:val="single" w:color="auto" w:sz="4" w:space="0"/>
              <w:right w:val="single" w:color="auto" w:sz="4" w:space="0"/>
            </w:tcBorders>
            <w:vAlign w:val="center"/>
          </w:tcPr>
          <w:p w14:paraId="3BACE28B">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人均公园绿地面积</w:t>
            </w:r>
          </w:p>
        </w:tc>
        <w:tc>
          <w:tcPr>
            <w:tcW w:w="709" w:type="dxa"/>
            <w:tcBorders>
              <w:top w:val="single" w:color="auto" w:sz="4" w:space="0"/>
              <w:left w:val="single" w:color="auto" w:sz="4" w:space="0"/>
              <w:bottom w:val="single" w:color="auto" w:sz="4" w:space="0"/>
              <w:right w:val="single" w:color="auto" w:sz="4" w:space="0"/>
            </w:tcBorders>
            <w:vAlign w:val="center"/>
          </w:tcPr>
          <w:p w14:paraId="4D322676">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平方米/人</w:t>
            </w:r>
          </w:p>
        </w:tc>
        <w:tc>
          <w:tcPr>
            <w:tcW w:w="2268" w:type="dxa"/>
            <w:tcBorders>
              <w:top w:val="single" w:color="auto" w:sz="4" w:space="0"/>
              <w:left w:val="single" w:color="auto" w:sz="4" w:space="0"/>
              <w:bottom w:val="single" w:color="auto" w:sz="4" w:space="0"/>
              <w:right w:val="single" w:color="auto" w:sz="4" w:space="0"/>
            </w:tcBorders>
            <w:vAlign w:val="center"/>
          </w:tcPr>
          <w:p w14:paraId="6DE296E7">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≥12</w:t>
            </w:r>
          </w:p>
        </w:tc>
        <w:tc>
          <w:tcPr>
            <w:tcW w:w="1843" w:type="dxa"/>
            <w:tcBorders>
              <w:top w:val="single" w:color="auto" w:sz="4" w:space="0"/>
              <w:left w:val="single" w:color="auto" w:sz="4" w:space="0"/>
              <w:bottom w:val="single" w:color="auto" w:sz="4" w:space="0"/>
              <w:right w:val="single" w:color="auto" w:sz="4" w:space="0"/>
            </w:tcBorders>
            <w:vAlign w:val="center"/>
          </w:tcPr>
          <w:p w14:paraId="4B0BD890">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12（2022年）</w:t>
            </w:r>
          </w:p>
        </w:tc>
        <w:tc>
          <w:tcPr>
            <w:tcW w:w="1843" w:type="dxa"/>
            <w:tcBorders>
              <w:top w:val="single" w:color="auto" w:sz="4" w:space="0"/>
              <w:left w:val="single" w:color="auto" w:sz="4" w:space="0"/>
              <w:bottom w:val="single" w:color="auto" w:sz="4" w:space="0"/>
              <w:right w:val="single" w:color="auto" w:sz="4" w:space="0"/>
            </w:tcBorders>
            <w:vAlign w:val="center"/>
          </w:tcPr>
          <w:p w14:paraId="0AA8D8BD">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≥13</w:t>
            </w:r>
          </w:p>
        </w:tc>
        <w:tc>
          <w:tcPr>
            <w:tcW w:w="1559" w:type="dxa"/>
            <w:tcBorders>
              <w:top w:val="single" w:color="auto" w:sz="4" w:space="0"/>
              <w:left w:val="single" w:color="auto" w:sz="4" w:space="0"/>
              <w:bottom w:val="single" w:color="auto" w:sz="4" w:space="0"/>
              <w:right w:val="single" w:color="auto" w:sz="4" w:space="0"/>
            </w:tcBorders>
            <w:vAlign w:val="center"/>
          </w:tcPr>
          <w:p w14:paraId="0D63CE33">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≥15</w:t>
            </w:r>
          </w:p>
        </w:tc>
        <w:tc>
          <w:tcPr>
            <w:tcW w:w="1195" w:type="dxa"/>
            <w:tcBorders>
              <w:top w:val="single" w:color="auto" w:sz="4" w:space="0"/>
              <w:left w:val="single" w:color="auto" w:sz="4" w:space="0"/>
              <w:bottom w:val="single" w:color="auto" w:sz="4" w:space="0"/>
              <w:right w:val="single" w:color="auto" w:sz="4" w:space="0"/>
            </w:tcBorders>
            <w:vAlign w:val="center"/>
          </w:tcPr>
          <w:p w14:paraId="116A0703">
            <w:pPr>
              <w:adjustRightInd w:val="0"/>
              <w:snapToGrid w:val="0"/>
              <w:spacing w:line="240" w:lineRule="auto"/>
              <w:ind w:firstLine="0" w:firstLineChars="0"/>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达标</w:t>
            </w:r>
          </w:p>
        </w:tc>
      </w:tr>
    </w:tbl>
    <w:p w14:paraId="28C76699">
      <w:pPr>
        <w:widowControl/>
        <w:ind w:firstLine="482"/>
        <w:jc w:val="left"/>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注：1.秦淮区是南京市中心城区，县城污水处理率无独立统计数据，该项指标目前引用的是南京市全市数据。</w:t>
      </w:r>
    </w:p>
    <w:p w14:paraId="0071AEAD">
      <w:pPr>
        <w:widowControl/>
        <w:ind w:left="0" w:leftChars="0" w:firstLine="840" w:firstLineChars="400"/>
        <w:jc w:val="left"/>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2.2024年开始江苏省范围内才明确国控噪声监测点，在此之前无市控以上噪声监测点。</w:t>
      </w:r>
    </w:p>
    <w:p w14:paraId="33DD18BC">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3492E41A">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0B818FC5">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69B2307E">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sectPr>
          <w:pgSz w:w="16838" w:h="11906" w:orient="landscape"/>
          <w:pgMar w:top="1588" w:right="2098" w:bottom="1588" w:left="1701" w:header="851" w:footer="1418" w:gutter="0"/>
          <w:cols w:space="425" w:num="1"/>
          <w:docGrid w:type="lines" w:linePitch="312" w:charSpace="0"/>
        </w:sectPr>
      </w:pPr>
    </w:p>
    <w:p w14:paraId="5C455824">
      <w:pPr>
        <w:pStyle w:val="12"/>
        <w:spacing w:before="327" w:beforeLines="100" w:after="327" w:afterLines="100" w:line="578" w:lineRule="exact"/>
        <w:ind w:left="0" w:leftChars="0" w:firstLine="0" w:firstLineChars="0"/>
        <w:jc w:val="center"/>
        <w:rPr>
          <w:rFonts w:hint="default" w:ascii="Times New Roman" w:hAnsi="Times New Roman" w:eastAsia="方正黑体_GBK" w:cs="Times New Roman"/>
          <w:sz w:val="36"/>
          <w:szCs w:val="36"/>
          <w:highlight w:val="none"/>
          <w:lang w:eastAsia="zh-CN"/>
        </w:rPr>
      </w:pPr>
      <w:r>
        <w:rPr>
          <w:rFonts w:hint="default" w:ascii="Times New Roman" w:hAnsi="Times New Roman" w:eastAsia="方正黑体_GBK" w:cs="Times New Roman"/>
          <w:sz w:val="36"/>
          <w:szCs w:val="36"/>
          <w:highlight w:val="none"/>
        </w:rPr>
        <w:t>第</w:t>
      </w:r>
      <w:r>
        <w:rPr>
          <w:rFonts w:hint="default" w:ascii="Times New Roman" w:hAnsi="Times New Roman" w:eastAsia="方正黑体_GBK" w:cs="Times New Roman"/>
          <w:sz w:val="36"/>
          <w:szCs w:val="36"/>
          <w:highlight w:val="none"/>
          <w:lang w:eastAsia="zh-CN"/>
        </w:rPr>
        <w:t>三章</w:t>
      </w:r>
      <w:r>
        <w:rPr>
          <w:rFonts w:hint="default" w:ascii="Times New Roman" w:hAnsi="Times New Roman" w:eastAsia="方正黑体_GBK" w:cs="Times New Roman"/>
          <w:sz w:val="36"/>
          <w:szCs w:val="36"/>
          <w:highlight w:val="none"/>
        </w:rPr>
        <w:t xml:space="preserve">  落实生态文明建设目标责任体系</w:t>
      </w:r>
    </w:p>
    <w:p w14:paraId="70EFFA3F">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sz w:val="32"/>
          <w:szCs w:val="32"/>
          <w:highlight w:val="none"/>
        </w:rPr>
        <w:t>一、深化党政领导干部政绩差别化考核制度</w:t>
      </w:r>
    </w:p>
    <w:p w14:paraId="6199184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（一）完善生态文明建设考核体系</w:t>
      </w:r>
    </w:p>
    <w:p w14:paraId="6CDDF19A">
      <w:pPr>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明确各相关单位在生态文明工作中的职责和权限，将生态环境质量</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只能更好、不能变坏</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作为环境保护工作的责任底线。落实领导干部生态文明建设责任制，以年度综合考核为抓手，改进考核方式方法，完善考核指标体系。探索在高质量发展绩效评价指标体系中分专题明确生态文明指标内容，避免引起指标分值界定不清的情形。</w:t>
      </w:r>
    </w:p>
    <w:p w14:paraId="4B478B8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（二）细化考核指标分值</w:t>
      </w:r>
    </w:p>
    <w:p w14:paraId="6533261B">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highlight w:val="none"/>
          <w:lang w:val="en-US" w:eastAsia="zh-CN" w:bidi="ar-SA"/>
        </w:rPr>
        <w:t>科学设置各部门生态文明建设考核权重，并细化到责任主体部门，严格实行</w:t>
      </w:r>
      <w:r>
        <w:rPr>
          <w:rFonts w:hint="default" w:ascii="Times New Roman" w:hAnsi="Times New Roman" w:eastAsia="方正仿宋_GBK" w:cs="Times New Roman"/>
          <w:snapToGrid w:val="0"/>
          <w:color w:val="000000"/>
          <w:kern w:val="0"/>
          <w:sz w:val="32"/>
          <w:szCs w:val="32"/>
          <w:highlight w:val="none"/>
          <w:lang w:val="en-US" w:eastAsia="zh-CN" w:bidi="ar-SA"/>
        </w:rPr>
        <w:t>“</w:t>
      </w:r>
      <w:r>
        <w:rPr>
          <w:rFonts w:hint="default" w:ascii="Times New Roman" w:hAnsi="Times New Roman" w:eastAsia="方正仿宋_GBK" w:cs="Times New Roman"/>
          <w:snapToGrid w:val="0"/>
          <w:color w:val="000000"/>
          <w:kern w:val="0"/>
          <w:sz w:val="32"/>
          <w:szCs w:val="32"/>
          <w:highlight w:val="none"/>
          <w:lang w:val="en-US" w:eastAsia="zh-CN" w:bidi="ar-SA"/>
        </w:rPr>
        <w:t>党政同责、一岗双责</w:t>
      </w:r>
      <w:r>
        <w:rPr>
          <w:rFonts w:hint="default" w:ascii="Times New Roman" w:hAnsi="Times New Roman" w:eastAsia="方正仿宋_GBK" w:cs="Times New Roman"/>
          <w:snapToGrid w:val="0"/>
          <w:color w:val="000000"/>
          <w:kern w:val="0"/>
          <w:sz w:val="32"/>
          <w:szCs w:val="32"/>
          <w:highlight w:val="none"/>
          <w:lang w:val="en-US" w:eastAsia="zh-CN" w:bidi="ar-SA"/>
        </w:rPr>
        <w:t>”</w:t>
      </w:r>
      <w:r>
        <w:rPr>
          <w:rFonts w:hint="default" w:ascii="Times New Roman" w:hAnsi="Times New Roman" w:eastAsia="方正仿宋_GBK" w:cs="Times New Roman"/>
          <w:snapToGrid w:val="0"/>
          <w:color w:val="000000"/>
          <w:kern w:val="0"/>
          <w:sz w:val="32"/>
          <w:szCs w:val="32"/>
          <w:highlight w:val="none"/>
          <w:lang w:val="en-US" w:eastAsia="zh-CN" w:bidi="ar-SA"/>
        </w:rPr>
        <w:t>，压实各级责任，层层抓好落实。强化领导干部生态文明建设考核，加强资源消耗、环境损害、生态效益、应对气候变化</w:t>
      </w:r>
      <w:r>
        <w:rPr>
          <w:rFonts w:hint="default" w:ascii="Times New Roman" w:hAnsi="Times New Roman" w:eastAsia="方正仿宋_GBK" w:cs="Times New Roman"/>
          <w:snapToGrid w:val="0"/>
          <w:color w:val="000000"/>
          <w:kern w:val="0"/>
          <w:sz w:val="32"/>
          <w:szCs w:val="32"/>
          <w:lang w:val="en-US" w:eastAsia="zh-CN" w:bidi="ar-SA"/>
        </w:rPr>
        <w:t>等指标考核评价，进一步提高生态文明指标在高质量发展绩效评价指标体系中的权重占比。科学优化考核模式，探索开展静态指标和动态考核相结合的考核。根据生态文明建设进展和实际成效，定期对考核指标及分值进行动态优化，保持考核指标的时效性、适应性。</w:t>
      </w:r>
    </w:p>
    <w:p w14:paraId="4864E16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（三）强化考核结果监督运用</w:t>
      </w:r>
    </w:p>
    <w:p w14:paraId="2D5762F7">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建立定期的生态文明建设工作评估机制，及时反馈评估结果，并根据评估结果调整完善相关政策措施。将生态环境保护目标任务考核情况、中央以及江苏省生态环境保护督察结果、领导干部自然资源资产离任审计结果等作为领导班子和领导干部选拔任用、管理监督的参考依据。探索将考核结果作为区域资金投入、项目审批和政策扶持的参考依据。到2025年，生态文明建设工作占党政实绩考核的比例达到21%。</w:t>
      </w:r>
    </w:p>
    <w:p w14:paraId="77A98C36">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sz w:val="32"/>
          <w:szCs w:val="32"/>
          <w:highlight w:val="none"/>
          <w:lang w:eastAsia="zh-CN"/>
        </w:rPr>
        <w:t>二</w:t>
      </w:r>
      <w:r>
        <w:rPr>
          <w:rFonts w:hint="default" w:ascii="Times New Roman" w:hAnsi="Times New Roman" w:eastAsia="方正黑体_GBK" w:cs="Times New Roman"/>
          <w:sz w:val="32"/>
          <w:szCs w:val="32"/>
          <w:highlight w:val="none"/>
        </w:rPr>
        <w:t>、深化领导干部自然资源资产离任审计制度</w:t>
      </w:r>
    </w:p>
    <w:p w14:paraId="3AA03D28">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健全领导干部自然资源资产离任审计联席制度，完善多部门共同参与、共同推进的工作机制；将领导干部自然资源离任（任中）审计与经济责任审计及其他专项审计相结合，促进切实履行自然资源资产管理和环境保护责任。强化审计结果运用，形成监督合力，在推动生态文明建设和绿色发展中发挥积极作用。领导干部自然资源资产离任审计评价结果作为领导干部考核、任免、奖惩的参考依据。加强审计监督，落实党政领导干部自然资源资产离任审计和生态环境损害责任终身追究制度。</w:t>
      </w:r>
    </w:p>
    <w:p w14:paraId="55082A95">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sz w:val="32"/>
          <w:szCs w:val="32"/>
          <w:highlight w:val="none"/>
          <w:lang w:eastAsia="zh-CN"/>
        </w:rPr>
        <w:t>三</w:t>
      </w:r>
      <w:r>
        <w:rPr>
          <w:rFonts w:hint="default" w:ascii="Times New Roman" w:hAnsi="Times New Roman" w:eastAsia="方正黑体_GBK" w:cs="Times New Roman"/>
          <w:sz w:val="32"/>
          <w:szCs w:val="32"/>
          <w:highlight w:val="none"/>
        </w:rPr>
        <w:t>、严格落实生态环境损害赔偿和责任追究制度</w:t>
      </w:r>
    </w:p>
    <w:p w14:paraId="67B6339E">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严格执行《党政领导干部生态环境损害责任追究办法实施细则（试行）》《江苏省党政领导干部生态环境损害责任追究实施细则》《南京市党政领导干部生态环境损害责任追究工作规程》有关规定，对履职不到位、问题整改不力的严肃追责，对违背科学发展要求、造成生态环境和资源严重破坏的终身追究责任。建立健全生态环境损害赔偿制度，探索编制生态环境损害赔偿管理办法，确定生态环境赔偿原则，明确生态环境损害赔偿的范围、被赔偿对象、赔偿数额及标准。坚持定期组织筛查案件线索，实行跟踪闭环管理。加强联合联动，探索生态环境损害赔偿磋商与检察公益诉讼诉前程序的衔接，深化磋商赔偿公开听证工作。加大对重特大环境事件的责任追究力度。</w:t>
      </w:r>
    </w:p>
    <w:p w14:paraId="62484DB7">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sz w:val="32"/>
          <w:szCs w:val="32"/>
          <w:highlight w:val="none"/>
          <w:lang w:eastAsia="zh-CN"/>
        </w:rPr>
        <w:t>四</w:t>
      </w:r>
      <w:r>
        <w:rPr>
          <w:rFonts w:hint="default" w:ascii="Times New Roman" w:hAnsi="Times New Roman" w:eastAsia="方正黑体_GBK" w:cs="Times New Roman"/>
          <w:sz w:val="32"/>
          <w:szCs w:val="32"/>
          <w:highlight w:val="none"/>
        </w:rPr>
        <w:t>、严格执行生态环境保护督察督政制度</w:t>
      </w:r>
    </w:p>
    <w:p w14:paraId="068779C7">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落实中央、省级环境保护督察制度，建立健全环境违法行为发现处置机制，完善排查、交办、核查、约谈、专项督察</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五步法</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工作模式，严格督察整改。加强督察问责、督察督办、台账建立、核查验收、尽责免责等相关配套制度规定和实施办法的制定落实。加大重点问题、重点区域督查力度，通过暗访督查、随机抽查、交叉检查、有奖举报等方式及时发现问题。重点围绕超标排放、偷排漏排、防治措施不到位等环境违规违法问题，实行销号办结制，限期整改、动态监管，实现督查督办常态长效。对落实不及时、措施不到位、工作不彻底的单位和个人严肃追责，确保重点工作有力推动落实。</w:t>
      </w:r>
    </w:p>
    <w:p w14:paraId="27E9930D">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54429556">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4C733A0C">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5B6E082F">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311812AE">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5E99DBB2">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099F1D84">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6A66B0A4">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1CBCD07B">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6A8F7DD3">
      <w:pPr>
        <w:pStyle w:val="12"/>
        <w:spacing w:before="327" w:beforeLines="100" w:after="327" w:afterLines="100" w:line="578" w:lineRule="exact"/>
        <w:ind w:left="0" w:leftChars="0" w:firstLine="0" w:firstLineChars="0"/>
        <w:jc w:val="center"/>
        <w:rPr>
          <w:rFonts w:hint="default" w:ascii="Times New Roman" w:hAnsi="Times New Roman" w:eastAsia="方正黑体_GBK" w:cs="Times New Roman"/>
          <w:sz w:val="36"/>
          <w:szCs w:val="36"/>
          <w:highlight w:val="none"/>
          <w:lang w:eastAsia="zh-CN"/>
        </w:rPr>
      </w:pPr>
      <w:r>
        <w:rPr>
          <w:rFonts w:hint="default" w:ascii="Times New Roman" w:hAnsi="Times New Roman" w:eastAsia="方正黑体_GBK" w:cs="Times New Roman"/>
          <w:sz w:val="36"/>
          <w:szCs w:val="36"/>
          <w:highlight w:val="none"/>
        </w:rPr>
        <w:t>第</w:t>
      </w:r>
      <w:r>
        <w:rPr>
          <w:rFonts w:hint="default" w:ascii="Times New Roman" w:hAnsi="Times New Roman" w:eastAsia="方正黑体_GBK" w:cs="Times New Roman"/>
          <w:sz w:val="36"/>
          <w:szCs w:val="36"/>
          <w:highlight w:val="none"/>
          <w:lang w:eastAsia="zh-CN"/>
        </w:rPr>
        <w:t>四章</w:t>
      </w:r>
      <w:r>
        <w:rPr>
          <w:rFonts w:hint="default" w:ascii="Times New Roman" w:hAnsi="Times New Roman" w:eastAsia="方正黑体_GBK" w:cs="Times New Roman"/>
          <w:sz w:val="36"/>
          <w:szCs w:val="36"/>
          <w:highlight w:val="none"/>
        </w:rPr>
        <w:t xml:space="preserve">  构建优质稳定的生态安全体系</w:t>
      </w:r>
    </w:p>
    <w:p w14:paraId="2F053D17">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sz w:val="32"/>
          <w:szCs w:val="32"/>
          <w:highlight w:val="none"/>
        </w:rPr>
        <w:t>一、加快推进碳达峰，积极应对气候变化</w:t>
      </w:r>
    </w:p>
    <w:p w14:paraId="77334E2D">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仿宋_GBK" w:cs="Times New Roman"/>
          <w:b/>
          <w:bCs/>
          <w:sz w:val="32"/>
          <w:szCs w:val="32"/>
          <w:highlight w:val="none"/>
          <w:lang w:val="en-US" w:eastAsia="zh-CN"/>
        </w:rPr>
        <w:t>（一）开展二氧化碳排放达峰行动</w:t>
      </w:r>
    </w:p>
    <w:p w14:paraId="3C97B615">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落实碳达峰行动方案</w:t>
      </w:r>
      <w:r>
        <w:rPr>
          <w:rFonts w:hint="default" w:ascii="Times New Roman" w:hAnsi="Times New Roman" w:eastAsia="方正仿宋_GBK" w:cs="Times New Roman"/>
          <w:snapToGrid w:val="0"/>
          <w:color w:val="000000"/>
          <w:kern w:val="0"/>
          <w:sz w:val="32"/>
          <w:szCs w:val="32"/>
          <w:lang w:val="en-US" w:eastAsia="zh-CN" w:bidi="ar-SA"/>
        </w:rPr>
        <w:t>。统筹推进全区碳达峰工作，强化达峰目标过程管理和激励督导，有序推进二氧化碳排放达峰。贯彻落实《秦淮区推进碳达峰碳中和工作方案》，明确碳达峰行动计划，结合</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保护更新老城、开发建设新城</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总体格局和发展特点，以</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转型</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治污</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添绿</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留白</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为主要手段，围绕能源、产业、建筑、交通、科技、居民生活、生态碳汇等重点领域，深入实施碳达峰八大行动。</w:t>
      </w:r>
    </w:p>
    <w:p w14:paraId="140D6275">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深入开展低碳试点示范</w:t>
      </w:r>
      <w:r>
        <w:rPr>
          <w:rFonts w:hint="default" w:ascii="Times New Roman" w:hAnsi="Times New Roman" w:eastAsia="方正仿宋_GBK" w:cs="Times New Roman"/>
          <w:snapToGrid w:val="0"/>
          <w:color w:val="000000"/>
          <w:kern w:val="0"/>
          <w:sz w:val="32"/>
          <w:szCs w:val="32"/>
          <w:lang w:val="en-US" w:eastAsia="zh-CN" w:bidi="ar-SA"/>
        </w:rPr>
        <w:t>。推进中芬合作低碳生态城市建设，在</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光储直柔</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试点、生态水系治理、能源结构调整、零碳交通建设和废弃物零排放等方面，推动一批低碳生态技术、绿色创新领域试点示范项目落地；开展零碳未来城试点，探索打造南部新城零碳未来城，完成省绿色建筑和生态城区区域集成示范验收，推广区域分布式能源系统建设。</w:t>
      </w:r>
    </w:p>
    <w:p w14:paraId="7926F2C2">
      <w:pPr>
        <w:keepNext w:val="0"/>
        <w:keepLines w:val="0"/>
        <w:pageBreakBefore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r>
        <w:rPr>
          <w:rFonts w:hint="default" w:ascii="Times New Roman" w:hAnsi="Times New Roman" w:eastAsia="方正仿宋_GBK" w:cs="Times New Roman"/>
          <w:b/>
          <w:bCs/>
          <w:snapToGrid w:val="0"/>
          <w:kern w:val="0"/>
          <w:sz w:val="32"/>
          <w:szCs w:val="32"/>
          <w:highlight w:val="none"/>
          <w:lang w:val="en-US" w:eastAsia="zh-CN" w:bidi="ar-SA"/>
        </w:rPr>
        <w:t>（二）推动减污降碳协同增效</w:t>
      </w:r>
    </w:p>
    <w:p w14:paraId="61CC9BCD">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深入开展节能降耗工作</w:t>
      </w:r>
      <w:r>
        <w:rPr>
          <w:rFonts w:hint="default" w:ascii="Times New Roman" w:hAnsi="Times New Roman" w:eastAsia="方正仿宋_GBK" w:cs="Times New Roman"/>
          <w:snapToGrid w:val="0"/>
          <w:color w:val="000000"/>
          <w:kern w:val="0"/>
          <w:sz w:val="32"/>
          <w:szCs w:val="32"/>
          <w:lang w:val="en-US" w:eastAsia="zh-CN" w:bidi="ar-SA"/>
        </w:rPr>
        <w:t>。强化重点用能单位节能降碳管理，健全节能标准体系和能源计量体系，大力开发推广节能高效技术和产品，实现重点用能行业、设备节能标准全覆盖，新建高耗能项目单位产品（产值）能耗达到国际先进水平。加快构建清洁低碳、安全高效的能源体系，在完善基础设施和保障能源供应的条件下，有序扩大天然气利用规模，加快能源电力化替代，大力发展清洁能源。</w:t>
      </w:r>
    </w:p>
    <w:p w14:paraId="0ABFA28D">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加快产业结构绿色转型</w:t>
      </w:r>
      <w:r>
        <w:rPr>
          <w:rFonts w:hint="default" w:ascii="Times New Roman" w:hAnsi="Times New Roman" w:eastAsia="方正仿宋_GBK" w:cs="Times New Roman"/>
          <w:snapToGrid w:val="0"/>
          <w:color w:val="000000"/>
          <w:kern w:val="0"/>
          <w:sz w:val="32"/>
          <w:szCs w:val="32"/>
          <w:lang w:val="en-US" w:eastAsia="zh-CN" w:bidi="ar-SA"/>
        </w:rPr>
        <w:t>。推动存量都市工业企业加大技术改造和</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智改数转</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投入力度，实施现有厂房、园区光伏改造，加快建设绿色园区、绿色工厂。引导传统商贸业向绿色低碳转型，推动5G、大数据、物联网和消费场景的融合创新，大力发展智慧零售、跨界零售、无人零售、绿色零售、跨境电商、直播经济等新业态、新模式。激发新兴产业绿色潜能，加快实现软件和信息服务产业关键领域技术突破。探索在白下高新技术产业园区开展（近）零碳园区的培育建设，将低碳零碳要素嵌入产业链、供应链、价值链各环节，提升园区绿色低碳高质量发展水平，促进园区碳排放强度和总量持续较快下降，最终使园区边界内碳排放与碳吸收吸纳相对平衡。</w:t>
      </w:r>
    </w:p>
    <w:p w14:paraId="47365F60">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控制城市生活温室气体排放</w:t>
      </w:r>
      <w:r>
        <w:rPr>
          <w:rFonts w:hint="default" w:ascii="Times New Roman" w:hAnsi="Times New Roman" w:eastAsia="方正仿宋_GBK" w:cs="Times New Roman"/>
          <w:snapToGrid w:val="0"/>
          <w:color w:val="000000"/>
          <w:kern w:val="0"/>
          <w:sz w:val="32"/>
          <w:szCs w:val="32"/>
          <w:lang w:val="en-US" w:eastAsia="zh-CN" w:bidi="ar-SA"/>
        </w:rPr>
        <w:t>。推进老城更新节能降碳，提高存量建筑绿色化水平，提升能效水平和绿建比率，促进终端能源电气化，加快</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绿网</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建设</w:t>
      </w:r>
      <w:r>
        <w:rPr>
          <w:rFonts w:hint="default" w:ascii="Times New Roman" w:hAnsi="Times New Roman" w:eastAsia="方正仿宋_GBK" w:cs="Times New Roman"/>
          <w:snapToGrid w:val="0"/>
          <w:color w:val="000000"/>
          <w:kern w:val="0"/>
          <w:sz w:val="32"/>
          <w:szCs w:val="32"/>
          <w:highlight w:val="none"/>
          <w:lang w:val="en-US" w:eastAsia="zh-CN" w:bidi="ar-SA"/>
        </w:rPr>
        <w:t>。推动新城建设绿色示范，积极推进南部新城绿色建筑全产业链发展计划，</w:t>
      </w:r>
      <w:r>
        <w:rPr>
          <w:rFonts w:hint="default" w:ascii="Times New Roman" w:hAnsi="Times New Roman" w:eastAsia="方正仿宋_GBK" w:cs="Times New Roman"/>
          <w:snapToGrid w:val="0"/>
          <w:color w:val="000000"/>
          <w:kern w:val="0"/>
          <w:sz w:val="32"/>
          <w:szCs w:val="32"/>
          <w:lang w:val="en-US" w:eastAsia="zh-CN" w:bidi="ar-SA"/>
        </w:rPr>
        <w:t>加强新建建筑生命周期全过程管理，推进中芬合作低碳生态城市建设及零碳未来城试点。控制非二氧化碳温室气体排放，完善监测统计，摸清非二氧化碳排放底数，推动建立覆盖各领域的包括非二氧化碳温室气体在内的温室气体排放监测和统计制度。</w:t>
      </w:r>
    </w:p>
    <w:p w14:paraId="22583E89">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仿宋_GBK" w:cs="Times New Roman"/>
          <w:b/>
          <w:bCs/>
          <w:snapToGrid w:val="0"/>
          <w:color w:val="000000"/>
          <w:kern w:val="0"/>
          <w:sz w:val="32"/>
          <w:szCs w:val="32"/>
          <w:lang w:val="en-US" w:eastAsia="zh-CN" w:bidi="ar-SA"/>
        </w:rPr>
        <w:t>加强低碳交通运输体系建设</w:t>
      </w:r>
      <w:r>
        <w:rPr>
          <w:rFonts w:hint="default" w:ascii="Times New Roman" w:hAnsi="Times New Roman" w:eastAsia="方正仿宋_GBK" w:cs="Times New Roman"/>
          <w:snapToGrid w:val="0"/>
          <w:color w:val="000000"/>
          <w:kern w:val="0"/>
          <w:sz w:val="32"/>
          <w:szCs w:val="32"/>
          <w:lang w:val="en-US" w:eastAsia="zh-CN" w:bidi="ar-SA"/>
        </w:rPr>
        <w:t>。建设低碳交通基础设施，构建交通枢纽场站</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分布式光伏+储能+微电网</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的交通能源系统。加快公共充换电网络布局，推进公交场站、出租汽车服务中心、公共停车场、物流配送中心等区域电动汽车充换电基础设施建设。发展慢行交通和共享交通，引导使用新能源汽车，倡导步行出行。梳理城市巷道，打通</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微血脉</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保障交通畅通。构建绿色高效货运体系，发展城市绿色货运配送，统筹规划配送网络，推进货运配送全链条信息交互共享，大力发展共同配送、统一配送、分时配送等集约化配送模式。推动新能源、清洁能源、可再生合成燃料在中重型卡车、环卫专用车等交通运输领域的应用。</w:t>
      </w:r>
    </w:p>
    <w:p w14:paraId="2700A058">
      <w:pPr>
        <w:keepNext w:val="0"/>
        <w:keepLines w:val="0"/>
        <w:pageBreakBefore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r>
        <w:rPr>
          <w:rFonts w:hint="default" w:ascii="Times New Roman" w:hAnsi="Times New Roman" w:eastAsia="方正仿宋_GBK" w:cs="Times New Roman"/>
          <w:b/>
          <w:bCs/>
          <w:snapToGrid w:val="0"/>
          <w:kern w:val="0"/>
          <w:sz w:val="32"/>
          <w:szCs w:val="32"/>
          <w:highlight w:val="none"/>
          <w:lang w:val="en-US" w:eastAsia="zh-CN" w:bidi="ar-SA"/>
        </w:rPr>
        <w:t>（三）全面提升适应气候变化能力</w:t>
      </w:r>
    </w:p>
    <w:p w14:paraId="2F64DFE7">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持续完善极端气候应对能力</w:t>
      </w:r>
      <w:r>
        <w:rPr>
          <w:rFonts w:hint="default" w:ascii="Times New Roman" w:hAnsi="Times New Roman" w:eastAsia="方正仿宋_GBK" w:cs="Times New Roman"/>
          <w:snapToGrid w:val="0"/>
          <w:color w:val="000000"/>
          <w:kern w:val="0"/>
          <w:sz w:val="32"/>
          <w:szCs w:val="32"/>
          <w:lang w:val="en-US" w:eastAsia="zh-CN" w:bidi="ar-SA"/>
        </w:rPr>
        <w:t>。加强生态系统保护与修复，积极推进国土绿化行动，充分挖掘城镇、社区、庭院等绿化潜力，增强储碳能力。针对暴雨洪涝、台风等极端气候事件，提高城市生命线系统的设计、建设、养护标准，扩大耐受气候变化影响的变幅阈值，增强城市应对极端天气气候事件的防护能力。配合建立健全</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政府主导、部门联动、社会参与</w:t>
      </w:r>
      <w:r>
        <w:rPr>
          <w:rFonts w:hint="default"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的气象灾害防御体系，加强气候灾害应急响应能力建设，完善应急救援保障体系。加强适应型基础设施建设。根据省、市统一部署，配合推进建设天地空一体化的空气中温室气体浓度</w:t>
      </w:r>
      <w:r>
        <w:rPr>
          <w:rFonts w:hint="default" w:ascii="Times New Roman" w:hAnsi="Times New Roman" w:eastAsia="方正仿宋_GBK" w:cs="Times New Roman"/>
          <w:snapToGrid w:val="0"/>
          <w:color w:val="000000"/>
          <w:kern w:val="0"/>
          <w:sz w:val="32"/>
          <w:szCs w:val="32"/>
          <w:lang w:val="en-US" w:eastAsia="zh-CN" w:bidi="ar-SA"/>
        </w:rPr>
        <w:t>监测</w:t>
      </w:r>
      <w:r>
        <w:rPr>
          <w:rFonts w:hint="default" w:ascii="Times New Roman" w:hAnsi="Times New Roman" w:eastAsia="方正仿宋_GBK" w:cs="Times New Roman"/>
          <w:snapToGrid w:val="0"/>
          <w:color w:val="000000"/>
          <w:kern w:val="0"/>
          <w:sz w:val="32"/>
          <w:szCs w:val="32"/>
          <w:lang w:val="en-US" w:eastAsia="zh-CN" w:bidi="ar-SA"/>
        </w:rPr>
        <w:t>体系，逐步建立数据综合分析应用平台，健全温室气体排放基础数据统计指标体系，常态化、规范化编制温室气体排放清单。</w:t>
      </w:r>
    </w:p>
    <w:p w14:paraId="6A58DD14">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提升生态环境科研能力</w:t>
      </w:r>
      <w:r>
        <w:rPr>
          <w:rFonts w:hint="default" w:ascii="Times New Roman" w:hAnsi="Times New Roman" w:eastAsia="方正仿宋_GBK" w:cs="Times New Roman"/>
          <w:snapToGrid w:val="0"/>
          <w:color w:val="000000"/>
          <w:kern w:val="0"/>
          <w:sz w:val="32"/>
          <w:szCs w:val="32"/>
          <w:lang w:val="en-US" w:eastAsia="zh-CN" w:bidi="ar-SA"/>
        </w:rPr>
        <w:t>。充分利用辖区内高校、科研院所资源优势，开展应对气候变化、新污染物、水生态修复治理等重点领域前瞻性应用基础研究和关键核心技术攻坚突破，推进区域性、流域性生态环境问题研究，提升生态环境科研能力。持续开展生态环境科技帮扶行动，加强技术转化与实践应用。</w:t>
      </w:r>
    </w:p>
    <w:p w14:paraId="227DBEB8">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仿宋_GBK" w:cs="Times New Roman"/>
          <w:b/>
          <w:bCs/>
          <w:snapToGrid w:val="0"/>
          <w:color w:val="000000"/>
          <w:kern w:val="0"/>
          <w:sz w:val="32"/>
          <w:szCs w:val="32"/>
          <w:highlight w:val="none"/>
          <w:lang w:val="en-US" w:eastAsia="zh-CN" w:bidi="ar-SA"/>
        </w:rPr>
        <w:t>充分发挥市场机制作用</w:t>
      </w:r>
      <w:r>
        <w:rPr>
          <w:rFonts w:hint="default" w:ascii="Times New Roman" w:hAnsi="Times New Roman" w:eastAsia="方正仿宋_GBK" w:cs="Times New Roman"/>
          <w:snapToGrid w:val="0"/>
          <w:color w:val="000000"/>
          <w:kern w:val="0"/>
          <w:sz w:val="32"/>
          <w:szCs w:val="32"/>
          <w:highlight w:val="none"/>
          <w:lang w:val="en-US" w:eastAsia="zh-CN" w:bidi="ar-SA"/>
        </w:rPr>
        <w:t>。用好绿色金融工具，鼓励社会资本以市场化方式设立绿色低碳产业投资基金，</w:t>
      </w:r>
      <w:r>
        <w:rPr>
          <w:rFonts w:hint="default" w:ascii="Times New Roman" w:hAnsi="Times New Roman" w:eastAsia="方正仿宋_GBK" w:cs="Times New Roman"/>
          <w:snapToGrid w:val="0"/>
          <w:color w:val="000000"/>
          <w:kern w:val="0"/>
          <w:sz w:val="32"/>
          <w:szCs w:val="32"/>
          <w:lang w:val="en-US" w:eastAsia="zh-CN" w:bidi="ar-SA"/>
        </w:rPr>
        <w:t>严格控制高碳项目投资，加大对节能环保、新能源、负碳技术的投融资支持力度。推广碳普惠机制在秦淮区的应用及创新，引导企业、社区、学校、居民积极参与碳普惠活动。统筹推进自然资源资产交易平台和服务体系建设，健全市场监测监管和调控机制，建立自然资源资产市场信用体系，促进自然资源资产流转顺畅、交易安全、利用高效。落实国家和省碳排放权交易市场建设统一部署，积极对接碳排放权交易市场工作，梳理纳入碳排放权交易体系的企业名单，提升碳排放权交易市场基础能力。</w:t>
      </w:r>
    </w:p>
    <w:p w14:paraId="27006B1F">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sz w:val="32"/>
          <w:szCs w:val="32"/>
          <w:highlight w:val="none"/>
          <w:lang w:eastAsia="zh-CN"/>
        </w:rPr>
        <w:t>二</w:t>
      </w:r>
      <w:r>
        <w:rPr>
          <w:rFonts w:hint="default" w:ascii="Times New Roman" w:hAnsi="Times New Roman" w:eastAsia="方正黑体_GBK" w:cs="Times New Roman"/>
          <w:sz w:val="32"/>
          <w:szCs w:val="32"/>
          <w:highlight w:val="none"/>
        </w:rPr>
        <w:t>、坚持</w:t>
      </w:r>
      <w:r>
        <w:rPr>
          <w:rFonts w:hint="default" w:ascii="Times New Roman" w:hAnsi="Times New Roman" w:eastAsia="方正黑体_GBK" w:cs="Times New Roman"/>
          <w:sz w:val="32"/>
          <w:szCs w:val="32"/>
          <w:highlight w:val="none"/>
          <w:lang w:eastAsia="zh-CN"/>
        </w:rPr>
        <w:t>“</w:t>
      </w:r>
      <w:r>
        <w:rPr>
          <w:rFonts w:hint="default" w:ascii="Times New Roman" w:hAnsi="Times New Roman" w:eastAsia="方正黑体_GBK" w:cs="Times New Roman"/>
          <w:sz w:val="32"/>
          <w:szCs w:val="32"/>
          <w:highlight w:val="none"/>
        </w:rPr>
        <w:t>三水</w:t>
      </w:r>
      <w:r>
        <w:rPr>
          <w:rFonts w:hint="default" w:ascii="Times New Roman" w:hAnsi="Times New Roman" w:eastAsia="方正黑体_GBK" w:cs="Times New Roman"/>
          <w:sz w:val="32"/>
          <w:szCs w:val="32"/>
          <w:highlight w:val="none"/>
          <w:lang w:eastAsia="zh-CN"/>
        </w:rPr>
        <w:t>”</w:t>
      </w:r>
      <w:r>
        <w:rPr>
          <w:rFonts w:hint="default" w:ascii="Times New Roman" w:hAnsi="Times New Roman" w:eastAsia="方正黑体_GBK" w:cs="Times New Roman"/>
          <w:sz w:val="32"/>
          <w:szCs w:val="32"/>
          <w:highlight w:val="none"/>
        </w:rPr>
        <w:t>统筹，打造生态美丽河湖</w:t>
      </w:r>
    </w:p>
    <w:p w14:paraId="426226BE">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仿宋_GBK" w:cs="Times New Roman"/>
          <w:b/>
          <w:bCs/>
          <w:sz w:val="32"/>
          <w:szCs w:val="32"/>
          <w:highlight w:val="none"/>
          <w:lang w:val="en-US" w:eastAsia="zh-CN"/>
        </w:rPr>
        <w:t>（一）合理高效利用水资源</w:t>
      </w:r>
    </w:p>
    <w:p w14:paraId="3A1A84B1">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推进活水保质工作</w:t>
      </w:r>
      <w:r>
        <w:rPr>
          <w:rFonts w:hint="default" w:ascii="Times New Roman" w:hAnsi="Times New Roman" w:eastAsia="方正仿宋_GBK" w:cs="Times New Roman"/>
          <w:snapToGrid w:val="0"/>
          <w:color w:val="000000"/>
          <w:kern w:val="0"/>
          <w:sz w:val="32"/>
          <w:szCs w:val="32"/>
          <w:lang w:val="en-US" w:eastAsia="zh-CN" w:bidi="ar-SA"/>
        </w:rPr>
        <w:t>。精准调度全域引补水体系，完善内秦淮河水系生态补水方案，充分利用分散式净水站达标尾水，抓好河道生态补水。在确保稳定运行的基础上，以清水塘、月牙湖、外秦淮河湿地为中心，统筹协调引调水、生态蓄水与防汛排涝的关系，合理控制河湖水位，科学有效调度分配优质水源，提升“三湖六河”水生态环境，实现活水保质。高标准做好旅游景区常态化水质保障，展示秦淮水名片。</w:t>
      </w:r>
    </w:p>
    <w:p w14:paraId="412C7B7F">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保障水生态流量</w:t>
      </w:r>
      <w:r>
        <w:rPr>
          <w:rFonts w:hint="default" w:ascii="Times New Roman" w:hAnsi="Times New Roman" w:eastAsia="方正仿宋_GBK" w:cs="Times New Roman"/>
          <w:snapToGrid w:val="0"/>
          <w:color w:val="000000"/>
          <w:kern w:val="0"/>
          <w:sz w:val="32"/>
          <w:szCs w:val="32"/>
          <w:lang w:val="en-US" w:eastAsia="zh-CN" w:bidi="ar-SA"/>
        </w:rPr>
        <w:t>。科学确定河湖生态水位（流量），将生态水位（流量）保障工作纳入水资源规划、配置、调度、管理全过程，高标准落实《内秦淮河南段生态流量保障实施方案》。坚持综合施策，构建区域活力水环。以生态需水量为主线，推进象房村净水站二期工程，深化精准补水路径研究，优化九龙泵站、翁家营泵站等生态补水点配置，增强水体流动性，促进河湖水质整体提升。持续推进城市内涝治理，完成双桥门、南卫巷等5个积淹水点整治，实施梅家廊、友谊河铁路立交泵站改造，夯实城区安全基础。升级智慧水务平台，以信息化促进河湖“管理+养护”高效化、智能化，构建完善生态、安全、可持续的城市水系活力循环。</w:t>
      </w:r>
    </w:p>
    <w:p w14:paraId="755B2C27">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严格水资源管理</w:t>
      </w:r>
      <w:r>
        <w:rPr>
          <w:rFonts w:hint="default" w:ascii="Times New Roman" w:hAnsi="Times New Roman" w:eastAsia="方正仿宋_GBK" w:cs="Times New Roman"/>
          <w:snapToGrid w:val="0"/>
          <w:color w:val="000000"/>
          <w:kern w:val="0"/>
          <w:sz w:val="32"/>
          <w:szCs w:val="32"/>
          <w:lang w:val="en-US" w:eastAsia="zh-CN" w:bidi="ar-SA"/>
        </w:rPr>
        <w:t>。强化水资源刚性约束，推动形成行政区域用水总量红线控制、重点河湖水量分配、河湖生态水位（流量）保障等为核心的水资源总量控制体系。实施水资源消耗总量控制行动，严格水资源有偿使用制度和非居民用水超定额超计划累进加价制度。建立用水单位重点监控名录，实现区、重点用水户用水总量有效控制。加快高耗水发展方式转变，开展水效领跑者行动，大力推进节水型城市和载体建设。</w:t>
      </w:r>
    </w:p>
    <w:p w14:paraId="3C22B8C8">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仿宋_GBK" w:cs="Times New Roman"/>
          <w:b/>
          <w:bCs/>
          <w:sz w:val="32"/>
          <w:szCs w:val="32"/>
          <w:highlight w:val="none"/>
          <w:lang w:val="en-US" w:eastAsia="zh-CN"/>
        </w:rPr>
        <w:t>（二）多措并举治理水环境</w:t>
      </w:r>
    </w:p>
    <w:p w14:paraId="5184F802">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保持水质稳步提升</w:t>
      </w:r>
      <w:r>
        <w:rPr>
          <w:rFonts w:hint="default" w:ascii="Times New Roman" w:hAnsi="Times New Roman" w:eastAsia="方正仿宋_GBK" w:cs="Times New Roman"/>
          <w:snapToGrid w:val="0"/>
          <w:color w:val="000000"/>
          <w:kern w:val="0"/>
          <w:sz w:val="32"/>
          <w:szCs w:val="32"/>
          <w:lang w:val="en-US" w:eastAsia="zh-CN" w:bidi="ar-SA"/>
        </w:rPr>
        <w:t>。瞄准全域水环境质量“只能变好、不能变差”目标，对重难点河道开展整治，协调对接河道上游同步组织实施，通过排口整治、清淤疏浚、内源治理等工程措施，确保整治后水质稳定达标。加快实施运粮河（运粮河大桥—入河口）、东风河水环境综合治理工程，持续推进外秦淮河沿线（秦淮区）重点泵站前池、象房村高水高排涵整治工程。深化落实河道水环境长效管理工作机制，全面统筹、综合施策，持续巩固“消黑消劣”整治成效。对已完成报结销号的水体，落实常态化管养，稳定保持水质。实行断面长制度，优化“六长一员”河长制，开展重点断面自动监测，全面提升督察指导能力和协调配合力度。加强入河排污口调查、监测、溯源、整治工作，有效管控各类入河排污口。</w:t>
      </w:r>
    </w:p>
    <w:p w14:paraId="47C069D5">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完善城市污水管网建设</w:t>
      </w:r>
      <w:r>
        <w:rPr>
          <w:rFonts w:hint="default" w:ascii="Times New Roman" w:hAnsi="Times New Roman" w:eastAsia="方正仿宋_GBK" w:cs="Times New Roman"/>
          <w:snapToGrid w:val="0"/>
          <w:color w:val="000000"/>
          <w:kern w:val="0"/>
          <w:sz w:val="32"/>
          <w:szCs w:val="32"/>
          <w:lang w:val="en-US" w:eastAsia="zh-CN" w:bidi="ar-SA"/>
        </w:rPr>
        <w:t>。高标准实施雨污分流清疏修缮工程，按照雨污分流全覆盖、成体系、提质效的要求，继续推进新一轮雨污分流项目清疏修缮整改，实现雨污水管网提质增效。加强污水处理设施运营管理，持续实施污水管网建设，完善城市污水收集体系，提高污水收集处理率。2025年前，完成秦淮区西大阳沟（大阳沟—解放南路）污水管道建设工程建设。强化集成治理成效，切实做好“问题在水里、根子在岸上”源头治理。高效开展道路雨污水管网排查整改，深化河道和雨污分流片区管养。加快实施许家巷、实辉巷、文思巷、西方巷污水管道修复改造工程。强化已整治水体和已建成雨污分流片区管理养护责任、队伍和保障落实，从注重工程性措施向治管并重转变，提高常态化、精细化、规范化管养水平。探索实施符合实际且行之有效的管养制度机制，打造一批管网养护示范小区。坚持清污分离，补齐老城治污短板，结合南京市水环境综合治理三年行动方案，以消减雨天溢流污染为目标，实施内秦淮河中段流域雨水排口截流优化改造工程，推进糖坊廊、安品街等41个片区管网清疏修缮，巩固雨污分流建设成效，加快排水体系切换，有效提升汛期河道水质。</w:t>
      </w:r>
    </w:p>
    <w:p w14:paraId="6B564A83">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强化废水排放监管</w:t>
      </w:r>
      <w:r>
        <w:rPr>
          <w:rFonts w:hint="default" w:ascii="Times New Roman" w:hAnsi="Times New Roman" w:eastAsia="方正仿宋_GBK" w:cs="Times New Roman"/>
          <w:snapToGrid w:val="0"/>
          <w:color w:val="000000"/>
          <w:kern w:val="0"/>
          <w:sz w:val="32"/>
          <w:szCs w:val="32"/>
          <w:lang w:val="en-US" w:eastAsia="zh-CN" w:bidi="ar-SA"/>
        </w:rPr>
        <w:t>。加强“小散乱”等排水户整治，强化排水管理和执法协作联动。持续开展白下高新园区内部水环境质量监测，对挥发酚、氟化物等特征因子超标区域开展溯源排查。巩固园区水污染物整治成效，推动电镀企业内部雨污分流建设。组织推进工业废水和生活污水分质处理实施方案，经评估废水不能被城镇污水处理厂有效处理或有可能对生活污水处理厂达标排放造成影响的，应实施整改，不能整改的需于2025年底前退出。巩固入江支流水质整治成效，强化入河排污口整治和规范化管理，全面开展入河排污口排查整治工作，到2024年底，基本完成主要内河湖库入河排污口整治任务和其他水体入河排污口排查、监测、溯源工作，配合建立全市入河排污口档案库，逐步形成较为完善的入河排污口监督管理制度体系。</w:t>
      </w:r>
    </w:p>
    <w:p w14:paraId="0FB2B27B">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仿宋_GBK" w:cs="Times New Roman"/>
          <w:b/>
          <w:bCs/>
          <w:sz w:val="32"/>
          <w:szCs w:val="32"/>
          <w:highlight w:val="none"/>
          <w:lang w:val="en-US" w:eastAsia="zh-CN"/>
        </w:rPr>
        <w:t>（三）实施城市河湖水生态修复</w:t>
      </w:r>
    </w:p>
    <w:p w14:paraId="0E7DD669">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保护和恢复河湖水生态完整性</w:t>
      </w:r>
      <w:r>
        <w:rPr>
          <w:rFonts w:hint="default" w:ascii="Times New Roman" w:hAnsi="Times New Roman" w:eastAsia="方正仿宋_GBK" w:cs="Times New Roman"/>
          <w:snapToGrid w:val="0"/>
          <w:color w:val="000000"/>
          <w:kern w:val="0"/>
          <w:sz w:val="32"/>
          <w:szCs w:val="32"/>
          <w:lang w:val="en-US" w:eastAsia="zh-CN" w:bidi="ar-SA"/>
        </w:rPr>
        <w:t>。落实《江苏省生态河湖状况评价规范》《南京市生态河湖行动计划》要求，系统梳理全区河道健康评估指标，构建河道健康评估体系，开展重点河湖水生态调查评估，掌握鱼类、底栖生物、浮游生物、着生生物和水生植物等基础状况，逐步形成长序列水生态数据。配合开展国家长江流域水生态考核自测评估工作。</w:t>
      </w:r>
    </w:p>
    <w:p w14:paraId="30099B3E">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加快推进水生态修复工程建设</w:t>
      </w:r>
      <w:r>
        <w:rPr>
          <w:rFonts w:hint="default" w:ascii="Times New Roman" w:hAnsi="Times New Roman" w:eastAsia="方正仿宋_GBK" w:cs="Times New Roman"/>
          <w:snapToGrid w:val="0"/>
          <w:color w:val="000000"/>
          <w:kern w:val="0"/>
          <w:sz w:val="32"/>
          <w:szCs w:val="32"/>
          <w:lang w:val="en-US" w:eastAsia="zh-CN" w:bidi="ar-SA"/>
        </w:rPr>
        <w:t>。立足全区生态资源本底特征，结合《南京市主城区河道蓝线规划》，综合考虑城市水系的整体性、协调性、安全性和功能性，保持城市水系的自然形态。结合海绵城市建设，开展以源头水源涵养、岸边带保护、河道生态清淤、河湖湿地为主要内容的河道水生态修复工程。实施河流水系连通及治理修复工程，改善自然生态系统状况，提升生态系统稳定性和连续性，筑牢生态安全格局。加强河道岸线管理，对河道等水域空间及其防护空间进行重点保护，严格建设管控。因地制宜推进秦淮河等重点水体河湖缓冲带的划定与建设。</w:t>
      </w:r>
    </w:p>
    <w:p w14:paraId="095DA57C">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高标准推进“幸福河湖”建设</w:t>
      </w:r>
      <w:r>
        <w:rPr>
          <w:rFonts w:hint="default" w:ascii="Times New Roman" w:hAnsi="Times New Roman" w:eastAsia="方正仿宋_GBK" w:cs="Times New Roman"/>
          <w:snapToGrid w:val="0"/>
          <w:color w:val="000000"/>
          <w:kern w:val="0"/>
          <w:sz w:val="32"/>
          <w:szCs w:val="32"/>
          <w:lang w:val="en-US" w:eastAsia="zh-CN" w:bidi="ar-SA"/>
        </w:rPr>
        <w:t>。在巩固既有水生态环境的基础上，根据秦淮区河道自然资源禀赋和人文景观特色，贯通外秦淮河、运粮河、月牙湖—东南护城河三条生态廊道，分治理类、科学实施水环境整治工程，开展清淤疏浚、水下森林建设，配合岸坡整理、景观绿化，构建“岸绿景美、亲水宜居”的水环境体系。按照南京市幸福河湖建设计划，推进区内幸福河湖创建，打造外秦淮河七里街、内秦淮河等一批幸福河湖示范样板。</w:t>
      </w:r>
    </w:p>
    <w:p w14:paraId="23EFCE4F">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sz w:val="32"/>
          <w:szCs w:val="32"/>
          <w:highlight w:val="none"/>
          <w:lang w:eastAsia="zh-CN"/>
        </w:rPr>
        <w:t>三</w:t>
      </w:r>
      <w:r>
        <w:rPr>
          <w:rFonts w:hint="default" w:ascii="Times New Roman" w:hAnsi="Times New Roman" w:eastAsia="方正黑体_GBK" w:cs="Times New Roman"/>
          <w:sz w:val="32"/>
          <w:szCs w:val="32"/>
          <w:highlight w:val="none"/>
        </w:rPr>
        <w:t>、坚持协同控制，改善环境空气质量</w:t>
      </w:r>
    </w:p>
    <w:p w14:paraId="50A784F3">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仿宋_GBK" w:cs="Times New Roman"/>
          <w:b/>
          <w:bCs/>
          <w:sz w:val="32"/>
          <w:szCs w:val="32"/>
          <w:highlight w:val="none"/>
          <w:lang w:val="en-US" w:eastAsia="zh-CN"/>
        </w:rPr>
        <w:t>（一）协同控制细颗粒物和臭氧</w:t>
      </w:r>
    </w:p>
    <w:p w14:paraId="7CB01F34">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实施大气环境质量目标管理</w:t>
      </w:r>
      <w:r>
        <w:rPr>
          <w:rFonts w:hint="default" w:ascii="Times New Roman" w:hAnsi="Times New Roman" w:eastAsia="方正仿宋_GBK" w:cs="Times New Roman"/>
          <w:snapToGrid w:val="0"/>
          <w:color w:val="000000"/>
          <w:kern w:val="0"/>
          <w:sz w:val="32"/>
          <w:szCs w:val="32"/>
          <w:lang w:val="en-US" w:eastAsia="zh-CN" w:bidi="ar-SA"/>
        </w:rPr>
        <w:t>。严格落实空气质量目标责任制，进一步夯实点位达标负责人精准履职，压紧压实属地街道责任，定期对站点周边污染源开展检查、巡查，强化重点区域环境管理。落实空气质量提升及污染防治重点任务，确保空气环境质量稳定达标、持续改善。到2025年，空气质量优良天数比例、PM</w:t>
      </w:r>
      <w:r>
        <w:rPr>
          <w:rFonts w:hint="default" w:ascii="Times New Roman" w:hAnsi="Times New Roman" w:eastAsia="方正仿宋_GBK" w:cs="Times New Roman"/>
          <w:snapToGrid w:val="0"/>
          <w:color w:val="000000"/>
          <w:kern w:val="0"/>
          <w:sz w:val="32"/>
          <w:szCs w:val="32"/>
          <w:vertAlign w:val="subscript"/>
          <w:lang w:val="en-US" w:eastAsia="zh-CN" w:bidi="ar-SA"/>
        </w:rPr>
        <w:t>2.5</w:t>
      </w:r>
      <w:r>
        <w:rPr>
          <w:rFonts w:hint="default" w:ascii="Times New Roman" w:hAnsi="Times New Roman" w:eastAsia="方正仿宋_GBK" w:cs="Times New Roman"/>
          <w:snapToGrid w:val="0"/>
          <w:color w:val="000000"/>
          <w:kern w:val="0"/>
          <w:sz w:val="32"/>
          <w:szCs w:val="32"/>
          <w:lang w:val="en-US" w:eastAsia="zh-CN" w:bidi="ar-SA"/>
        </w:rPr>
        <w:t>年均浓度达市定目标。</w:t>
      </w:r>
    </w:p>
    <w:p w14:paraId="0E41C217">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协同开展PM</w:t>
      </w:r>
      <w:r>
        <w:rPr>
          <w:rFonts w:hint="default" w:ascii="Times New Roman" w:hAnsi="Times New Roman" w:eastAsia="方正仿宋_GBK" w:cs="Times New Roman"/>
          <w:b/>
          <w:bCs/>
          <w:snapToGrid w:val="0"/>
          <w:color w:val="000000"/>
          <w:kern w:val="0"/>
          <w:sz w:val="32"/>
          <w:szCs w:val="32"/>
          <w:vertAlign w:val="subscript"/>
          <w:lang w:val="en-US" w:eastAsia="zh-CN" w:bidi="ar-SA"/>
        </w:rPr>
        <w:t>2.5</w:t>
      </w:r>
      <w:r>
        <w:rPr>
          <w:rFonts w:hint="default" w:ascii="Times New Roman" w:hAnsi="Times New Roman" w:eastAsia="方正仿宋_GBK" w:cs="Times New Roman"/>
          <w:b/>
          <w:bCs/>
          <w:snapToGrid w:val="0"/>
          <w:color w:val="000000"/>
          <w:kern w:val="0"/>
          <w:sz w:val="32"/>
          <w:szCs w:val="32"/>
          <w:lang w:val="en-US" w:eastAsia="zh-CN" w:bidi="ar-SA"/>
        </w:rPr>
        <w:t>和O</w:t>
      </w:r>
      <w:r>
        <w:rPr>
          <w:rFonts w:hint="default" w:ascii="Times New Roman" w:hAnsi="Times New Roman" w:eastAsia="方正仿宋_GBK" w:cs="Times New Roman"/>
          <w:b/>
          <w:bCs/>
          <w:snapToGrid w:val="0"/>
          <w:color w:val="000000"/>
          <w:kern w:val="0"/>
          <w:sz w:val="32"/>
          <w:szCs w:val="32"/>
          <w:vertAlign w:val="subscript"/>
          <w:lang w:val="en-US" w:eastAsia="zh-CN" w:bidi="ar-SA"/>
        </w:rPr>
        <w:t>3</w:t>
      </w:r>
      <w:r>
        <w:rPr>
          <w:rFonts w:hint="default" w:ascii="Times New Roman" w:hAnsi="Times New Roman" w:eastAsia="方正仿宋_GBK" w:cs="Times New Roman"/>
          <w:b/>
          <w:bCs/>
          <w:snapToGrid w:val="0"/>
          <w:color w:val="000000"/>
          <w:kern w:val="0"/>
          <w:sz w:val="32"/>
          <w:szCs w:val="32"/>
          <w:lang w:val="en-US" w:eastAsia="zh-CN" w:bidi="ar-SA"/>
        </w:rPr>
        <w:t>污染防治</w:t>
      </w:r>
      <w:r>
        <w:rPr>
          <w:rFonts w:hint="default" w:ascii="Times New Roman" w:hAnsi="Times New Roman" w:eastAsia="方正仿宋_GBK" w:cs="Times New Roman"/>
          <w:snapToGrid w:val="0"/>
          <w:color w:val="000000"/>
          <w:kern w:val="0"/>
          <w:sz w:val="32"/>
          <w:szCs w:val="32"/>
          <w:lang w:val="en-US" w:eastAsia="zh-CN" w:bidi="ar-SA"/>
        </w:rPr>
        <w:t>。持续深入开展大气污染防治行动，统筹考虑PM</w:t>
      </w:r>
      <w:r>
        <w:rPr>
          <w:rFonts w:hint="default" w:ascii="Times New Roman" w:hAnsi="Times New Roman" w:eastAsia="方正仿宋_GBK" w:cs="Times New Roman"/>
          <w:snapToGrid w:val="0"/>
          <w:color w:val="000000"/>
          <w:kern w:val="0"/>
          <w:sz w:val="32"/>
          <w:szCs w:val="32"/>
          <w:vertAlign w:val="subscript"/>
          <w:lang w:val="en-US" w:eastAsia="zh-CN" w:bidi="ar-SA"/>
        </w:rPr>
        <w:t>2.5</w:t>
      </w:r>
      <w:r>
        <w:rPr>
          <w:rFonts w:hint="default" w:ascii="Times New Roman" w:hAnsi="Times New Roman" w:eastAsia="方正仿宋_GBK" w:cs="Times New Roman"/>
          <w:snapToGrid w:val="0"/>
          <w:color w:val="000000"/>
          <w:kern w:val="0"/>
          <w:sz w:val="32"/>
          <w:szCs w:val="32"/>
          <w:lang w:val="en-US" w:eastAsia="zh-CN" w:bidi="ar-SA"/>
        </w:rPr>
        <w:t>和O</w:t>
      </w:r>
      <w:r>
        <w:rPr>
          <w:rFonts w:hint="default" w:ascii="Times New Roman" w:hAnsi="Times New Roman" w:eastAsia="方正仿宋_GBK" w:cs="Times New Roman"/>
          <w:snapToGrid w:val="0"/>
          <w:color w:val="000000"/>
          <w:kern w:val="0"/>
          <w:sz w:val="32"/>
          <w:szCs w:val="32"/>
          <w:vertAlign w:val="subscript"/>
          <w:lang w:val="en-US" w:eastAsia="zh-CN" w:bidi="ar-SA"/>
        </w:rPr>
        <w:t>3</w:t>
      </w:r>
      <w:r>
        <w:rPr>
          <w:rFonts w:hint="default" w:ascii="Times New Roman" w:hAnsi="Times New Roman" w:eastAsia="方正仿宋_GBK" w:cs="Times New Roman"/>
          <w:snapToGrid w:val="0"/>
          <w:color w:val="000000"/>
          <w:kern w:val="0"/>
          <w:sz w:val="32"/>
          <w:szCs w:val="32"/>
          <w:lang w:val="en-US" w:eastAsia="zh-CN" w:bidi="ar-SA"/>
        </w:rPr>
        <w:t>污染区域传输规律和季节性特征，实施PM</w:t>
      </w:r>
      <w:r>
        <w:rPr>
          <w:rFonts w:hint="default" w:ascii="Times New Roman" w:hAnsi="Times New Roman" w:eastAsia="方正仿宋_GBK" w:cs="Times New Roman"/>
          <w:snapToGrid w:val="0"/>
          <w:color w:val="000000"/>
          <w:kern w:val="0"/>
          <w:sz w:val="32"/>
          <w:szCs w:val="32"/>
          <w:vertAlign w:val="subscript"/>
          <w:lang w:val="en-US" w:eastAsia="zh-CN" w:bidi="ar-SA"/>
        </w:rPr>
        <w:t>2.5</w:t>
      </w:r>
      <w:r>
        <w:rPr>
          <w:rFonts w:hint="default" w:ascii="Times New Roman" w:hAnsi="Times New Roman" w:eastAsia="方正仿宋_GBK" w:cs="Times New Roman"/>
          <w:snapToGrid w:val="0"/>
          <w:color w:val="000000"/>
          <w:kern w:val="0"/>
          <w:sz w:val="32"/>
          <w:szCs w:val="32"/>
          <w:lang w:val="en-US" w:eastAsia="zh-CN" w:bidi="ar-SA"/>
        </w:rPr>
        <w:t>和O</w:t>
      </w:r>
      <w:r>
        <w:rPr>
          <w:rFonts w:hint="default" w:ascii="Times New Roman" w:hAnsi="Times New Roman" w:eastAsia="方正仿宋_GBK" w:cs="Times New Roman"/>
          <w:snapToGrid w:val="0"/>
          <w:color w:val="000000"/>
          <w:kern w:val="0"/>
          <w:sz w:val="32"/>
          <w:szCs w:val="32"/>
          <w:vertAlign w:val="subscript"/>
          <w:lang w:val="en-US" w:eastAsia="zh-CN" w:bidi="ar-SA"/>
        </w:rPr>
        <w:t>3</w:t>
      </w:r>
      <w:r>
        <w:rPr>
          <w:rFonts w:hint="default" w:ascii="Times New Roman" w:hAnsi="Times New Roman" w:eastAsia="方正仿宋_GBK" w:cs="Times New Roman"/>
          <w:snapToGrid w:val="0"/>
          <w:color w:val="000000"/>
          <w:kern w:val="0"/>
          <w:sz w:val="32"/>
          <w:szCs w:val="32"/>
          <w:lang w:val="en-US" w:eastAsia="zh-CN" w:bidi="ar-SA"/>
        </w:rPr>
        <w:t>浓度“双控双减”，加强重点区域、重点时段、重点领域、重点行业治理，狠抓城区大气主要污染源源头管控，强化分区分时分类差异化精细化协同管控，强化与周边各区的联防联治，切实改善区域空气环境质量。</w:t>
      </w:r>
    </w:p>
    <w:p w14:paraId="27FE5201">
      <w:pPr>
        <w:keepNext w:val="0"/>
        <w:keepLines w:val="0"/>
        <w:pageBreakBefore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r>
        <w:rPr>
          <w:rFonts w:hint="default" w:ascii="Times New Roman" w:hAnsi="Times New Roman" w:eastAsia="方正仿宋_GBK" w:cs="Times New Roman"/>
          <w:b/>
          <w:bCs/>
          <w:snapToGrid w:val="0"/>
          <w:kern w:val="0"/>
          <w:sz w:val="32"/>
          <w:szCs w:val="32"/>
          <w:highlight w:val="none"/>
          <w:lang w:val="en-US" w:eastAsia="zh-CN" w:bidi="ar-SA"/>
        </w:rPr>
        <w:t>（二）深化城市面源污染治理</w:t>
      </w:r>
    </w:p>
    <w:p w14:paraId="06916F93">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严控工地扬尘污染</w:t>
      </w:r>
      <w:r>
        <w:rPr>
          <w:rFonts w:hint="default" w:ascii="Times New Roman" w:hAnsi="Times New Roman" w:eastAsia="方正仿宋_GBK" w:cs="Times New Roman"/>
          <w:snapToGrid w:val="0"/>
          <w:color w:val="000000"/>
          <w:kern w:val="0"/>
          <w:sz w:val="32"/>
          <w:szCs w:val="32"/>
          <w:lang w:val="en-US" w:eastAsia="zh-CN" w:bidi="ar-SA"/>
        </w:rPr>
        <w:t>。规范扬尘整治措施，提升工地管理标准。大力推进“智慧工地”建设，对辖区内工程实行在线监控全覆盖。开展扬尘管控专项行动，督促实施裸土覆盖、开启喷淋和雾炮等降尘措施。结合《南京市扬尘污染防治管理办法》《2022年秦淮区大气污染防治攻坚实施方案》和南京市建设工地扬尘污染防治十条达标措施相关要求，制定《秦淮区扬尘污染防治管理办法》，推广G27项目实践经验，提升“码上测”系统覆盖率，全面提高施工围挡、路面硬化、防尘覆盖、车辆冲洗、清扫保洁、湿法作业、烟气排放、非道路移动机械、在线监控、扬尘管理制度等方面管控水平。到2025年，全区规模以上房建、市政、交通、水务、园林建设工程全部建成“智慧工地”。</w:t>
      </w:r>
    </w:p>
    <w:p w14:paraId="51D5019B">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强化道路扬尘管控</w:t>
      </w:r>
      <w:r>
        <w:rPr>
          <w:rFonts w:hint="default" w:ascii="Times New Roman" w:hAnsi="Times New Roman" w:eastAsia="方正仿宋_GBK" w:cs="Times New Roman"/>
          <w:snapToGrid w:val="0"/>
          <w:color w:val="000000"/>
          <w:kern w:val="0"/>
          <w:sz w:val="32"/>
          <w:szCs w:val="32"/>
          <w:lang w:val="en-US" w:eastAsia="zh-CN" w:bidi="ar-SA"/>
        </w:rPr>
        <w:t>。落实渣土运输清洁化，采取设卡检查和机动巡查相结合的方式，对工程车、渣土车带泥上路和沿路抛洒等行为进行监管。对接市智慧渣土管理平台，实现信息互通共享。对南部新城、白下高新园区等重点区域开展渣土车夜间运输集中整治，杜绝夜间渣土违规运输。强化小区道路、广场保洁，清扫前必须洒水降尘。到2025年，主次干道机扫率达100%，核心区域水扫率达90%，强化道路机械化清扫，消除道路红线外保洁盲区，推动全区道路精细化立体保洁全覆盖。</w:t>
      </w:r>
    </w:p>
    <w:p w14:paraId="3492C80C">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加大餐饮油烟污染管控力度</w:t>
      </w:r>
      <w:r>
        <w:rPr>
          <w:rFonts w:hint="default" w:ascii="Times New Roman" w:hAnsi="Times New Roman" w:eastAsia="方正仿宋_GBK" w:cs="Times New Roman"/>
          <w:snapToGrid w:val="0"/>
          <w:color w:val="000000"/>
          <w:kern w:val="0"/>
          <w:sz w:val="32"/>
          <w:szCs w:val="32"/>
          <w:lang w:val="en-US" w:eastAsia="zh-CN" w:bidi="ar-SA"/>
        </w:rPr>
        <w:t>。加强餐饮业布局规划管理和事前指导，实行餐饮油烟治理告知承诺制，持续推进全区餐饮企业油烟在线监测，推动油烟净化设备清洗全面到位，严肃查处油烟超标排放行为，消除企事业单位食堂净化器老旧、故障及无净化器等情形。推广高效油烟净化设施和排口异味综合治理，化解油烟异味扰民问题。推动商业综合体进一步提高油烟治理水平，实现“五有一联”；加</w:t>
      </w:r>
      <w:r>
        <w:rPr>
          <w:rFonts w:hint="default" w:ascii="Times New Roman" w:hAnsi="Times New Roman" w:eastAsia="方正仿宋_GBK" w:cs="Times New Roman"/>
          <w:snapToGrid w:val="0"/>
          <w:color w:val="000000"/>
          <w:kern w:val="0"/>
          <w:sz w:val="32"/>
          <w:szCs w:val="32"/>
          <w:lang w:val="en-US" w:eastAsia="zh-CN" w:bidi="ar-SA"/>
        </w:rPr>
        <w:t>大</w:t>
      </w:r>
      <w:r>
        <w:rPr>
          <w:rFonts w:hint="default" w:ascii="Times New Roman" w:hAnsi="Times New Roman" w:eastAsia="方正仿宋_GBK" w:cs="Times New Roman"/>
          <w:snapToGrid w:val="0"/>
          <w:color w:val="000000"/>
          <w:kern w:val="0"/>
          <w:sz w:val="32"/>
          <w:szCs w:val="32"/>
          <w:lang w:val="en-US" w:eastAsia="zh-CN" w:bidi="ar-SA"/>
        </w:rPr>
        <w:t>小餐饮综合整治力度，督促烧烤餐饮落实二次净化，规范火锅餐饮烟气集中收集处理。对全区餐饮企业“码上洗”开展全覆盖检查，对净化器清洗水平不高、“码上洗”内容不规范等问题，及时发现并督促整改；加强对餐饮业主的宣传培训，提高“码上洗”电子台账规范性。</w:t>
      </w:r>
    </w:p>
    <w:p w14:paraId="22CB8165">
      <w:pPr>
        <w:keepNext w:val="0"/>
        <w:keepLines w:val="0"/>
        <w:pageBreakBefore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r>
        <w:rPr>
          <w:rFonts w:hint="default" w:ascii="Times New Roman" w:hAnsi="Times New Roman" w:eastAsia="方正仿宋_GBK" w:cs="Times New Roman"/>
          <w:b/>
          <w:bCs/>
          <w:snapToGrid w:val="0"/>
          <w:kern w:val="0"/>
          <w:sz w:val="32"/>
          <w:szCs w:val="32"/>
          <w:highlight w:val="none"/>
          <w:lang w:val="en-US" w:eastAsia="zh-CN" w:bidi="ar-SA"/>
        </w:rPr>
        <w:t>（三）持续开展VOCs治理精细化管理</w:t>
      </w:r>
    </w:p>
    <w:p w14:paraId="4FFC7F74">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强化涉气排放企业的废气污染防治，确保达标排放。以减少臭氧污染为重点，抓好挥发性有机物（VOCs）、氮氧化物（NOx）等主要大气污染物的管控，减少臭氧污染天</w:t>
      </w:r>
      <w:r>
        <w:rPr>
          <w:rFonts w:hint="default" w:ascii="Times New Roman" w:hAnsi="Times New Roman" w:eastAsia="方正仿宋_GBK" w:cs="Times New Roman"/>
          <w:snapToGrid w:val="0"/>
          <w:color w:val="000000"/>
          <w:kern w:val="0"/>
          <w:sz w:val="32"/>
          <w:szCs w:val="32"/>
          <w:lang w:val="en-US" w:eastAsia="zh-CN" w:bidi="ar-SA"/>
        </w:rPr>
        <w:t>数</w:t>
      </w:r>
      <w:r>
        <w:rPr>
          <w:rFonts w:hint="default" w:ascii="Times New Roman" w:hAnsi="Times New Roman" w:eastAsia="方正仿宋_GBK" w:cs="Times New Roman"/>
          <w:snapToGrid w:val="0"/>
          <w:color w:val="000000"/>
          <w:kern w:val="0"/>
          <w:sz w:val="32"/>
          <w:szCs w:val="32"/>
          <w:lang w:val="en-US" w:eastAsia="zh-CN" w:bidi="ar-SA"/>
        </w:rPr>
        <w:t>。对涉气的工业、汽修及包装印刷等企业实行清单式管理，实施VOCs污染防治分级管控。开展VOCs专项整治“回头看”专项检查，依法严处问题“回潮”企业。加强对小型汽修、印刷、包装、废品回收等“散乱污”企业的整治力度。推行精细化管理电子台账，确保基础信息、月度台账及时规范填报；丰富试点企业治理设施运行状态监测手段，并接入指挥中心，确保企业过程管理规范到位；结合园区专项行动排查问题，不断提升VOCs治理水平。</w:t>
      </w:r>
    </w:p>
    <w:p w14:paraId="5CF4703D">
      <w:pPr>
        <w:keepNext w:val="0"/>
        <w:keepLines w:val="0"/>
        <w:pageBreakBefore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r>
        <w:rPr>
          <w:rFonts w:hint="default" w:ascii="Times New Roman" w:hAnsi="Times New Roman" w:eastAsia="方正仿宋_GBK" w:cs="Times New Roman"/>
          <w:b/>
          <w:bCs/>
          <w:snapToGrid w:val="0"/>
          <w:kern w:val="0"/>
          <w:sz w:val="32"/>
          <w:szCs w:val="32"/>
          <w:highlight w:val="none"/>
          <w:lang w:val="en-US" w:eastAsia="zh-CN" w:bidi="ar-SA"/>
        </w:rPr>
        <w:t>（四）打好交通运输污染防治攻坚战</w:t>
      </w:r>
    </w:p>
    <w:p w14:paraId="26832DC5">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治理机动车污染</w:t>
      </w:r>
      <w:r>
        <w:rPr>
          <w:rFonts w:hint="default" w:ascii="Times New Roman" w:hAnsi="Times New Roman" w:eastAsia="方正仿宋_GBK" w:cs="Times New Roman"/>
          <w:snapToGrid w:val="0"/>
          <w:color w:val="000000"/>
          <w:kern w:val="0"/>
          <w:sz w:val="32"/>
          <w:szCs w:val="32"/>
          <w:lang w:val="en-US" w:eastAsia="zh-CN" w:bidi="ar-SA"/>
        </w:rPr>
        <w:t>。优化公共交通，实施国六排放标准，推广使用新能源车。加快淘汰采用稀薄燃烧技术或“油改气”的老旧燃气车辆。加强机动车排气污染监管，强化I/M制度闭环管理。鼓励具备深度治理条件的汽油车定期更换三元催化器、活性炭罐和油管。鼓励新增和更新的非道路移动机械优先选用新能源或清洁能源，鼓励叉车等小型工程机械电动化。</w:t>
      </w:r>
    </w:p>
    <w:p w14:paraId="303792D3">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做好移动源管控工作</w:t>
      </w:r>
      <w:r>
        <w:rPr>
          <w:rFonts w:hint="default" w:ascii="Times New Roman" w:hAnsi="Times New Roman" w:eastAsia="方正仿宋_GBK" w:cs="Times New Roman"/>
          <w:snapToGrid w:val="0"/>
          <w:color w:val="000000"/>
          <w:kern w:val="0"/>
          <w:sz w:val="32"/>
          <w:szCs w:val="32"/>
          <w:lang w:val="en-US" w:eastAsia="zh-CN" w:bidi="ar-SA"/>
        </w:rPr>
        <w:t>。对辖区内工地、废品回收站、物流公司、工业企业以及自身使用的非道路机械开展普查，全部纳入“码上测”系统，对国三以下、未张贴环保标识、排放不达标的非道路机械一律清退、不再使用；优化渣土车运输路线，远离重点防控区，尽量白天出土，压降夜间氮氧化物浓度，防止次日二氧化氮超标；加强瑞金路、大光路等重点拥堵路段的交通疏导，做好重点防控区周边中小学放学时段、晨光路铁路道口早晚高峰时段的秩序维护，劝导驾驶人员驻车熄火。</w:t>
      </w:r>
    </w:p>
    <w:p w14:paraId="6512AFFC">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开展油品专项整治</w:t>
      </w:r>
      <w:r>
        <w:rPr>
          <w:rFonts w:hint="default" w:ascii="Times New Roman" w:hAnsi="Times New Roman" w:eastAsia="方正仿宋_GBK" w:cs="Times New Roman"/>
          <w:snapToGrid w:val="0"/>
          <w:color w:val="000000"/>
          <w:kern w:val="0"/>
          <w:sz w:val="32"/>
          <w:szCs w:val="32"/>
          <w:lang w:val="en-US" w:eastAsia="zh-CN" w:bidi="ar-SA"/>
        </w:rPr>
        <w:t>。通过油气回收在线监测联网系统和现场检查，常态化开展加油站监管执法。全面开展“清油”专项行动，规范油品经营及使用，禁止生产、销售、购买不符合标准的机动车和非道路移动机械燃料，严厉查处油品质量不达标情形，坚决取缔非法经营成品油行为。保持高压常态化管理，清除、取缔无证无照经营的黑加油车。</w:t>
      </w:r>
    </w:p>
    <w:p w14:paraId="6886DDCD">
      <w:pPr>
        <w:keepNext w:val="0"/>
        <w:keepLines w:val="0"/>
        <w:pageBreakBefore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r>
        <w:rPr>
          <w:rFonts w:hint="default" w:ascii="Times New Roman" w:hAnsi="Times New Roman" w:eastAsia="方正仿宋_GBK" w:cs="Times New Roman"/>
          <w:b/>
          <w:bCs/>
          <w:snapToGrid w:val="0"/>
          <w:kern w:val="0"/>
          <w:sz w:val="32"/>
          <w:szCs w:val="32"/>
          <w:highlight w:val="none"/>
          <w:lang w:val="en-US" w:eastAsia="zh-CN" w:bidi="ar-SA"/>
        </w:rPr>
        <w:t>（五）提升污染天气应对能力</w:t>
      </w:r>
    </w:p>
    <w:p w14:paraId="6F13EE0B">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加强重污染天气应对</w:t>
      </w:r>
      <w:r>
        <w:rPr>
          <w:rFonts w:hint="default" w:ascii="Times New Roman" w:hAnsi="Times New Roman" w:eastAsia="方正仿宋_GBK" w:cs="Times New Roman"/>
          <w:snapToGrid w:val="0"/>
          <w:color w:val="000000"/>
          <w:kern w:val="0"/>
          <w:sz w:val="32"/>
          <w:szCs w:val="32"/>
          <w:lang w:val="en-US" w:eastAsia="zh-CN" w:bidi="ar-SA"/>
        </w:rPr>
        <w:t>。密切关注气象条件变化，制定污染天气应急预案，依据省、市统一预警信息，按级别启动应急响应措施，对可能发生的重污染天气“早预警、早处置”。科学、精准制定应急减排措施，按照企业环保绩效水平开展绩效分级，实施差异化减排，鼓励“先进”、鞭策“后进”。</w:t>
      </w:r>
    </w:p>
    <w:p w14:paraId="2B3DE662">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加强重污染天气联防联治</w:t>
      </w:r>
      <w:r>
        <w:rPr>
          <w:rFonts w:hint="default" w:ascii="Times New Roman" w:hAnsi="Times New Roman" w:eastAsia="方正仿宋_GBK" w:cs="Times New Roman"/>
          <w:snapToGrid w:val="0"/>
          <w:color w:val="000000"/>
          <w:kern w:val="0"/>
          <w:sz w:val="32"/>
          <w:szCs w:val="32"/>
          <w:lang w:val="en-US" w:eastAsia="zh-CN" w:bidi="ar-SA"/>
        </w:rPr>
        <w:t>。健全市、区两级重污染天气应急保障机制，实施区域应急联动，及时启动应急响应措施。完善会商研判机制，优化应对工作举措，提升区域联防联控水平。建立大气污染防控联动指挥机制，构建跨部门环境信息平台。</w:t>
      </w:r>
    </w:p>
    <w:p w14:paraId="71883A2E">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sz w:val="32"/>
          <w:szCs w:val="32"/>
          <w:highlight w:val="none"/>
          <w:lang w:eastAsia="zh-CN"/>
        </w:rPr>
        <w:t>四</w:t>
      </w:r>
      <w:r>
        <w:rPr>
          <w:rFonts w:hint="default" w:ascii="Times New Roman" w:hAnsi="Times New Roman" w:eastAsia="方正黑体_GBK" w:cs="Times New Roman"/>
          <w:sz w:val="32"/>
          <w:szCs w:val="32"/>
          <w:highlight w:val="none"/>
        </w:rPr>
        <w:t>、加强源头管控，改善声环境质量</w:t>
      </w:r>
    </w:p>
    <w:p w14:paraId="50FA3FDF">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仿宋_GBK" w:cs="Times New Roman"/>
          <w:b/>
          <w:bCs/>
          <w:sz w:val="32"/>
          <w:szCs w:val="32"/>
          <w:highlight w:val="none"/>
          <w:lang w:val="en-US" w:eastAsia="zh-CN"/>
        </w:rPr>
        <w:t>（一）提高声环境综合管理水平</w:t>
      </w:r>
    </w:p>
    <w:p w14:paraId="05A02C2E">
      <w:pPr>
        <w:keepNext w:val="0"/>
        <w:keepLines w:val="0"/>
        <w:pageBreakBefore w:val="0"/>
        <w:widowControl/>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仿宋" w:cs="Times New Roman"/>
          <w:sz w:val="28"/>
        </w:rPr>
      </w:pPr>
      <w:r>
        <w:rPr>
          <w:rFonts w:hint="default" w:ascii="Times New Roman" w:hAnsi="Times New Roman" w:eastAsia="方正仿宋_GBK" w:cs="Times New Roman"/>
          <w:snapToGrid w:val="0"/>
          <w:color w:val="000000"/>
          <w:kern w:val="0"/>
          <w:sz w:val="32"/>
          <w:szCs w:val="32"/>
          <w:lang w:val="en-US" w:eastAsia="zh-CN" w:bidi="ar-SA"/>
        </w:rPr>
        <w:t>全面落实省级噪声污染防治行动计划有关部署要求，在制定国土空间规划及交通运输等相关规划时，充分考虑建设项目和区域开发改造产生噪声的环境影响。强化声环境功能区管理，开展秦淮区噪声敏感建筑物集中区域划定，切实加强噪声源头管控，优先选用国家《低噪声施工设备指导名录》推荐或防噪声技术指标优于指导名录的低噪声施工设备，推广使用隔声罩、隔声棚、移动声屏障，积极防治交通运输、建筑施工、社会生活、工业等噪声污染，严查噪声排放超标扰民行为，着力化解噪声信访突出问题。落实建筑物隔声性能要求，建立新建住宅隔声性能验收和公示制度。推动区域声环境质量不达标板块制定实施专项整治方案，切实改善区域声环境质量。</w:t>
      </w:r>
    </w:p>
    <w:p w14:paraId="5807E7E8">
      <w:pPr>
        <w:keepNext w:val="0"/>
        <w:keepLines w:val="0"/>
        <w:pageBreakBefore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r>
        <w:rPr>
          <w:rFonts w:hint="default" w:ascii="Times New Roman" w:hAnsi="Times New Roman" w:eastAsia="方正仿宋_GBK" w:cs="Times New Roman"/>
          <w:b/>
          <w:bCs/>
          <w:snapToGrid w:val="0"/>
          <w:kern w:val="0"/>
          <w:sz w:val="32"/>
          <w:szCs w:val="32"/>
          <w:highlight w:val="none"/>
          <w:lang w:val="en-US" w:eastAsia="zh-CN" w:bidi="ar-SA"/>
        </w:rPr>
        <w:t>（二）强化交通运输噪声污染治理</w:t>
      </w:r>
    </w:p>
    <w:p w14:paraId="5EA9C019">
      <w:pPr>
        <w:keepNext w:val="0"/>
        <w:keepLines w:val="0"/>
        <w:pageBreakBefore w:val="0"/>
        <w:widowControl/>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加强新建高铁、高速公路、城市快速路等交通干线的噪声和振动防控。积极推动机动车噪声治理，强化城市禁鸣管理，加强重型机动车进城限制，实施高速公路、高架桥、铁路（地铁）等两侧噪声敏感点的隔声设施建设，有效减轻交通噪声扰民问题。</w:t>
      </w:r>
    </w:p>
    <w:p w14:paraId="21C00983">
      <w:pPr>
        <w:keepNext w:val="0"/>
        <w:keepLines w:val="0"/>
        <w:pageBreakBefore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r>
        <w:rPr>
          <w:rFonts w:hint="default" w:ascii="Times New Roman" w:hAnsi="Times New Roman" w:eastAsia="方正仿宋_GBK" w:cs="Times New Roman"/>
          <w:b/>
          <w:bCs/>
          <w:snapToGrid w:val="0"/>
          <w:kern w:val="0"/>
          <w:sz w:val="32"/>
          <w:szCs w:val="32"/>
          <w:highlight w:val="none"/>
          <w:lang w:val="en-US" w:eastAsia="zh-CN" w:bidi="ar-SA"/>
        </w:rPr>
        <w:t>（三）严格控制城市工业与施工噪声</w:t>
      </w:r>
    </w:p>
    <w:p w14:paraId="114DEFA4">
      <w:pPr>
        <w:keepNext w:val="0"/>
        <w:keepLines w:val="0"/>
        <w:pageBreakBefore w:val="0"/>
        <w:widowControl/>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加强建设项目“三同时”管理，督促企业采用隔声降噪措施，确保厂界噪声达标，严厉查处企业噪声排放超标扰民行为。开展中高考“绿色护考”，做好执法保障工作。规范建筑企业施工行为，落实排污申报制度，加</w:t>
      </w:r>
      <w:r>
        <w:rPr>
          <w:rFonts w:hint="default" w:ascii="Times New Roman" w:hAnsi="Times New Roman" w:eastAsia="方正仿宋_GBK" w:cs="Times New Roman"/>
          <w:snapToGrid w:val="0"/>
          <w:color w:val="000000"/>
          <w:kern w:val="0"/>
          <w:sz w:val="32"/>
          <w:szCs w:val="32"/>
          <w:lang w:val="en-US" w:eastAsia="zh-CN" w:bidi="ar-SA"/>
        </w:rPr>
        <w:t>大</w:t>
      </w:r>
      <w:r>
        <w:rPr>
          <w:rFonts w:hint="default" w:ascii="Times New Roman" w:hAnsi="Times New Roman" w:eastAsia="方正仿宋_GBK" w:cs="Times New Roman"/>
          <w:snapToGrid w:val="0"/>
          <w:color w:val="000000"/>
          <w:kern w:val="0"/>
          <w:sz w:val="32"/>
          <w:szCs w:val="32"/>
          <w:lang w:val="en-US" w:eastAsia="zh-CN" w:bidi="ar-SA"/>
        </w:rPr>
        <w:t>日常现场监察和执法力度，加大对夜间违法施工行为的处罚力度。</w:t>
      </w:r>
    </w:p>
    <w:p w14:paraId="7D0936DB">
      <w:pPr>
        <w:keepNext w:val="0"/>
        <w:keepLines w:val="0"/>
        <w:pageBreakBefore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r>
        <w:rPr>
          <w:rFonts w:hint="default" w:ascii="Times New Roman" w:hAnsi="Times New Roman" w:eastAsia="方正仿宋_GBK" w:cs="Times New Roman"/>
          <w:b/>
          <w:bCs/>
          <w:snapToGrid w:val="0"/>
          <w:kern w:val="0"/>
          <w:sz w:val="32"/>
          <w:szCs w:val="32"/>
          <w:highlight w:val="none"/>
          <w:lang w:val="en-US" w:eastAsia="zh-CN" w:bidi="ar-SA"/>
        </w:rPr>
        <w:t>（四）落实社会生活噪声污染防治</w:t>
      </w:r>
    </w:p>
    <w:p w14:paraId="533E5869">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加大对在街道、广场、公园等公共场所组织或开展娱乐、促销、广场舞、体育锻炼等产生噪声污染活动的管理力度，明确公共场所活动区域、时段、音量等管控要求，根据需要设置噪声自动监测和显示设施。推动地方和行业组织发布广场舞活动倡议或文明公约，加强广场舞爱好者自律管理，自觉遵守《噪声法》有关规定。细化居民住宅区噪声管控，推动建设宁静小区，鼓励社区居民自我管理。</w:t>
      </w:r>
    </w:p>
    <w:p w14:paraId="02F2B98D">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sz w:val="32"/>
          <w:szCs w:val="32"/>
          <w:highlight w:val="none"/>
          <w:lang w:eastAsia="zh-CN"/>
        </w:rPr>
        <w:t>五</w:t>
      </w:r>
      <w:r>
        <w:rPr>
          <w:rFonts w:hint="default" w:ascii="Times New Roman" w:hAnsi="Times New Roman" w:eastAsia="方正黑体_GBK" w:cs="Times New Roman"/>
          <w:sz w:val="32"/>
          <w:szCs w:val="32"/>
          <w:highlight w:val="none"/>
        </w:rPr>
        <w:t>、坚持系统防控，着力保护土壤环境</w:t>
      </w:r>
    </w:p>
    <w:p w14:paraId="53BCD527">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仿宋_GBK" w:cs="Times New Roman"/>
          <w:b/>
          <w:bCs/>
          <w:sz w:val="32"/>
          <w:szCs w:val="32"/>
          <w:highlight w:val="none"/>
          <w:lang w:val="en-US" w:eastAsia="zh-CN"/>
        </w:rPr>
        <w:t>（一）加强土壤污染源头防控</w:t>
      </w:r>
    </w:p>
    <w:p w14:paraId="340CBC6B">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依法开展土壤污染状况调查</w:t>
      </w:r>
      <w:r>
        <w:rPr>
          <w:rFonts w:hint="default" w:ascii="Times New Roman" w:hAnsi="Times New Roman" w:eastAsia="方正仿宋_GBK" w:cs="Times New Roman"/>
          <w:snapToGrid w:val="0"/>
          <w:color w:val="000000"/>
          <w:kern w:val="0"/>
          <w:sz w:val="32"/>
          <w:szCs w:val="32"/>
          <w:lang w:val="en-US" w:eastAsia="zh-CN" w:bidi="ar-SA"/>
        </w:rPr>
        <w:t>。以用途变更为“一住两公”（住宅、公共管理与公共服务用地）的地块为重点，依法开展土壤污染状况调查和风险评估，未完成土壤污染状况调查前，不得办理建设工程规划许可证，不得开工建设。对列入年度建设用地供应计划（包括划拨）的“一住两公”地块，因地制宜适当提前开展土壤污染状况调查，化解建设用地土壤污染风险管控和修复与土地开发进度之间的矛盾。</w:t>
      </w:r>
    </w:p>
    <w:p w14:paraId="1A01E283">
      <w:pPr>
        <w:keepNext w:val="0"/>
        <w:keepLines w:val="0"/>
        <w:pageBreakBefore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r>
        <w:rPr>
          <w:rFonts w:hint="default" w:ascii="Times New Roman" w:hAnsi="Times New Roman" w:eastAsia="方正仿宋_GBK" w:cs="Times New Roman"/>
          <w:b/>
          <w:bCs/>
          <w:snapToGrid w:val="0"/>
          <w:kern w:val="0"/>
          <w:sz w:val="32"/>
          <w:szCs w:val="32"/>
          <w:highlight w:val="none"/>
          <w:lang w:val="en-US" w:eastAsia="zh-CN" w:bidi="ar-SA"/>
        </w:rPr>
        <w:t>（二）全面推进土壤安全利用</w:t>
      </w:r>
    </w:p>
    <w:p w14:paraId="7363C576">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严格建设用地环境管理</w:t>
      </w:r>
      <w:r>
        <w:rPr>
          <w:rFonts w:hint="default" w:ascii="Times New Roman" w:hAnsi="Times New Roman" w:eastAsia="方正仿宋_GBK" w:cs="Times New Roman"/>
          <w:snapToGrid w:val="0"/>
          <w:color w:val="000000"/>
          <w:kern w:val="0"/>
          <w:sz w:val="32"/>
          <w:szCs w:val="32"/>
          <w:lang w:val="en-US" w:eastAsia="zh-CN" w:bidi="ar-SA"/>
        </w:rPr>
        <w:t>。合理规划污染地块用途，强化污染地块再开发利用活动联动监管。列入建设用地土壤污染风险管控和修复名录的地块，不得作为住宅、公共管理与公共服务用地；未达到土壤污染风险评估报告确定的风险管控、修复目标的建设用地地块，禁止开工建设任何与风险管控、修复无关的项目。发现问题及时整改，存在违法违规行为的，依法严肃查处，严守“住得安心”底线。推进七桥A区国际路以东、国东路以西地块修复效果评估省级验收工作。从严管控高风险遗留地块，推进南京精益铸造有限公司地块遗留构筑物拆除；严格污染地块再开发利用准入，强化土地征收环节监管，南部新城等区域范围内疑似污染地块未经土壤环境调查评估的、污染地块未经治理修复的，不得进行土地流转、划拨，有效保障重点建设用地安全利用。建立多部门联动机制，加强各部门信息沟通、共享。2025年，重点建设用地安全利用得到有效保障。</w:t>
      </w:r>
    </w:p>
    <w:p w14:paraId="529D6F55">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加强土壤污染防治及重金属污染管控</w:t>
      </w:r>
      <w:r>
        <w:rPr>
          <w:rFonts w:hint="default" w:ascii="Times New Roman" w:hAnsi="Times New Roman" w:eastAsia="方正仿宋_GBK" w:cs="Times New Roman"/>
          <w:snapToGrid w:val="0"/>
          <w:color w:val="000000"/>
          <w:kern w:val="0"/>
          <w:sz w:val="32"/>
          <w:szCs w:val="32"/>
          <w:lang w:val="en-US" w:eastAsia="zh-CN" w:bidi="ar-SA"/>
        </w:rPr>
        <w:t>。加强单位拆除活动监管，对企事业单位拆除设施、设备或者建筑物、构筑物等拆除活动，严格土壤污染防治管理，防止拆除活动中的废水、固体废物以及遗留物料和残留污染物污染土壤。按照市级要求，完成宏光空降装备有限公司、南京晨光集团2家涉重金属重点企业年度重点重金属污染物削减任务；严格涉重金属项目准入，全区禁止新、改、扩建新增重金属污染物排放项目。</w:t>
      </w:r>
    </w:p>
    <w:p w14:paraId="3C522BDF">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仿宋_GBK" w:cs="Times New Roman"/>
          <w:b/>
          <w:bCs/>
          <w:snapToGrid w:val="0"/>
          <w:color w:val="000000"/>
          <w:kern w:val="0"/>
          <w:sz w:val="32"/>
          <w:szCs w:val="32"/>
          <w:lang w:val="en-US" w:eastAsia="zh-CN" w:bidi="ar-SA"/>
        </w:rPr>
        <w:t>强化土壤环境执法力度</w:t>
      </w:r>
      <w:r>
        <w:rPr>
          <w:rFonts w:hint="default" w:ascii="Times New Roman" w:hAnsi="Times New Roman" w:eastAsia="方正仿宋_GBK" w:cs="Times New Roman"/>
          <w:snapToGrid w:val="0"/>
          <w:color w:val="000000"/>
          <w:kern w:val="0"/>
          <w:sz w:val="32"/>
          <w:szCs w:val="32"/>
          <w:lang w:val="en-US" w:eastAsia="zh-CN" w:bidi="ar-SA"/>
        </w:rPr>
        <w:t>。推进全区土壤环境基础数据库填报和动态更新工作，实现部门间土壤环境信息沟通、共享。将土壤污染防治作为环境执法的重要内容，加大土壤环境日常巡查监管执法力度，依法查处土壤环境管理违法行为。</w:t>
      </w:r>
    </w:p>
    <w:p w14:paraId="4189136A">
      <w:pPr>
        <w:keepNext w:val="0"/>
        <w:keepLines w:val="0"/>
        <w:pageBreakBefore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r>
        <w:rPr>
          <w:rFonts w:hint="default" w:ascii="Times New Roman" w:hAnsi="Times New Roman" w:eastAsia="方正仿宋_GBK" w:cs="Times New Roman"/>
          <w:b/>
          <w:bCs/>
          <w:snapToGrid w:val="0"/>
          <w:kern w:val="0"/>
          <w:sz w:val="32"/>
          <w:szCs w:val="32"/>
          <w:highlight w:val="none"/>
          <w:lang w:val="en-US" w:eastAsia="zh-CN" w:bidi="ar-SA"/>
        </w:rPr>
        <w:t>（三）推进地下水环境污染防治</w:t>
      </w:r>
    </w:p>
    <w:p w14:paraId="3E28953A">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推进地下水与地表水协同防治</w:t>
      </w:r>
      <w:r>
        <w:rPr>
          <w:rFonts w:hint="default" w:ascii="Times New Roman" w:hAnsi="Times New Roman" w:eastAsia="方正仿宋_GBK" w:cs="Times New Roman"/>
          <w:snapToGrid w:val="0"/>
          <w:color w:val="000000"/>
          <w:kern w:val="0"/>
          <w:sz w:val="32"/>
          <w:szCs w:val="32"/>
          <w:lang w:val="en-US" w:eastAsia="zh-CN" w:bidi="ar-SA"/>
        </w:rPr>
        <w:t>。推动场地、区域、流域尺度地表水—地下水—土壤协同治理，减少受污染河段侧渗和垂直补给对地下水的污染。强化园区（集聚区）、危险废物暂存区等地下水污染风险管控。按照省、市部署要求开展地下水污染防治工作。</w:t>
      </w:r>
    </w:p>
    <w:p w14:paraId="665F397B">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加强地下水分区管控</w:t>
      </w:r>
      <w:r>
        <w:rPr>
          <w:rFonts w:hint="default" w:ascii="Times New Roman" w:hAnsi="Times New Roman" w:eastAsia="方正仿宋_GBK" w:cs="Times New Roman"/>
          <w:snapToGrid w:val="0"/>
          <w:color w:val="000000"/>
          <w:kern w:val="0"/>
          <w:sz w:val="32"/>
          <w:szCs w:val="32"/>
          <w:lang w:val="en-US" w:eastAsia="zh-CN" w:bidi="ar-SA"/>
        </w:rPr>
        <w:t>。执行《南京市地下水污染防治实施方案》《南京市地下水污染防治分区》要求，根据划定的地下水污染防治分区，实施地下水污染源分类监管，结合区域地下水监测点位监测情况，针对性实施保护、防控或治理措施，确保地下水质达标。秦淮区不涉及风险管控区和治理修复区，夫子庙—秦淮风光带风景名胜区、钟山风景名胜区（秦淮区部分）生态空间管控区域和秦淮河（南京市区）洪水调蓄区作为秦淮区地下水污染防治优先保护区，以生态保护为重点，不得开展有损主导生态功能的开发建设活动，不得随意占用和调整。</w:t>
      </w:r>
    </w:p>
    <w:p w14:paraId="6D15470C">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仿宋_GBK" w:cs="Times New Roman"/>
          <w:b/>
          <w:bCs/>
          <w:snapToGrid w:val="0"/>
          <w:color w:val="000000"/>
          <w:kern w:val="0"/>
          <w:sz w:val="32"/>
          <w:szCs w:val="32"/>
          <w:lang w:val="en-US" w:eastAsia="zh-CN" w:bidi="ar-SA"/>
        </w:rPr>
        <w:t>完善地下水环境监测和预警能力建设</w:t>
      </w:r>
      <w:r>
        <w:rPr>
          <w:rFonts w:hint="default" w:ascii="Times New Roman" w:hAnsi="Times New Roman" w:eastAsia="方正仿宋_GBK" w:cs="Times New Roman"/>
          <w:snapToGrid w:val="0"/>
          <w:color w:val="000000"/>
          <w:kern w:val="0"/>
          <w:sz w:val="32"/>
          <w:szCs w:val="32"/>
          <w:lang w:val="en-US" w:eastAsia="zh-CN" w:bidi="ar-SA"/>
        </w:rPr>
        <w:t>。围绕“控源头、建体系、提质量”目标，严控建筑工地集中区域等地下水污染源。督促重点企业建立土壤和地下水污染隐患排查治理制度，按要求建设地下水环境监测井，并定期开展自行监测。推进地下水环境状况调查评估，建立地下水监管预警体系，探索地下水污染监测预警模式。</w:t>
      </w:r>
    </w:p>
    <w:p w14:paraId="0B9EF315">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sz w:val="32"/>
          <w:szCs w:val="32"/>
          <w:highlight w:val="none"/>
          <w:lang w:eastAsia="zh-CN"/>
        </w:rPr>
        <w:t>六</w:t>
      </w:r>
      <w:r>
        <w:rPr>
          <w:rFonts w:hint="default" w:ascii="Times New Roman" w:hAnsi="Times New Roman" w:eastAsia="方正黑体_GBK" w:cs="Times New Roman"/>
          <w:sz w:val="32"/>
          <w:szCs w:val="32"/>
          <w:highlight w:val="none"/>
        </w:rPr>
        <w:t>、</w:t>
      </w:r>
      <w:bookmarkStart w:id="10" w:name="_Toc162197228"/>
      <w:r>
        <w:rPr>
          <w:rFonts w:hint="default" w:ascii="Times New Roman" w:hAnsi="Times New Roman" w:eastAsia="方正黑体_GBK" w:cs="Times New Roman"/>
          <w:sz w:val="32"/>
          <w:szCs w:val="32"/>
          <w:highlight w:val="none"/>
        </w:rPr>
        <w:t>防范环境风险，保障生态环境安全</w:t>
      </w:r>
      <w:bookmarkEnd w:id="10"/>
    </w:p>
    <w:p w14:paraId="78BDA103">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仿宋_GBK" w:cs="Times New Roman"/>
          <w:b/>
          <w:bCs/>
          <w:sz w:val="32"/>
          <w:szCs w:val="32"/>
          <w:highlight w:val="none"/>
          <w:lang w:val="en-US" w:eastAsia="zh-CN"/>
        </w:rPr>
        <w:t>（一）推进固体废物污染防治</w:t>
      </w:r>
    </w:p>
    <w:p w14:paraId="1F5987E5">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推进“无废城市”建设</w:t>
      </w:r>
      <w:r>
        <w:rPr>
          <w:rFonts w:hint="default" w:ascii="Times New Roman" w:hAnsi="Times New Roman" w:eastAsia="方正仿宋_GBK" w:cs="Times New Roman"/>
          <w:snapToGrid w:val="0"/>
          <w:color w:val="000000"/>
          <w:kern w:val="0"/>
          <w:sz w:val="32"/>
          <w:szCs w:val="32"/>
          <w:lang w:val="en-US" w:eastAsia="zh-CN" w:bidi="ar-SA"/>
        </w:rPr>
        <w:t>。落实《秦淮区“十四五”时期“无废城市”建设实施方案》，推动固体废物源头减量，推进清洁生产，围绕垃圾分类、工业固废综合利用、建筑垃圾资源化利用等领域，推行产品全生命周期绿色管理，促进生产过程废弃物和资源循环利用。强化废水分质分流处理，减少污泥产生。推广装配式建筑应用，提倡绿色构造、绿色施工、绿色装修，推动建筑垃圾源头减量。推进塑料污染全链条治理，推广应用流通环节替代产品，推动快递、外卖行业包装“减塑”。推动固体废物减量化、资源化利用和无害化处理。推进一般工业固废“一证式”管理，完善生活垃圾分类收集设施，健全收运体系，稳步推进“两网融合”建设。全面开展“无废细胞”建设，推动南京晨光集团创建“无废工厂”。</w:t>
      </w:r>
    </w:p>
    <w:p w14:paraId="4A962923">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强化危险废物全流程管控</w:t>
      </w:r>
      <w:r>
        <w:rPr>
          <w:rFonts w:hint="default" w:ascii="Times New Roman" w:hAnsi="Times New Roman" w:eastAsia="方正仿宋_GBK" w:cs="Times New Roman"/>
          <w:snapToGrid w:val="0"/>
          <w:color w:val="000000"/>
          <w:kern w:val="0"/>
          <w:sz w:val="32"/>
          <w:szCs w:val="32"/>
          <w:lang w:val="en-US" w:eastAsia="zh-CN" w:bidi="ar-SA"/>
        </w:rPr>
        <w:t>。严格涉危项目准入，禁止审批无法落实危废利用、处置途径的项目。在全面摸清危险废物产生、贮存、转移、处置等底数的基础上，梳理全区产生危险废物的重点行业、重点企业，建立分行业、分种类的危险废物产生、贮存、转移和利用、处置清单。开展危险废物规范化管理检查，严厉打击危险废物非法转移处置和倾倒行为。加强危险废物贮存监管，督促企业做好危废专用储存场所封闭管理，根据危废种类和危险特性分类分区储存；重点企业实行减库存管理，严控危废贮存量和贮存时间，辖区内危废贮存量保持在合理范围。依托江苏省危险废物全生命周期监控系统，加强对危废产生、申报、收集贮存、转移、处置全过程的动态管理，坚决打击和遏制危险废物非法转移倾倒等环境违法犯罪行为。推动危险废物自动化、信息化管理，持续开展化学品环境风险评估，严格淘汰或限制公约管控化学品的生产和使用。加强对辖区小修理厂的监管，建立废机油转移处置长效机制。</w:t>
      </w:r>
    </w:p>
    <w:p w14:paraId="40064084">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最大限度降低危险废物填埋量</w:t>
      </w:r>
      <w:r>
        <w:rPr>
          <w:rFonts w:hint="default" w:ascii="Times New Roman" w:hAnsi="Times New Roman" w:eastAsia="方正仿宋_GBK" w:cs="Times New Roman"/>
          <w:snapToGrid w:val="0"/>
          <w:color w:val="000000"/>
          <w:kern w:val="0"/>
          <w:sz w:val="32"/>
          <w:szCs w:val="32"/>
          <w:lang w:val="en-US" w:eastAsia="zh-CN" w:bidi="ar-SA"/>
        </w:rPr>
        <w:t>。严格落实南京市生态环境局《关于严格危险废物填埋管理的通知》要求，对于能够采用非填埋方式处置利用的危险废物，环评审批时要明确非填埋处置利用方向。切实加强竣工验收、变动影响分析等各环节监管，严格禁止辖区内企业通过技改环评、竣工环保验收、变动影响分析等方式，将危险废物处置利用方式随意更改为填埋方式处置。优化末端处置结构，鼓励工业企业、机动车修理单位改变废矿物油等危险废物的处置结构，优先选择资源化利用方式，减少处置量尤其是填埋处置量。强化危险废物填埋管理，重点加强辖区内废盐、污泥填埋重点监管单位的跟踪监测，对以填埋为处置方式的产废企业，核定减量目标，督促企业制定减量化方案。建立定期通报制度，督促指导相关企业落实“趋零填埋”要求，动态监测辖区内危险废物填埋处置情况。2024年起，宏光空降装备有限公司工业污泥全部焚烧处置，2025年6月底前完成宏光空降所有硝盐槽的消除工作，确保不再产生热处理废盐。区内企业不可新增填埋方式处置的危废，确保危险废物填埋处置量占比逐年下降。</w:t>
      </w:r>
    </w:p>
    <w:p w14:paraId="498589FE">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加强医疗废物规范化管理</w:t>
      </w:r>
      <w:r>
        <w:rPr>
          <w:rFonts w:hint="default" w:ascii="Times New Roman" w:hAnsi="Times New Roman" w:eastAsia="方正仿宋_GBK" w:cs="Times New Roman"/>
          <w:snapToGrid w:val="0"/>
          <w:color w:val="000000"/>
          <w:kern w:val="0"/>
          <w:sz w:val="32"/>
          <w:szCs w:val="32"/>
          <w:lang w:val="en-US" w:eastAsia="zh-CN" w:bidi="ar-SA"/>
        </w:rPr>
        <w:t>。核实医疗机构废物的产生、收集、贮存、包装、标识、转移、去向等情况，严格落实医疗废物管理的规章制度、工作流程、分类管理、专用包装、集中贮存等要求。提高规范化管理水平，重点加强对医疗废物分类收集、暂存、运送与处置的监督管理，防范环境风险隐患。依托信息化平台进行医疗机构和处置公司的医疗废物登记交接，实现医疗废物扫码入库、溯源信息一“码”获知，并运送至暂存点统一管理、回收，提高医废回收效率。设置符合要求的医疗废物暂存地，规范医疗废物暂存点和医疗废物处置管理。不得露天存放医疗废物，张贴明显的警示标识，设有防渗漏、防蚊虫、防鼠等安全措施，并按照规定进行消毒清洁。推进医疗机构创建“无废医院”。</w:t>
      </w:r>
    </w:p>
    <w:p w14:paraId="08B34284">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全面提升垃圾分类水平</w:t>
      </w:r>
      <w:r>
        <w:rPr>
          <w:rFonts w:hint="default" w:ascii="Times New Roman" w:hAnsi="Times New Roman" w:eastAsia="方正仿宋_GBK" w:cs="Times New Roman"/>
          <w:snapToGrid w:val="0"/>
          <w:color w:val="000000"/>
          <w:kern w:val="0"/>
          <w:sz w:val="32"/>
          <w:szCs w:val="32"/>
          <w:lang w:val="en-US" w:eastAsia="zh-CN" w:bidi="ar-SA"/>
        </w:rPr>
        <w:t>。推动垃圾分类工作提质增效，加强生活垃圾源头减量。完善收运体系建设，在居民小区固定投放点、收运时间，各类垃圾清运车按规定时间精准作业，严格执行分类收运标准，严禁“混装混运”，实现全区垃圾精准收运全覆盖。机关、企事业单位、学校、医院等11个重点行业主管部门加强对各行业单位垃圾分类工作的指导和监督，推动垃圾分类常态化。完善垃圾分类设施体系，提升厨余垃圾转运站和可回收物分拣中心信息化监管水平。至2025年，全区中转站污水处理设施、除臭设施配备率100%。</w:t>
      </w:r>
    </w:p>
    <w:p w14:paraId="7CB4D9FF">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强化固危废环境监管</w:t>
      </w:r>
      <w:r>
        <w:rPr>
          <w:rFonts w:hint="default" w:ascii="Times New Roman" w:hAnsi="Times New Roman" w:eastAsia="方正仿宋_GBK" w:cs="Times New Roman"/>
          <w:snapToGrid w:val="0"/>
          <w:color w:val="000000"/>
          <w:kern w:val="0"/>
          <w:sz w:val="32"/>
          <w:szCs w:val="32"/>
          <w:lang w:val="en-US" w:eastAsia="zh-CN" w:bidi="ar-SA"/>
        </w:rPr>
        <w:t>。依托南京市智慧环保云平台建设，系统整合危险废物、一般工业固废、生活垃圾、建筑垃圾、医疗废物等监管数据。积极参与“宁固废”系统建设，全面推行危废二维码电子标签。推进“清废”专项执法行动，整治固体废物非法堆存，严格监管固体废物跨区域转移行为，对工业固体废物违法行为实行“零容忍”。建立多部门信息共享和联动执法机制，及时共享危险废物转移联单、危险货物（危险废物）电子运单、危险废物违法转移情报等相关信息，定期通报危险废物转移种类、数量及流向情况。</w:t>
      </w:r>
    </w:p>
    <w:p w14:paraId="13854CF6">
      <w:pPr>
        <w:keepNext w:val="0"/>
        <w:keepLines w:val="0"/>
        <w:pageBreakBefore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r>
        <w:rPr>
          <w:rFonts w:hint="default" w:ascii="Times New Roman" w:hAnsi="Times New Roman" w:eastAsia="方正仿宋_GBK" w:cs="Times New Roman"/>
          <w:b/>
          <w:bCs/>
          <w:snapToGrid w:val="0"/>
          <w:kern w:val="0"/>
          <w:sz w:val="32"/>
          <w:szCs w:val="32"/>
          <w:highlight w:val="none"/>
          <w:lang w:val="en-US" w:eastAsia="zh-CN" w:bidi="ar-SA"/>
        </w:rPr>
        <w:t>（二）加强辐射环境安全管理</w:t>
      </w:r>
    </w:p>
    <w:p w14:paraId="1E16D8B5">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highlight w:val="none"/>
          <w:lang w:val="en-US" w:eastAsia="zh-CN" w:bidi="ar-SA"/>
        </w:rPr>
        <w:t>完善核与辐射安全管理体系</w:t>
      </w:r>
      <w:r>
        <w:rPr>
          <w:rFonts w:hint="default" w:ascii="Times New Roman" w:hAnsi="Times New Roman" w:eastAsia="方正仿宋_GBK" w:cs="Times New Roman"/>
          <w:snapToGrid w:val="0"/>
          <w:color w:val="000000"/>
          <w:kern w:val="0"/>
          <w:sz w:val="32"/>
          <w:szCs w:val="32"/>
          <w:highlight w:val="none"/>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严格按照国家、省、市辐射建设项目审批相关规定，进一步规范辖区内辐射建设项目审批备案，做好辐射安全许可证的延续、换发。加强放射性物品运输管理，做好核与辐射企业监督管理，督促涉辐企业规范设置辐射场所警示标志和防护设施。加强辐射环境监测，健全核与辐射事故应急体系，落实核与辐射应急预案，定期开展辐射事故应急演练。持续推进辐射环境风险隐患专项执法检查，开展辐射隐患整治。强化辐射源清单管理，按照《南京市工业、科研放射性同位素辐射安全管理标准化建设指南（试行）》进行辐射安全标准化评估。</w:t>
      </w:r>
    </w:p>
    <w:p w14:paraId="6BAB32D7">
      <w:pPr>
        <w:keepNext w:val="0"/>
        <w:keepLines w:val="0"/>
        <w:pageBreakBefore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r>
        <w:rPr>
          <w:rFonts w:hint="default" w:ascii="Times New Roman" w:hAnsi="Times New Roman" w:eastAsia="方正仿宋_GBK" w:cs="Times New Roman"/>
          <w:b/>
          <w:bCs/>
          <w:snapToGrid w:val="0"/>
          <w:kern w:val="0"/>
          <w:sz w:val="32"/>
          <w:szCs w:val="32"/>
          <w:highlight w:val="none"/>
          <w:lang w:val="en-US" w:eastAsia="zh-CN" w:bidi="ar-SA"/>
        </w:rPr>
        <w:t>（三）加强水环境风险防控</w:t>
      </w:r>
    </w:p>
    <w:p w14:paraId="7D7D59DC">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全面开展水环境风险防控</w:t>
      </w:r>
      <w:r>
        <w:rPr>
          <w:rFonts w:hint="default" w:ascii="Times New Roman" w:hAnsi="Times New Roman" w:eastAsia="方正仿宋_GBK" w:cs="Times New Roman"/>
          <w:snapToGrid w:val="0"/>
          <w:color w:val="000000"/>
          <w:kern w:val="0"/>
          <w:sz w:val="32"/>
          <w:szCs w:val="32"/>
          <w:lang w:val="en-US" w:eastAsia="zh-CN" w:bidi="ar-SA"/>
        </w:rPr>
        <w:t>。定期开展外秦淮河、月牙湖、清水塘等重要水体底泥污染监测，对有毒有害或持久性污染物累积性环境风险进行评估，对治理难度、治理风险分级研判，划定高风险区域，研究相应风险防控措施。对治理风险较小、确需治理的河段底泥，进行风险评估后，明确疏挖范围、疏挖深度、尾水处理方法和底泥安全处理处置方案，开展工程示范，实现污染底泥无害化、减量化，逐步消除底泥累积性风险隐患。加强异常气候条件下水环境风险防范，加大异常气候预警通报力度；台风、汛期等异常气候期间，实行国考断面水质日报制度，及时掌握水质变化情况。</w:t>
      </w:r>
    </w:p>
    <w:p w14:paraId="26B5B0E7">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仿宋_GBK" w:cs="Times New Roman"/>
          <w:b/>
          <w:bCs/>
          <w:snapToGrid w:val="0"/>
          <w:color w:val="000000"/>
          <w:kern w:val="0"/>
          <w:sz w:val="32"/>
          <w:szCs w:val="32"/>
          <w:lang w:val="en-US" w:eastAsia="zh-CN" w:bidi="ar-SA"/>
        </w:rPr>
        <w:t>提升水生态环境监管能力</w:t>
      </w:r>
      <w:r>
        <w:rPr>
          <w:rFonts w:hint="default" w:ascii="Times New Roman" w:hAnsi="Times New Roman" w:eastAsia="方正仿宋_GBK" w:cs="Times New Roman"/>
          <w:snapToGrid w:val="0"/>
          <w:color w:val="000000"/>
          <w:kern w:val="0"/>
          <w:sz w:val="32"/>
          <w:szCs w:val="32"/>
          <w:lang w:val="en-US" w:eastAsia="zh-CN" w:bidi="ar-SA"/>
        </w:rPr>
        <w:t>。提升监测监控能力，统筹建立水资源、水生态和水环境监测评价体系，在重点河湖断面定期开展水生生物指标、物理生境指标和亲民指标等监测。加强持久性有机物等有毒有害水污染物质、水生生物的监测预警能力建设。利用秦淮区污染防治智能化指挥平台，构建水生态精细化综合管理系统，综合运用水环境质量监测、污染源监测、管控单元划分等成果，打造集目标跟踪、风险预警、协同监管于一体的水生态环境智慧化管理体系。加强水生态环境数据融合应用，衔接南京市智慧环保云平台水环境管理模块，为水环境、水生态管理科学决策提供有力保障。</w:t>
      </w:r>
    </w:p>
    <w:p w14:paraId="449E1AF1">
      <w:pPr>
        <w:keepNext w:val="0"/>
        <w:keepLines w:val="0"/>
        <w:pageBreakBefore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r>
        <w:rPr>
          <w:rFonts w:hint="default" w:ascii="Times New Roman" w:hAnsi="Times New Roman" w:eastAsia="方正仿宋_GBK" w:cs="Times New Roman"/>
          <w:b/>
          <w:bCs/>
          <w:snapToGrid w:val="0"/>
          <w:kern w:val="0"/>
          <w:sz w:val="32"/>
          <w:szCs w:val="32"/>
          <w:highlight w:val="none"/>
          <w:lang w:val="en-US" w:eastAsia="zh-CN" w:bidi="ar-SA"/>
        </w:rPr>
        <w:t>（四）加强环境风险应急防控</w:t>
      </w:r>
    </w:p>
    <w:p w14:paraId="694461B1">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加强环境风险应急预案管理</w:t>
      </w:r>
      <w:r>
        <w:rPr>
          <w:rFonts w:hint="default" w:ascii="Times New Roman" w:hAnsi="Times New Roman" w:eastAsia="方正仿宋_GBK" w:cs="Times New Roman"/>
          <w:snapToGrid w:val="0"/>
          <w:color w:val="000000"/>
          <w:kern w:val="0"/>
          <w:sz w:val="32"/>
          <w:szCs w:val="32"/>
          <w:lang w:val="en-US" w:eastAsia="zh-CN" w:bidi="ar-SA"/>
        </w:rPr>
        <w:t>。强化全过程环境应急响应体系建设，确保“五个第一时间”落实到位。健全政府、园区、企业突发环境事件应急预案体系，加强突发环境事件预案管理，督促预案满三年的企事业单位及时更新备案、重大变更及时修编。到2025年，政府、部门、企业、园区、重点区域突发生态环境事件应急预案实现应编尽编、应修尽修。</w:t>
      </w:r>
    </w:p>
    <w:p w14:paraId="0E699CEF">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加强水生态应急监测</w:t>
      </w:r>
      <w:r>
        <w:rPr>
          <w:rFonts w:hint="default" w:ascii="Times New Roman" w:hAnsi="Times New Roman" w:eastAsia="方正仿宋_GBK" w:cs="Times New Roman"/>
          <w:snapToGrid w:val="0"/>
          <w:color w:val="000000"/>
          <w:kern w:val="0"/>
          <w:sz w:val="32"/>
          <w:szCs w:val="32"/>
          <w:lang w:val="en-US" w:eastAsia="zh-CN" w:bidi="ar-SA"/>
        </w:rPr>
        <w:t>。落实《南京市突发水污染事件应急防范体系》《南京市秦淮生态环境局突发环境事件应急预案》《南京市秦淮区突发固废污染环境事件应急预案（2023版）》《南京市秦淮区辐射事故应急预案（2023版）》，根据应急预案建立切合实际的水生态环境应急监测管理体系和工作机制，明确各单位应急监测工作职责和响应程序，确保快速有效响应突发环境事件应急监测。持续开展秦淮河等主要水体的预警监测，提高水质监测预警水平。</w:t>
      </w:r>
    </w:p>
    <w:p w14:paraId="08C5856F">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健全环境风险应急体系</w:t>
      </w:r>
      <w:r>
        <w:rPr>
          <w:rFonts w:hint="default" w:ascii="Times New Roman" w:hAnsi="Times New Roman" w:eastAsia="方正仿宋_GBK" w:cs="Times New Roman"/>
          <w:snapToGrid w:val="0"/>
          <w:color w:val="000000"/>
          <w:kern w:val="0"/>
          <w:sz w:val="32"/>
          <w:szCs w:val="32"/>
          <w:lang w:val="en-US" w:eastAsia="zh-CN" w:bidi="ar-SA"/>
        </w:rPr>
        <w:t>。开展环境安全隐患排查整治，落实环境风险防范措施，整合相关监测和应急处置资源，完善信息化技术体系和物资储备体系。建立健全</w:t>
      </w:r>
      <w:bookmarkStart w:id="11" w:name="_Hlk163812877"/>
      <w:r>
        <w:rPr>
          <w:rFonts w:hint="default" w:ascii="Times New Roman" w:hAnsi="Times New Roman" w:eastAsia="方正仿宋_GBK" w:cs="Times New Roman"/>
          <w:snapToGrid w:val="0"/>
          <w:color w:val="000000"/>
          <w:kern w:val="0"/>
          <w:sz w:val="32"/>
          <w:szCs w:val="32"/>
          <w:lang w:val="en-US" w:eastAsia="zh-CN" w:bidi="ar-SA"/>
        </w:rPr>
        <w:t>三级防控体系、</w:t>
      </w:r>
      <w:bookmarkEnd w:id="11"/>
      <w:r>
        <w:rPr>
          <w:rFonts w:hint="default" w:ascii="Times New Roman" w:hAnsi="Times New Roman" w:eastAsia="方正仿宋_GBK" w:cs="Times New Roman"/>
          <w:snapToGrid w:val="0"/>
          <w:color w:val="000000"/>
          <w:kern w:val="0"/>
          <w:sz w:val="32"/>
          <w:szCs w:val="32"/>
          <w:lang w:val="en-US" w:eastAsia="zh-CN" w:bidi="ar-SA"/>
        </w:rPr>
        <w:t>重污染天气监测预警预报和应急响应体系。健全基层环境应急机构，配备应急管理人员，加强专业化应急救援队伍建设。健全完善应急救援工作及跨部门、跨区域环境应急协调联动和信息共享机制，组织参与多层级、多类别突发环境事件应急演练，全面提升应对各类突发环境事件的应急救援能力。建立跨部门、跨区域突发环境事件应急响应机制和执法协作机制，形成联防联控、共治联管合力。</w:t>
      </w:r>
    </w:p>
    <w:p w14:paraId="24B34801">
      <w:pPr>
        <w:keepNext w:val="0"/>
        <w:keepLines w:val="0"/>
        <w:pageBreakBefore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r>
        <w:rPr>
          <w:rFonts w:hint="default" w:ascii="Times New Roman" w:hAnsi="Times New Roman" w:eastAsia="方正仿宋_GBK" w:cs="Times New Roman"/>
          <w:b/>
          <w:bCs/>
          <w:snapToGrid w:val="0"/>
          <w:kern w:val="0"/>
          <w:sz w:val="32"/>
          <w:szCs w:val="32"/>
          <w:highlight w:val="none"/>
          <w:lang w:val="en-US" w:eastAsia="zh-CN" w:bidi="ar-SA"/>
        </w:rPr>
        <w:t>（五）加强外来物种入侵防控</w:t>
      </w:r>
    </w:p>
    <w:p w14:paraId="03DADA0D">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夯实外来物种入侵防控基础</w:t>
      </w:r>
      <w:r>
        <w:rPr>
          <w:rFonts w:hint="default" w:ascii="Times New Roman" w:hAnsi="Times New Roman" w:eastAsia="方正仿宋_GBK" w:cs="Times New Roman"/>
          <w:snapToGrid w:val="0"/>
          <w:color w:val="000000"/>
          <w:kern w:val="0"/>
          <w:sz w:val="32"/>
          <w:szCs w:val="32"/>
          <w:lang w:val="en-US" w:eastAsia="zh-CN" w:bidi="ar-SA"/>
        </w:rPr>
        <w:t>。围绕外来入侵物种，建立政府主导、属地责任、部门协同、联防联控的工作机制，采取专项整治行动和常态长效防除相结合的方式进行治理，形成统筹协调、科学防除、标本兼治、长效管控的工作格局，有效遏制外来入侵物种扩散蔓延，确保生物安全和生态安全。</w:t>
      </w:r>
    </w:p>
    <w:p w14:paraId="2EAAEF04">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加强生物安全管理与防控</w:t>
      </w:r>
      <w:r>
        <w:rPr>
          <w:rFonts w:hint="default" w:ascii="Times New Roman" w:hAnsi="Times New Roman" w:eastAsia="方正仿宋_GBK" w:cs="Times New Roman"/>
          <w:snapToGrid w:val="0"/>
          <w:color w:val="000000"/>
          <w:kern w:val="0"/>
          <w:sz w:val="32"/>
          <w:szCs w:val="32"/>
          <w:lang w:val="en-US" w:eastAsia="zh-CN" w:bidi="ar-SA"/>
        </w:rPr>
        <w:t>。开展自然生态系统外来入侵物种调查、监测和预警，及时更新外来入侵物种名录。探索建立生物安全管理与应急处置机制，强化生物安全风险管控，定期开展生物安全风险评估，强化生物安全资源监管。建立外来入侵物种监测预警及风险管理机制，积极防治外来物种入侵。建立外来入侵物种风险评估机制，完善动植物隔离检疫设施。</w:t>
      </w:r>
    </w:p>
    <w:p w14:paraId="1BD266A8">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sz w:val="32"/>
          <w:szCs w:val="32"/>
          <w:highlight w:val="none"/>
          <w:lang w:eastAsia="zh-CN"/>
        </w:rPr>
        <w:t>七</w:t>
      </w:r>
      <w:r>
        <w:rPr>
          <w:rFonts w:hint="default" w:ascii="Times New Roman" w:hAnsi="Times New Roman" w:eastAsia="方正黑体_GBK" w:cs="Times New Roman"/>
          <w:sz w:val="32"/>
          <w:szCs w:val="32"/>
          <w:highlight w:val="none"/>
        </w:rPr>
        <w:t>、优化生态空间格局，推进生态修复</w:t>
      </w:r>
    </w:p>
    <w:p w14:paraId="2FD59663">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仿宋_GBK" w:cs="Times New Roman"/>
          <w:b/>
          <w:bCs/>
          <w:sz w:val="32"/>
          <w:szCs w:val="32"/>
          <w:highlight w:val="none"/>
          <w:lang w:val="en-US" w:eastAsia="zh-CN"/>
        </w:rPr>
        <w:t>（一）全力守好生态空间底线</w:t>
      </w:r>
    </w:p>
    <w:p w14:paraId="171C0F62">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建立自然保护地保护体系</w:t>
      </w:r>
      <w:r>
        <w:rPr>
          <w:rFonts w:hint="default" w:ascii="Times New Roman" w:hAnsi="Times New Roman" w:eastAsia="方正仿宋_GBK" w:cs="Times New Roman"/>
          <w:snapToGrid w:val="0"/>
          <w:color w:val="000000"/>
          <w:kern w:val="0"/>
          <w:sz w:val="32"/>
          <w:szCs w:val="32"/>
          <w:lang w:val="en-US" w:eastAsia="zh-CN" w:bidi="ar-SA"/>
        </w:rPr>
        <w:t>。稳步推进以夫子庙—秦淮风光带风景名胜区和钟山风景名胜区（秦淮区部分）为主体的自然保护体系建设。落实生物多样性保护战略与行动计划，在自然保护地重要地段、重要部位设立界桩和标识牌，推动全区自然保护地规范化建设和精细化管理。</w:t>
      </w:r>
    </w:p>
    <w:p w14:paraId="19EEDFB1">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完善自然保护地监管体系</w:t>
      </w:r>
      <w:r>
        <w:rPr>
          <w:rFonts w:hint="default" w:ascii="Times New Roman" w:hAnsi="Times New Roman" w:eastAsia="方正仿宋_GBK" w:cs="Times New Roman"/>
          <w:snapToGrid w:val="0"/>
          <w:color w:val="000000"/>
          <w:kern w:val="0"/>
          <w:sz w:val="32"/>
          <w:szCs w:val="32"/>
          <w:lang w:val="en-US" w:eastAsia="zh-CN" w:bidi="ar-SA"/>
        </w:rPr>
        <w:t>。配合上级管理部门，落实“绿盾”专项行动，建立违法违规问题管理台账和整改销号制度，全面排查问题线索，严肃处理违法违规问题，开展生态破坏问题核查，及时进行整治修复。建立自然保护地科学评估体系，科学评估自然保护地优化和保护成效，加强自然保护地内生态现状监测和人类活动监控。</w:t>
      </w:r>
    </w:p>
    <w:p w14:paraId="7BF7EE27">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开展生态产品价值核算</w:t>
      </w:r>
      <w:r>
        <w:rPr>
          <w:rFonts w:hint="default" w:ascii="Times New Roman" w:hAnsi="Times New Roman" w:eastAsia="方正仿宋_GBK" w:cs="Times New Roman"/>
          <w:snapToGrid w:val="0"/>
          <w:color w:val="000000"/>
          <w:kern w:val="0"/>
          <w:sz w:val="32"/>
          <w:szCs w:val="32"/>
          <w:lang w:val="en-US" w:eastAsia="zh-CN" w:bidi="ar-SA"/>
        </w:rPr>
        <w:t>。摸清区域内不同生态系统生态资源底数，建立生态产品目录清单，按照国家《生态产品总值核算规范（试行）》等相关标准，结合实际设定符合区域特点的核算方法和技术参数，核算各类生态产品实物量，运用科学合理的价值评估方法，核定生态产品价值总量。</w:t>
      </w:r>
    </w:p>
    <w:p w14:paraId="710B8DFF">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完善生态空间管控区域监测体系</w:t>
      </w:r>
      <w:r>
        <w:rPr>
          <w:rFonts w:hint="default" w:ascii="Times New Roman" w:hAnsi="Times New Roman" w:eastAsia="方正仿宋_GBK" w:cs="Times New Roman"/>
          <w:snapToGrid w:val="0"/>
          <w:color w:val="000000"/>
          <w:kern w:val="0"/>
          <w:sz w:val="32"/>
          <w:szCs w:val="32"/>
          <w:lang w:val="en-US" w:eastAsia="zh-CN" w:bidi="ar-SA"/>
        </w:rPr>
        <w:t>。逐步建立完善遥感监测和地面监测相结合的生态空间管控区域监测网络体系，探索构建生态空间管控区域数字化监管平台，定期对生态空间管控区域生态环境质量、生物多样性等指标进行监测评估，开展科学研究，优化保护措施。加强对生态空间管控区域面积、功能、性质和管理实施情况的监控，开展生态空间管控区域监测预警。建立常态化巡查核查制度，设置管护岗位，强化日常巡查、管护，严格查处破坏生态空间的违法行为。组织开展生态空间管控区域保护的宣传教育和科学知识普及工作。</w:t>
      </w:r>
    </w:p>
    <w:p w14:paraId="1703ED92">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促进用地集约高效利用</w:t>
      </w:r>
      <w:r>
        <w:rPr>
          <w:rFonts w:hint="default" w:ascii="Times New Roman" w:hAnsi="Times New Roman" w:eastAsia="方正仿宋_GBK" w:cs="Times New Roman"/>
          <w:snapToGrid w:val="0"/>
          <w:color w:val="000000"/>
          <w:kern w:val="0"/>
          <w:sz w:val="32"/>
          <w:szCs w:val="32"/>
          <w:lang w:val="en-US" w:eastAsia="zh-CN" w:bidi="ar-SA"/>
        </w:rPr>
        <w:t>。提升城市空间集聚高效利用水平，形成集约高效的土地利用模式。针对老城、新城、零散空间的不同特征，实施差异化的分类引导施策。对明城墙以内的秦淮老城以及城墙外已建成连片城市地区的老城空间，按照“小规模、渐进式”的方式更新改造，提高城市基础设施和公共服务设施水平，保护历史文化遗存，提高土地利用效益，完善城市功能，改善人居环境，激发区域发展活力。按照高标准规划、高水平建设理念，推动南部新城土地资源增量提效，打造宜居宜业的主城新中心。对绕城公路、宁芜铁路沿线等零散空间，以集中连片整治的方式挖潜存量用地，调整沿线地块功能，优化区域空间布局，提高土地利用效率。</w:t>
      </w:r>
    </w:p>
    <w:p w14:paraId="5B386F47">
      <w:pPr>
        <w:keepNext w:val="0"/>
        <w:keepLines w:val="0"/>
        <w:pageBreakBefore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r>
        <w:rPr>
          <w:rFonts w:hint="default" w:ascii="Times New Roman" w:hAnsi="Times New Roman" w:eastAsia="方正仿宋_GBK" w:cs="Times New Roman"/>
          <w:b/>
          <w:bCs/>
          <w:snapToGrid w:val="0"/>
          <w:kern w:val="0"/>
          <w:sz w:val="32"/>
          <w:szCs w:val="32"/>
          <w:highlight w:val="none"/>
          <w:lang w:val="en-US" w:eastAsia="zh-CN" w:bidi="ar-SA"/>
        </w:rPr>
        <w:t>（二）合理优化生态安全格局</w:t>
      </w:r>
    </w:p>
    <w:p w14:paraId="362ED3D0">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构建秦淮特色空间格局</w:t>
      </w:r>
      <w:r>
        <w:rPr>
          <w:rFonts w:hint="default" w:ascii="Times New Roman" w:hAnsi="Times New Roman" w:eastAsia="方正仿宋_GBK" w:cs="Times New Roman"/>
          <w:snapToGrid w:val="0"/>
          <w:color w:val="000000"/>
          <w:kern w:val="0"/>
          <w:sz w:val="32"/>
          <w:szCs w:val="32"/>
          <w:lang w:val="en-US" w:eastAsia="zh-CN" w:bidi="ar-SA"/>
        </w:rPr>
        <w:t>。白下高新园区重点发展以智能交通为引领的云计算、大数据创新高地，拓展“一区多园”空间布局。秦淮硅巷重点发展以芯片应用为引领、以航空航天技术研发为主导、以军民融合为特色的产业体系，总体形成“核心区—拓展区—协同区”空间格局。南部新城重点培育以商务总部经济、文化创意和智慧健康为特色的主导产业体系，沿机场跑道形成T字形商务集聚区。拓展秦淮河沿线创新发展空间，打造城河一体、水岸互动的沿秦淮河产城融合水岸示范带，串联南航、中山科技坊、晨光1865创意产业园、悦动新门西、国创园等创新空间，提升文化创意产业发展质效。</w:t>
      </w:r>
    </w:p>
    <w:p w14:paraId="00E34691">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优化全域空间布局</w:t>
      </w:r>
      <w:r>
        <w:rPr>
          <w:rFonts w:hint="default" w:ascii="Times New Roman" w:hAnsi="Times New Roman" w:eastAsia="方正仿宋_GBK" w:cs="Times New Roman"/>
          <w:snapToGrid w:val="0"/>
          <w:color w:val="000000"/>
          <w:kern w:val="0"/>
          <w:sz w:val="32"/>
          <w:szCs w:val="32"/>
          <w:lang w:val="en-US" w:eastAsia="zh-CN" w:bidi="ar-SA"/>
        </w:rPr>
        <w:t>。坚持高质量发展，严格控制总量，统筹安排增量，积极挖潜存量。结合城市更新，优化全区空间布局，根据更新对象特征差异确定更新方式，有序推进存量空间盘活。鼓励结合TOD开发等进行空间复合开发与集约高效利用，开展空间绩效评价；鼓励地下空间开发利用和互联互通，打造有机更新标杆区。</w:t>
      </w:r>
    </w:p>
    <w:p w14:paraId="4508255C">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highlight w:val="none"/>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优化地下空间布局</w:t>
      </w:r>
      <w:r>
        <w:rPr>
          <w:rFonts w:hint="default" w:ascii="Times New Roman" w:hAnsi="Times New Roman" w:eastAsia="方正仿宋_GBK" w:cs="Times New Roman"/>
          <w:snapToGrid w:val="0"/>
          <w:color w:val="000000"/>
          <w:kern w:val="0"/>
          <w:sz w:val="32"/>
          <w:szCs w:val="32"/>
          <w:lang w:val="en-US" w:eastAsia="zh-CN" w:bidi="ar-SA"/>
        </w:rPr>
        <w:t>。依托轨道交通网络，以各级公共中心和交通枢纽等公共设施用地为重点，加强地下空间开发利用，推动公共地下空间互联互通。鼓励地块地下空间与公共地下空间联通，加快推进新街口、夫子庙、南站—大校场机场中心等重点区域地下空间的互联互通。生态敏感地区有条件适度利用地下空间资源；历史文化地区注重地下文物的保护。老城挖潜存量资源，提高土地利用效率；南部新城结合地下轨道站点和各级商业中心，突出功能复合、立体开发、综合利用。轨道交通站点与周边区域综合一体化开发，建立高度综合的交通换乘枢纽，构建四通八达的立体交通连通网络，完善多元复合的立体功能。以地下轨道交通为骨架，以换乘站、大型综合体为节</w:t>
      </w:r>
      <w:r>
        <w:rPr>
          <w:rFonts w:hint="default" w:ascii="Times New Roman" w:hAnsi="Times New Roman" w:eastAsia="方正仿宋_GBK" w:cs="Times New Roman"/>
          <w:snapToGrid w:val="0"/>
          <w:color w:val="000000"/>
          <w:kern w:val="0"/>
          <w:sz w:val="32"/>
          <w:szCs w:val="32"/>
          <w:highlight w:val="none"/>
          <w:lang w:val="en-US" w:eastAsia="zh-CN" w:bidi="ar-SA"/>
        </w:rPr>
        <w:t>点，形成“两城、一片、多点”的网络化地下空间发展格局。</w:t>
      </w:r>
    </w:p>
    <w:p w14:paraId="4877EE5E">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highlight w:val="none"/>
          <w:lang w:val="en-US" w:eastAsia="zh-CN" w:bidi="ar-SA"/>
        </w:rPr>
        <w:t>构建全域绿地空间格局</w:t>
      </w:r>
      <w:r>
        <w:rPr>
          <w:rFonts w:hint="default" w:ascii="Times New Roman" w:hAnsi="Times New Roman" w:eastAsia="方正仿宋_GBK" w:cs="Times New Roman"/>
          <w:snapToGrid w:val="0"/>
          <w:color w:val="000000"/>
          <w:kern w:val="0"/>
          <w:sz w:val="32"/>
          <w:szCs w:val="32"/>
          <w:highlight w:val="none"/>
          <w:lang w:val="en-US" w:eastAsia="zh-CN" w:bidi="ar-SA"/>
        </w:rPr>
        <w:t>。结合水系和历史文化资源，挖潜利用微空间，织补绿色网络，</w:t>
      </w:r>
      <w:r>
        <w:rPr>
          <w:rFonts w:hint="default" w:ascii="Times New Roman" w:hAnsi="Times New Roman" w:eastAsia="方正仿宋_GBK" w:cs="Times New Roman"/>
          <w:snapToGrid w:val="0"/>
          <w:color w:val="000000"/>
          <w:kern w:val="0"/>
          <w:sz w:val="32"/>
          <w:szCs w:val="32"/>
          <w:lang w:val="en-US" w:eastAsia="zh-CN" w:bidi="ar-SA"/>
        </w:rPr>
        <w:t>构建多层次、复合型的全域绿地开敞空间。建立古树名木保护长效机制，加强城市公园体系建设，建设“点、线、面”相结合的绿地生态系统，推动机场公园、油库公园、云创公园等城市公园项目建设。结合城市更新，推进老城区社区公园和口袋公园建设，打造口袋公园绿地，增加节点彩化，提高公园绿地服务半径覆盖率。开展河湖文化带建设，完成玉带河、明御河、内秦淮河、友谊河等沿线景观绿化，形成绿色休闲的滨水景观空间。</w:t>
      </w:r>
    </w:p>
    <w:p w14:paraId="0CD242A0">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优化完善生态格局</w:t>
      </w:r>
      <w:r>
        <w:rPr>
          <w:rFonts w:hint="default" w:ascii="Times New Roman" w:hAnsi="Times New Roman" w:eastAsia="方正仿宋_GBK" w:cs="Times New Roman"/>
          <w:snapToGrid w:val="0"/>
          <w:color w:val="000000"/>
          <w:kern w:val="0"/>
          <w:sz w:val="32"/>
          <w:szCs w:val="32"/>
          <w:lang w:val="en-US" w:eastAsia="zh-CN" w:bidi="ar-SA"/>
        </w:rPr>
        <w:t xml:space="preserve">。构建以水为脉、内部蓝绿系统相互联通的生态廊道体系，形成“一带多廊、两片多点”的生态安全格局。“一带”为南京绕城公路沿线绿环，可兼容游憩、景观及基础设施等功能；“多廊”为秦淮河市级水系廊道以及依托护城河、内秦淮河、外秦淮河、运粮河、响水河等区内主要水系构建的次级水绿生态廊道；“两片”为夫子庙—秦淮风光带风景名胜区和钟山风景名胜区（秦淮区部分），纳入自然保护地体系，为秦淮区主要生态功能片区；“多点”为白鹭洲公园、七桥瓮湿地公园两个市级公园，以及月牙湖公园、郑和公园、午朝门公园等多个区级城市公园，结合生态景观环境打造和服务设施建设，形成亲近自然的绿色游憩空间。 </w:t>
      </w:r>
    </w:p>
    <w:p w14:paraId="464DB421">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仿宋_GBK" w:cs="Times New Roman"/>
          <w:b/>
          <w:bCs/>
          <w:snapToGrid w:val="0"/>
          <w:color w:val="000000"/>
          <w:kern w:val="0"/>
          <w:sz w:val="32"/>
          <w:szCs w:val="32"/>
          <w:lang w:val="en-US" w:eastAsia="zh-CN" w:bidi="ar-SA"/>
        </w:rPr>
        <w:t>加强生态廊道建设</w:t>
      </w:r>
      <w:r>
        <w:rPr>
          <w:rFonts w:hint="default" w:ascii="Times New Roman" w:hAnsi="Times New Roman" w:eastAsia="方正仿宋_GBK" w:cs="Times New Roman"/>
          <w:snapToGrid w:val="0"/>
          <w:color w:val="000000"/>
          <w:kern w:val="0"/>
          <w:sz w:val="32"/>
          <w:szCs w:val="32"/>
          <w:lang w:val="en-US" w:eastAsia="zh-CN" w:bidi="ar-SA"/>
        </w:rPr>
        <w:t>。以高速公路等重大交通基础设施为主要构成，同时依托城市内部河流水系等生态空间，构建城市生态廊道。优化道路绿化廊道，以高速公路为重点，完善沿主干道路两侧生态景观带。推进河湖生态廊道建设，定期疏浚河道，保证水系坑塘贯通，保留自然河道、坑塘、湿地、湖荡的自然形态；对重点河道、湖泊岸线逐步进行生态护岸和河流绿带建设，建立完善滨河生态廊道，充分挖掘河流廊道的景观和文化功能，满足市民休闲娱乐需求，增强防洪排涝能力，提升河道生态效应。</w:t>
      </w:r>
    </w:p>
    <w:p w14:paraId="3BF442D2">
      <w:pPr>
        <w:keepNext w:val="0"/>
        <w:keepLines w:val="0"/>
        <w:pageBreakBefore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r>
        <w:rPr>
          <w:rFonts w:hint="default" w:ascii="Times New Roman" w:hAnsi="Times New Roman" w:eastAsia="方正仿宋_GBK" w:cs="Times New Roman"/>
          <w:b/>
          <w:bCs/>
          <w:snapToGrid w:val="0"/>
          <w:kern w:val="0"/>
          <w:sz w:val="32"/>
          <w:szCs w:val="32"/>
          <w:highlight w:val="none"/>
          <w:lang w:val="en-US" w:eastAsia="zh-CN" w:bidi="ar-SA"/>
        </w:rPr>
        <w:t>（三）加</w:t>
      </w:r>
      <w:r>
        <w:rPr>
          <w:rFonts w:hint="default" w:ascii="Times New Roman" w:hAnsi="Times New Roman" w:eastAsia="方正仿宋_GBK" w:cs="Times New Roman"/>
          <w:b/>
          <w:bCs/>
          <w:snapToGrid w:val="0"/>
          <w:kern w:val="0"/>
          <w:sz w:val="32"/>
          <w:szCs w:val="32"/>
          <w:highlight w:val="none"/>
          <w:lang w:val="en-US" w:eastAsia="zh-CN" w:bidi="ar-SA"/>
        </w:rPr>
        <w:t>大</w:t>
      </w:r>
      <w:r>
        <w:rPr>
          <w:rFonts w:hint="default" w:ascii="Times New Roman" w:hAnsi="Times New Roman" w:eastAsia="方正仿宋_GBK" w:cs="Times New Roman"/>
          <w:b/>
          <w:bCs/>
          <w:snapToGrid w:val="0"/>
          <w:kern w:val="0"/>
          <w:sz w:val="32"/>
          <w:szCs w:val="32"/>
          <w:highlight w:val="none"/>
          <w:lang w:val="en-US" w:eastAsia="zh-CN" w:bidi="ar-SA"/>
        </w:rPr>
        <w:t>自然生态保护力度</w:t>
      </w:r>
    </w:p>
    <w:p w14:paraId="35B1B9B6">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bookmarkStart w:id="12" w:name="_Hlk162446984"/>
      <w:r>
        <w:rPr>
          <w:rFonts w:hint="default" w:ascii="Times New Roman" w:hAnsi="Times New Roman" w:eastAsia="方正仿宋_GBK" w:cs="Times New Roman"/>
          <w:b/>
          <w:bCs/>
          <w:snapToGrid w:val="0"/>
          <w:color w:val="000000"/>
          <w:kern w:val="0"/>
          <w:sz w:val="32"/>
          <w:szCs w:val="32"/>
          <w:lang w:val="en-US" w:eastAsia="zh-CN" w:bidi="ar-SA"/>
        </w:rPr>
        <w:t>推进湿地和湖泊生态系统保护</w:t>
      </w:r>
      <w:r>
        <w:rPr>
          <w:rFonts w:hint="default" w:ascii="Times New Roman" w:hAnsi="Times New Roman" w:eastAsia="方正仿宋_GBK" w:cs="Times New Roman"/>
          <w:snapToGrid w:val="0"/>
          <w:color w:val="000000"/>
          <w:kern w:val="0"/>
          <w:sz w:val="32"/>
          <w:szCs w:val="32"/>
          <w:lang w:val="en-US" w:eastAsia="zh-CN" w:bidi="ar-SA"/>
        </w:rPr>
        <w:t>。加大湿地和湖泊生态系统保护修复力度，加强湿地总量管控和用途管制，落实自然湿地保护目标责任制，建立完善湿地保护管理体系。加强秦淮河、月牙湖等重要湿地生态保护，明确细化管控要求。开展自然湿地、栖息地、库塘湿地、小型湿地修复，防范水质良好湿地生态系统退化，开展水生态植被恢复试点。实施氮、磷总量控制，持续改善湖泊富营养化水平，开展外秦淮河蓝藻水华预警监测，严防蓝藻水华大面积暴发。适时开展生态安全缓冲区建设，有效整合生态环境资源，充分利用生态系统的自然净化能力改善水质，筑牢生态保护屏障。</w:t>
      </w:r>
    </w:p>
    <w:p w14:paraId="1D8E9B81">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加强水生生物保护与恢复</w:t>
      </w:r>
      <w:r>
        <w:rPr>
          <w:rFonts w:hint="default" w:ascii="Times New Roman" w:hAnsi="Times New Roman" w:eastAsia="方正仿宋_GBK" w:cs="Times New Roman"/>
          <w:snapToGrid w:val="0"/>
          <w:color w:val="000000"/>
          <w:kern w:val="0"/>
          <w:sz w:val="32"/>
          <w:szCs w:val="32"/>
          <w:lang w:val="en-US" w:eastAsia="zh-CN" w:bidi="ar-SA"/>
        </w:rPr>
        <w:t>。保持外秦淮河（上坊门—汉中门段）“三清三无”常态化，逐步恢复外秦淮河水体连通性，打通水生动物洄游通道。构建生物多样性保护网络，试点开展外秦淮河水生生物完整性指数评价，根据提升水生生物完整性指数等规划目标要求，研究关键生境替代保护、微生境改良、人工生境营造等保护和修复措施。有效保存优质物种资源，加强对外来生物的管理和风险防范，营造物产丰富、可持续的和谐生境。</w:t>
      </w:r>
    </w:p>
    <w:p w14:paraId="7000878B">
      <w:pPr>
        <w:keepNext w:val="0"/>
        <w:keepLines w:val="0"/>
        <w:pageBreakBefore w:val="0"/>
        <w:widowControl/>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仿宋_GBK" w:cs="Times New Roman"/>
          <w:b/>
          <w:bCs/>
          <w:snapToGrid w:val="0"/>
          <w:color w:val="000000"/>
          <w:kern w:val="0"/>
          <w:sz w:val="32"/>
          <w:szCs w:val="32"/>
          <w:lang w:val="en-US" w:eastAsia="zh-CN" w:bidi="ar-SA"/>
        </w:rPr>
        <w:t>夯实生物多样性保护基础</w:t>
      </w:r>
      <w:r>
        <w:rPr>
          <w:rFonts w:hint="default" w:ascii="Times New Roman" w:hAnsi="Times New Roman" w:eastAsia="方正仿宋_GBK" w:cs="Times New Roman"/>
          <w:snapToGrid w:val="0"/>
          <w:color w:val="000000"/>
          <w:kern w:val="0"/>
          <w:sz w:val="32"/>
          <w:szCs w:val="32"/>
          <w:lang w:val="en-US" w:eastAsia="zh-CN" w:bidi="ar-SA"/>
        </w:rPr>
        <w:t>。全面落实省、市关于加强生物多样性保护的意见，切实加强生物多样性保护和监管，守住自然生态安全边界。在全区典型生态系统、自然保护地、生态空间管控区等重点区域，探索开展生态系统多样性遥感监测，从宏观到微观尺度评估生态系统变化。将生物多样性保护纳入生态环境保护综合行政执法体系，结合“绿盾”行动、生态空间管控等，严厉打击破坏生物多样性保护的违法行为。完善生物多样性保护工作协调机制，形成生物多样性保护和履约工作合力，探索将生物多样性工作纳入年度考核。配合开展生物多样性本底调查，全面摸清全区生物多样性状况，掌握重点保护物种数量及分布情况，配合建立国家重点保护野生动植物等名册</w:t>
      </w:r>
      <w:bookmarkEnd w:id="12"/>
      <w:r>
        <w:rPr>
          <w:rFonts w:hint="default" w:ascii="Times New Roman" w:hAnsi="Times New Roman" w:eastAsia="方正仿宋_GBK" w:cs="Times New Roman"/>
          <w:snapToGrid w:val="0"/>
          <w:color w:val="000000"/>
          <w:kern w:val="0"/>
          <w:sz w:val="32"/>
          <w:szCs w:val="32"/>
          <w:lang w:val="en-US" w:eastAsia="zh-CN" w:bidi="ar-SA"/>
        </w:rPr>
        <w:t>。将生物多样性友好型建筑设计理念融入城市更新改造工作，通过设计生态友好建筑，创造更多栖息地，丰富植物和动物多样性，有效维护生态平衡。</w:t>
      </w:r>
    </w:p>
    <w:p w14:paraId="5EEA5525">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10D4C904">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37B36DD7">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0C88F991">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34306460">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64F30F76">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2C9F5C9B">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6090A025">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317D38ED">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3512D9E2">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074EB428">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1534B457">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7E6C6382">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14BBEDBF">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p w14:paraId="1F72F3C2">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rPr>
      </w:pPr>
    </w:p>
    <w:bookmarkEnd w:id="1"/>
    <w:bookmarkEnd w:id="2"/>
    <w:bookmarkEnd w:id="3"/>
    <w:bookmarkEnd w:id="4"/>
    <w:p w14:paraId="6AC77CBF">
      <w:pPr>
        <w:pStyle w:val="12"/>
        <w:spacing w:before="327" w:beforeLines="100" w:after="327" w:afterLines="100" w:line="578" w:lineRule="exact"/>
        <w:ind w:left="0" w:leftChars="0" w:firstLine="0" w:firstLineChars="0"/>
        <w:jc w:val="center"/>
        <w:rPr>
          <w:rFonts w:hint="default" w:ascii="Times New Roman" w:hAnsi="Times New Roman" w:eastAsia="方正黑体_GBK" w:cs="Times New Roman"/>
          <w:sz w:val="36"/>
          <w:szCs w:val="36"/>
          <w:highlight w:val="none"/>
          <w:lang w:eastAsia="zh-CN"/>
        </w:rPr>
      </w:pPr>
      <w:bookmarkStart w:id="13" w:name="_Toc7857"/>
      <w:bookmarkStart w:id="14" w:name="_Toc3702"/>
      <w:r>
        <w:rPr>
          <w:rFonts w:hint="default" w:ascii="Times New Roman" w:hAnsi="Times New Roman" w:eastAsia="方正黑体_GBK" w:cs="Times New Roman"/>
          <w:sz w:val="36"/>
          <w:szCs w:val="36"/>
          <w:highlight w:val="none"/>
        </w:rPr>
        <w:t>第</w:t>
      </w:r>
      <w:r>
        <w:rPr>
          <w:rFonts w:hint="default" w:ascii="Times New Roman" w:hAnsi="Times New Roman" w:eastAsia="方正黑体_GBK" w:cs="Times New Roman"/>
          <w:sz w:val="36"/>
          <w:szCs w:val="36"/>
          <w:highlight w:val="none"/>
          <w:lang w:eastAsia="zh-CN"/>
        </w:rPr>
        <w:t>五章</w:t>
      </w:r>
      <w:r>
        <w:rPr>
          <w:rFonts w:hint="default" w:ascii="Times New Roman" w:hAnsi="Times New Roman" w:eastAsia="方正黑体_GBK" w:cs="Times New Roman"/>
          <w:sz w:val="36"/>
          <w:szCs w:val="36"/>
          <w:highlight w:val="none"/>
        </w:rPr>
        <w:t xml:space="preserve">  构建绿色创新的生态经济体系</w:t>
      </w:r>
    </w:p>
    <w:p w14:paraId="2F20AE91">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sz w:val="32"/>
          <w:szCs w:val="32"/>
          <w:highlight w:val="none"/>
        </w:rPr>
        <w:t>一、推进绿色发展，构建现代产业体系</w:t>
      </w:r>
    </w:p>
    <w:p w14:paraId="21FB9AE0">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r>
        <w:rPr>
          <w:rFonts w:hint="default" w:ascii="Times New Roman" w:hAnsi="Times New Roman" w:eastAsia="方正仿宋_GBK" w:cs="Times New Roman"/>
          <w:b/>
          <w:bCs/>
          <w:sz w:val="32"/>
          <w:szCs w:val="32"/>
          <w:highlight w:val="none"/>
          <w:lang w:val="en-US" w:eastAsia="zh-CN"/>
        </w:rPr>
        <w:t>（一）构建现代绿色产业体系</w:t>
      </w:r>
    </w:p>
    <w:p w14:paraId="191F6B8F">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仿宋_GBK" w:cs="Times New Roman"/>
          <w:snapToGrid w:val="0"/>
          <w:color w:val="000000"/>
          <w:kern w:val="0"/>
          <w:sz w:val="32"/>
          <w:szCs w:val="32"/>
          <w:lang w:val="zh-TW" w:eastAsia="zh-CN" w:bidi="ar-SA"/>
        </w:rPr>
      </w:pPr>
      <w:r>
        <w:rPr>
          <w:rFonts w:hint="default" w:ascii="Times New Roman" w:hAnsi="Times New Roman" w:eastAsia="方正仿宋_GBK" w:cs="Times New Roman"/>
          <w:snapToGrid w:val="0"/>
          <w:color w:val="000000"/>
          <w:kern w:val="0"/>
          <w:sz w:val="32"/>
          <w:szCs w:val="32"/>
          <w:lang w:val="en-US" w:eastAsia="zh-CN" w:bidi="ar-SA"/>
        </w:rPr>
        <w:t>着力构建高端商务商贸、现代金融、文化旅游、软件和信息服务4个主导产业，以及物联网、车联网、航空航天3个新兴产业和人工智能、大健康、元宇宙、新型储能4个未来产业的“4+3+4”产业体系，促进主导产业高端化转型和结构化升级，布局并激发新兴未来产业发展潜能，提升都市工业数字化、信息化水平，推动产业升级和集群强链。整合科技创新资源，构建绿色低碳循环经济体系，推动形成科技含量高、资源消耗低、环境污染少的产业结构，以高水平保护支撑高质量发展，加快形成新质生产力。</w:t>
      </w:r>
    </w:p>
    <w:p w14:paraId="5DCFA2E6">
      <w:pPr>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r>
        <w:rPr>
          <w:rFonts w:hint="default" w:ascii="Times New Roman" w:hAnsi="Times New Roman" w:eastAsia="方正仿宋_GBK" w:cs="Times New Roman"/>
          <w:b/>
          <w:bCs/>
          <w:snapToGrid w:val="0"/>
          <w:kern w:val="0"/>
          <w:sz w:val="32"/>
          <w:szCs w:val="32"/>
          <w:highlight w:val="none"/>
          <w:lang w:val="en-US" w:eastAsia="zh-CN" w:bidi="ar-SA"/>
        </w:rPr>
        <w:t>（二）促进主导产业绿色转型</w:t>
      </w:r>
    </w:p>
    <w:p w14:paraId="6441C447">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引导商务商贸转型</w:t>
      </w:r>
      <w:r>
        <w:rPr>
          <w:rFonts w:hint="default" w:ascii="Times New Roman" w:hAnsi="Times New Roman" w:eastAsia="方正仿宋_GBK" w:cs="Times New Roman"/>
          <w:snapToGrid w:val="0"/>
          <w:color w:val="000000"/>
          <w:kern w:val="0"/>
          <w:sz w:val="32"/>
          <w:szCs w:val="32"/>
          <w:lang w:val="en-US" w:eastAsia="zh-CN" w:bidi="ar-SA"/>
        </w:rPr>
        <w:t>。推动商贸业绿色低碳转型，推动5G、大数据、物联网和消费场景的融合创新，大力发展智慧零售、跨界零售、无人零售、绿色零售、跨境电商、直播经济等新业态新模式，重点发展体验消费、品牌经济、时尚消费和智慧商业，引进培育一批高端商务商贸总部。加快新街口、夫子庙智慧商圈建设，鼓励新街口商圈商贸业态创新，加速布局沉浸式、乐园式商贸体验综合体，引进潮牌首店和高端品牌，招引培育高端商务总部；鼓励夫子庙、老门东片区引进业内领先的文旅商业体验企业和项目，建设文化内涵丰厚、展示层次丰富的文旅商体验消费特色空间；突出南部新城国际化商业业态和元素的导入、呈现，结合未来社区打造，布局智慧商业和高端商务总部。</w:t>
      </w:r>
    </w:p>
    <w:p w14:paraId="5041438F">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突出现代金融特色</w:t>
      </w:r>
      <w:r>
        <w:rPr>
          <w:rFonts w:hint="default" w:ascii="Times New Roman" w:hAnsi="Times New Roman" w:eastAsia="方正仿宋_GBK" w:cs="Times New Roman"/>
          <w:snapToGrid w:val="0"/>
          <w:color w:val="000000"/>
          <w:kern w:val="0"/>
          <w:sz w:val="32"/>
          <w:szCs w:val="32"/>
          <w:lang w:val="en-US" w:eastAsia="zh-CN" w:bidi="ar-SA"/>
        </w:rPr>
        <w:t>。坚持传统金融与新兴金融并重，发力消费金融、科技金融、文化金融、普惠金融等金融服务细分领域，构建新街口金融核心区和周延地带、南部新城商务区、高新园区及创新湾区等重点空间分布格局。推动金融产业特色发展，切入教育、医疗、科技、文化等细分领域，鼓励支持加大对环保节能、清洁能源、绿色交通、绿色建筑等领域的项目投融资、运营管理提供金融服务，探索使用绿色发展基金、绿色保险、碳金融等新金融工具，构建具有秦淮特色的金融消费和服务场景。发挥产业引导基金作用，支持区内创新创业类企业发展，引进培育天使投资、VC投资、PE投资、产业投资、并购投资等机构，形成覆盖企业不同成长阶段的基金投资体系，营造良性金融发展生态。加快发展资产配置管理等高质量资产管理产业，构建机构多元、业态丰富、特色彰显的现代金融格局。</w:t>
      </w:r>
    </w:p>
    <w:p w14:paraId="549964F2">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促进文商旅融合发展</w:t>
      </w:r>
      <w:r>
        <w:rPr>
          <w:rFonts w:hint="default" w:ascii="Times New Roman" w:hAnsi="Times New Roman" w:eastAsia="方正仿宋_GBK" w:cs="Times New Roman"/>
          <w:snapToGrid w:val="0"/>
          <w:color w:val="000000"/>
          <w:kern w:val="0"/>
          <w:sz w:val="32"/>
          <w:szCs w:val="32"/>
          <w:lang w:val="en-US" w:eastAsia="zh-CN" w:bidi="ar-SA"/>
        </w:rPr>
        <w:t>。推动文商旅跨界融合发展，打造国际文化休闲旅游目的地，建成2—3个国内领先、世界知名的文商旅融合发展商圈和步行街。在夫子庙、老门东等区域引入国内知名MCN机构及网红，引进文旅消费首店、总店，打造3—5条具有独特体验感的文化廊道，布局演艺、展览等沉浸式体验项目、创意产品和时尚活动。打造短视频产业园，集聚MCN机构以及直播培训、媒体融合、云视频平台、智能剪辑上下游产业链企业。放大网文谷传播流量，发展网络文学影视化转化和版权交易产业。推动全域旅游数据中心改造提升，构建“吃、住、行、游、购、娱”智慧旅游体系。</w:t>
      </w:r>
    </w:p>
    <w:p w14:paraId="29198E2E">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r>
        <w:rPr>
          <w:rFonts w:hint="default" w:ascii="Times New Roman" w:hAnsi="Times New Roman" w:eastAsia="方正仿宋_GBK" w:cs="Times New Roman"/>
          <w:b/>
          <w:bCs/>
          <w:snapToGrid w:val="0"/>
          <w:color w:val="000000"/>
          <w:kern w:val="0"/>
          <w:sz w:val="32"/>
          <w:szCs w:val="32"/>
          <w:lang w:val="en-US" w:eastAsia="zh-CN" w:bidi="ar-SA"/>
        </w:rPr>
        <w:t>做强软件和信息服务业</w:t>
      </w:r>
      <w:r>
        <w:rPr>
          <w:rFonts w:hint="default" w:ascii="Times New Roman" w:hAnsi="Times New Roman" w:eastAsia="方正仿宋_GBK" w:cs="Times New Roman"/>
          <w:snapToGrid w:val="0"/>
          <w:color w:val="000000"/>
          <w:kern w:val="0"/>
          <w:sz w:val="32"/>
          <w:szCs w:val="32"/>
          <w:lang w:val="en-US" w:eastAsia="zh-CN" w:bidi="ar-SA"/>
        </w:rPr>
        <w:t>。加快软件和信息服务产业关键领域技术突破，发展云计算和大数据、高端软件开发和通信信息服务领域等细分产业。依托白下高新区、南部新城，打造云计算创新基地，培育大数据交易市场；依托通服大厦、悦动·新门西，发展网络通信产业集群。发展智慧政务、智慧交通、智慧城市、人工智能、电子商务、消费金融等领域的行业应用软件。支持网络传输及运营、互联网信息服务、信息安全服务、信息咨询服务及系统集成等产业集聚发展。重点发展面向车联网的位置服务、高清视频通信网络服务，加快布局面向电子商务、消费金融的技术服务平台和解决方案提供商。提升数实融合能力，加快数字产业创新和产业数字化转型。</w:t>
      </w:r>
    </w:p>
    <w:p w14:paraId="24D738D3">
      <w:pPr>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r>
        <w:rPr>
          <w:rFonts w:hint="default" w:ascii="Times New Roman" w:hAnsi="Times New Roman" w:eastAsia="方正仿宋_GBK" w:cs="Times New Roman"/>
          <w:b/>
          <w:bCs/>
          <w:snapToGrid w:val="0"/>
          <w:kern w:val="0"/>
          <w:sz w:val="32"/>
          <w:szCs w:val="32"/>
          <w:highlight w:val="none"/>
          <w:lang w:val="en-US" w:eastAsia="zh-CN" w:bidi="ar-SA"/>
        </w:rPr>
        <w:t>（三）激发新兴产业绿色潜能</w:t>
      </w:r>
    </w:p>
    <w:p w14:paraId="6473559A">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培育新兴产业动能</w:t>
      </w:r>
      <w:r>
        <w:rPr>
          <w:rFonts w:hint="default" w:ascii="Times New Roman" w:hAnsi="Times New Roman" w:eastAsia="方正仿宋_GBK" w:cs="Times New Roman"/>
          <w:snapToGrid w:val="0"/>
          <w:color w:val="000000"/>
          <w:kern w:val="0"/>
          <w:sz w:val="32"/>
          <w:szCs w:val="32"/>
          <w:lang w:val="en-US" w:eastAsia="zh-CN" w:bidi="ar-SA"/>
        </w:rPr>
        <w:t>。发挥物联网重点企业集聚优势，瞄准优势赛道，形成产品供给，不断提升优势赛道竞争力和产业创新协作水平。依托龙头企业和研究平台，加快形成物联网上下游产业集群，扩大品牌影响力。以打造南部新城高级别自动驾驶示范区为契机，优化车联网产业应用场景，加快推动车联网商业化运营。发挥白下高新区省级车联网先导区示范带动作用，着力构建车联网感知、决策、通信、安全、数据应用等产业链生态链。壮大无人机产业规模，引导航空航天零部件企业积极融入供应链产业链，加快发展航空航天服务会展、新兴消费等衍生产业。</w:t>
      </w:r>
    </w:p>
    <w:p w14:paraId="23EDDD15">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仿宋_GBK" w:cs="Times New Roman"/>
          <w:snapToGrid w:val="0"/>
          <w:color w:val="000000"/>
          <w:kern w:val="0"/>
          <w:sz w:val="32"/>
          <w:szCs w:val="32"/>
          <w:lang w:val="zh-TW"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开辟未来产业赛道</w:t>
      </w:r>
      <w:r>
        <w:rPr>
          <w:rFonts w:hint="default" w:ascii="Times New Roman" w:hAnsi="Times New Roman" w:eastAsia="方正仿宋_GBK" w:cs="Times New Roman"/>
          <w:snapToGrid w:val="0"/>
          <w:color w:val="000000"/>
          <w:kern w:val="0"/>
          <w:sz w:val="32"/>
          <w:szCs w:val="32"/>
          <w:lang w:val="en-US" w:eastAsia="zh-CN" w:bidi="ar-SA"/>
        </w:rPr>
        <w:t>。抢抓人工智能分布式算力中心建设风口，加快人工智能技术示范应用，依托重点企业大力支持高级计划排程系统、分布式数控、制造执行系统等智能制造软件和数字化解决方案研发应用，实现军民产业融合发展。发挥中医药领域影响力，发展中医特色产业。支持社会力量发展健康服务和医养融合机构，加快推进东部医疗中心、华熙国际等项目建设。引导元宇宙领域创新成果在相关领域的率先应用。支持白下高新区打造特色元宇宙产业集聚区，打造文化旅游元宇宙应用高地，招引落地一批元宇宙生态项目，加快形成产业链企业集群。有序推进新型储能试点，在多能互补智慧能源、光伏发电等新能源、微电网应用场景和商业模式上创新探索，加快培育发展新型储能上下游产业。</w:t>
      </w:r>
    </w:p>
    <w:p w14:paraId="3B73E3AA">
      <w:pPr>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r>
        <w:rPr>
          <w:rFonts w:hint="default" w:ascii="Times New Roman" w:hAnsi="Times New Roman" w:eastAsia="方正仿宋_GBK" w:cs="Times New Roman"/>
          <w:b/>
          <w:bCs/>
          <w:snapToGrid w:val="0"/>
          <w:kern w:val="0"/>
          <w:sz w:val="32"/>
          <w:szCs w:val="32"/>
          <w:highlight w:val="none"/>
          <w:lang w:val="en-US" w:eastAsia="zh-CN" w:bidi="ar-SA"/>
        </w:rPr>
        <w:t>（四）推进都市工业绿色发展</w:t>
      </w:r>
    </w:p>
    <w:p w14:paraId="1BD73752">
      <w:pPr>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以金陵智能制造研究院、晨光集团、金城集团等企业为依托，加快智能制造关键技术装备和相关产品研发制造，推进重点领域集成应用，储备积累核心知识产权。引导企业绿色化、智能化改造，推进制造业企业“上云用数赋智”，建设云制造平台和服务平台，在传统制造业推广应用数字化技术、系统集成技术、智能制造装备。鼓励存量都市工业企业转型升级，引导具有核心技术的企业以信息系统集成服务为手段，提升产品价值，实现服务创新；引导中小型制造业企业从售后服务环节延长产品生命周期，提升服务效益，实现制造业服务化转型。聚焦白下高新区北侧、秦淮硅巷等载体，规划建设LG北都市智造园，发挥金城航空产业园研发优势，打造以软件信息、智能制造、无人机等为特色的都市工业集聚形态。提升工业性质产业园区产出效率，引导企业向楼宇转移，促使低效企业自发腾退，提升单位面积产出水平，构建以都市产业功能区、都市工业社区、都市工业楼宇为支撑的新型都市工业发展格局。</w:t>
      </w:r>
    </w:p>
    <w:p w14:paraId="34995F97">
      <w:pPr>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r>
        <w:rPr>
          <w:rFonts w:hint="default" w:ascii="Times New Roman" w:hAnsi="Times New Roman" w:eastAsia="方正仿宋_GBK" w:cs="Times New Roman"/>
          <w:b/>
          <w:bCs/>
          <w:snapToGrid w:val="0"/>
          <w:kern w:val="0"/>
          <w:sz w:val="32"/>
          <w:szCs w:val="32"/>
          <w:highlight w:val="none"/>
          <w:lang w:val="en-US" w:eastAsia="zh-CN" w:bidi="ar-SA"/>
        </w:rPr>
        <w:t>（五）释放科技创新绿色活力</w:t>
      </w:r>
    </w:p>
    <w:p w14:paraId="63062060">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仿宋_GBK" w:cs="Times New Roman"/>
          <w:snapToGrid w:val="0"/>
          <w:color w:val="000000"/>
          <w:kern w:val="0"/>
          <w:sz w:val="32"/>
          <w:szCs w:val="32"/>
          <w:lang w:val="zh-TW" w:eastAsia="zh-CN" w:bidi="ar-SA"/>
        </w:rPr>
      </w:pPr>
      <w:r>
        <w:rPr>
          <w:rFonts w:hint="default" w:ascii="Times New Roman" w:hAnsi="Times New Roman" w:eastAsia="方正仿宋_GBK" w:cs="Times New Roman"/>
          <w:snapToGrid w:val="0"/>
          <w:color w:val="000000"/>
          <w:kern w:val="0"/>
          <w:sz w:val="32"/>
          <w:szCs w:val="32"/>
          <w:lang w:val="en-US" w:eastAsia="zh-CN" w:bidi="ar-SA"/>
        </w:rPr>
        <w:t>以白下高新园区、秦淮硅巷为创新驱动主战场、主阵地，依托区内大院大所、名校名企集聚优势，加强科技创新和产业创新的深度融合，放大产品研发、模式探索、场景应用等方面潜在优势，增强产业创新发展技术支撑能力。强化企业创新主体地位，构建上下游紧密合作的创新联合体，促进产学研融通创新，加快科技成果向现实生产力转化。推动创新主体跨域协同、创新资源高效集聚、创新要素集约配置、创新人才加速汇聚、创新生态全域营造、创新服务全链条保障，打造南京市全域创新生态样板。</w:t>
      </w:r>
    </w:p>
    <w:p w14:paraId="33CBD953">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sz w:val="32"/>
          <w:szCs w:val="32"/>
          <w:highlight w:val="none"/>
          <w:lang w:eastAsia="zh-CN"/>
        </w:rPr>
        <w:t>二</w:t>
      </w:r>
      <w:r>
        <w:rPr>
          <w:rFonts w:hint="default" w:ascii="Times New Roman" w:hAnsi="Times New Roman" w:eastAsia="方正黑体_GBK" w:cs="Times New Roman"/>
          <w:sz w:val="32"/>
          <w:szCs w:val="32"/>
          <w:highlight w:val="none"/>
        </w:rPr>
        <w:t>、展现秦淮魅力，</w:t>
      </w:r>
      <w:r>
        <w:rPr>
          <w:rFonts w:hint="default" w:ascii="Times New Roman" w:hAnsi="Times New Roman" w:eastAsia="方正黑体_GBK" w:cs="Times New Roman"/>
          <w:sz w:val="32"/>
          <w:szCs w:val="32"/>
          <w:highlight w:val="none"/>
          <w:lang w:eastAsia="zh-CN"/>
        </w:rPr>
        <w:t>推动</w:t>
      </w:r>
      <w:r>
        <w:rPr>
          <w:rFonts w:hint="default" w:ascii="Times New Roman" w:hAnsi="Times New Roman" w:eastAsia="方正黑体_GBK" w:cs="Times New Roman"/>
          <w:sz w:val="32"/>
          <w:szCs w:val="32"/>
          <w:highlight w:val="none"/>
        </w:rPr>
        <w:t>文商旅创融合发展</w:t>
      </w:r>
    </w:p>
    <w:p w14:paraId="26BAB087">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r>
        <w:rPr>
          <w:rFonts w:hint="default" w:ascii="Times New Roman" w:hAnsi="Times New Roman" w:eastAsia="方正仿宋_GBK" w:cs="Times New Roman"/>
          <w:b/>
          <w:bCs/>
          <w:sz w:val="32"/>
          <w:szCs w:val="32"/>
          <w:highlight w:val="none"/>
          <w:lang w:val="en-US" w:eastAsia="zh-CN"/>
        </w:rPr>
        <w:t>（一）立足秦淮特色资源，发展生态旅游</w:t>
      </w:r>
    </w:p>
    <w:p w14:paraId="2F65A08D">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放大中国第一历史文化名河影响</w:t>
      </w:r>
      <w:r>
        <w:rPr>
          <w:rFonts w:hint="default" w:ascii="Times New Roman" w:hAnsi="Times New Roman" w:eastAsia="方正仿宋_GBK" w:cs="Times New Roman"/>
          <w:snapToGrid w:val="0"/>
          <w:color w:val="000000"/>
          <w:kern w:val="0"/>
          <w:sz w:val="32"/>
          <w:szCs w:val="32"/>
          <w:lang w:val="en-US" w:eastAsia="zh-CN" w:bidi="ar-SA"/>
        </w:rPr>
        <w:t>。围绕“人文的河、浪漫的河、繁华的河”方向，加快沿秦淮河项目建设和招商运营，展现“南都繁会图”盛景。加快西五华里文化休闲街区（二期）、门西数字生活街区等重点项目建设，打造七桥瓮生态湿地公园、百里风光带秦淮段二期等生态文化空间，滨水举办半程马拉松、赛艇龙舟水上赛事等运动项目，推动秦淮河文化旅游要素向上游流动。提升东五华里沿河亮化美化，优化西五华里沉浸式灯光秀项目，丰富白鹭洲公园展示内容，推出内秦淮河东段新游线，联动内外秦淮河游线。</w:t>
      </w:r>
    </w:p>
    <w:p w14:paraId="61509412">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highlight w:val="none"/>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再现世界第一大城垣精华</w:t>
      </w:r>
      <w:r>
        <w:rPr>
          <w:rFonts w:hint="default" w:ascii="Times New Roman" w:hAnsi="Times New Roman" w:eastAsia="方正仿宋_GBK" w:cs="Times New Roman"/>
          <w:snapToGrid w:val="0"/>
          <w:color w:val="000000"/>
          <w:kern w:val="0"/>
          <w:sz w:val="32"/>
          <w:szCs w:val="32"/>
          <w:lang w:val="en-US" w:eastAsia="zh-CN" w:bidi="ar-SA"/>
        </w:rPr>
        <w:t>。发展中华门外片区，加强市区联动，整合大报恩寺遗址公园二期、越城遗址公园等重大项目，重塑中华门—中华路</w:t>
      </w:r>
      <w:r>
        <w:rPr>
          <w:rFonts w:hint="default" w:ascii="Times New Roman" w:hAnsi="Times New Roman" w:eastAsia="方正仿宋_GBK" w:cs="Times New Roman"/>
          <w:snapToGrid w:val="0"/>
          <w:color w:val="000000"/>
          <w:kern w:val="0"/>
          <w:sz w:val="32"/>
          <w:szCs w:val="32"/>
          <w:highlight w:val="none"/>
          <w:lang w:val="en-US" w:eastAsia="zh-CN" w:bidi="ar-SA"/>
        </w:rPr>
        <w:t>—长干里历史轴线。</w:t>
      </w:r>
      <w:bookmarkStart w:id="15" w:name="_Hlk148970429"/>
      <w:r>
        <w:rPr>
          <w:rFonts w:hint="default" w:ascii="Times New Roman" w:hAnsi="Times New Roman" w:eastAsia="方正仿宋_GBK" w:cs="Times New Roman"/>
          <w:snapToGrid w:val="0"/>
          <w:color w:val="000000"/>
          <w:kern w:val="0"/>
          <w:sz w:val="32"/>
          <w:szCs w:val="32"/>
          <w:highlight w:val="none"/>
          <w:lang w:val="en-US" w:eastAsia="zh-CN" w:bidi="ar-SA"/>
        </w:rPr>
        <w:t>启动通济门、友谊村遗址公园项目，推进光华门—友谊村明城墙贯通。</w:t>
      </w:r>
      <w:bookmarkEnd w:id="15"/>
      <w:r>
        <w:rPr>
          <w:rFonts w:hint="default" w:ascii="Times New Roman" w:hAnsi="Times New Roman" w:eastAsia="方正仿宋_GBK" w:cs="Times New Roman"/>
          <w:snapToGrid w:val="0"/>
          <w:color w:val="000000"/>
          <w:kern w:val="0"/>
          <w:sz w:val="32"/>
          <w:szCs w:val="32"/>
          <w:highlight w:val="none"/>
          <w:lang w:val="en-US" w:eastAsia="zh-CN" w:bidi="ar-SA"/>
        </w:rPr>
        <w:t>推动市级层面启动明故宫国家考古遗址公园建设，形成明故宫大遗址保护格局。</w:t>
      </w:r>
    </w:p>
    <w:p w14:paraId="51AFF0B1">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r>
        <w:rPr>
          <w:rFonts w:hint="default" w:ascii="Times New Roman" w:hAnsi="Times New Roman" w:eastAsia="方正仿宋_GBK" w:cs="Times New Roman"/>
          <w:b/>
          <w:bCs/>
          <w:snapToGrid w:val="0"/>
          <w:color w:val="000000"/>
          <w:kern w:val="0"/>
          <w:sz w:val="32"/>
          <w:szCs w:val="32"/>
          <w:highlight w:val="none"/>
          <w:lang w:val="en-US" w:eastAsia="zh-CN" w:bidi="ar-SA"/>
        </w:rPr>
        <w:t>凸显夫子庙“天下文枢”古文教中心地位</w:t>
      </w:r>
      <w:r>
        <w:rPr>
          <w:rFonts w:hint="default" w:ascii="Times New Roman" w:hAnsi="Times New Roman" w:eastAsia="方正仿宋_GBK" w:cs="Times New Roman"/>
          <w:snapToGrid w:val="0"/>
          <w:color w:val="000000"/>
          <w:kern w:val="0"/>
          <w:sz w:val="32"/>
          <w:szCs w:val="32"/>
          <w:highlight w:val="none"/>
          <w:lang w:val="en-US" w:eastAsia="zh-CN" w:bidi="ar-SA"/>
        </w:rPr>
        <w:t>。结合南京世界文学之都建设，聚焦夫子庙片区改造提升，突出儒学和科举两条文化主轴，形成孔庙、学宫、贡院三大文化景观群。筹建金陵国学研究院，挖掘提</w:t>
      </w:r>
      <w:r>
        <w:rPr>
          <w:rFonts w:hint="default" w:ascii="Times New Roman" w:hAnsi="Times New Roman" w:eastAsia="方正仿宋_GBK" w:cs="Times New Roman"/>
          <w:snapToGrid w:val="0"/>
          <w:color w:val="000000"/>
          <w:kern w:val="0"/>
          <w:sz w:val="32"/>
          <w:szCs w:val="32"/>
          <w:lang w:val="en-US" w:eastAsia="zh-CN" w:bidi="ar-SA"/>
        </w:rPr>
        <w:t>升孔庙儒学文化价值，打造全国儒学文化传承基地。加快科举博物馆及周边配套项目二期建设，加强江南贡院、科举制度与现代教育、全民教育融合等研学研究，彰显“中国古代第五大发明”——科举制度的地位影响。整体改造提升王谢纪念馆，形成“衣冠南渡”重要展示空间。以白鹭洲公园、吴敬梓纪念馆、芥子园、愚园等故居名园为脉络，集中打造一批文学客厅、文学廊道。</w:t>
      </w:r>
    </w:p>
    <w:p w14:paraId="6786CF4D">
      <w:pPr>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r>
        <w:rPr>
          <w:rFonts w:hint="default" w:ascii="Times New Roman" w:hAnsi="Times New Roman" w:eastAsia="方正仿宋_GBK" w:cs="Times New Roman"/>
          <w:b/>
          <w:bCs/>
          <w:snapToGrid w:val="0"/>
          <w:kern w:val="0"/>
          <w:sz w:val="32"/>
          <w:szCs w:val="32"/>
          <w:highlight w:val="none"/>
          <w:lang w:val="en-US" w:eastAsia="zh-CN" w:bidi="ar-SA"/>
        </w:rPr>
        <w:t>（二）优化文商旅创产业，推进融合发展</w:t>
      </w:r>
    </w:p>
    <w:p w14:paraId="2E7CB070">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加快产业质效提升</w:t>
      </w:r>
      <w:r>
        <w:rPr>
          <w:rFonts w:hint="default" w:ascii="Times New Roman" w:hAnsi="Times New Roman" w:eastAsia="方正仿宋_GBK" w:cs="Times New Roman"/>
          <w:snapToGrid w:val="0"/>
          <w:color w:val="000000"/>
          <w:kern w:val="0"/>
          <w:sz w:val="32"/>
          <w:szCs w:val="32"/>
          <w:lang w:val="en-US" w:eastAsia="zh-CN" w:bidi="ar-SA"/>
        </w:rPr>
        <w:t>。对照“文旅+”融合方向，聚焦数字内容、互联网信息、创意设计等重点业态，构建载体、企业、产品、人才一体化推进机制。系统梳理挖掘全区文化项目、文化活动和文化空间等，通过业态植入激活街巷院落中的文化基因，打造星罗棋布的文化产业载体网络。实施文化产业领军企业引培计划，推动南部新城与腾讯、字节跳动等行业龙头对接，用好省、市文投等平台资源，争取元宇宙新板块、省市重点项目和基金落地。加快强链补链延链，支持永银等重点企业快速发展，力争形成集团集群发展模式，以头部企业、核心项目、行业领军人物带动产业升级升值。成立文旅产业专班，建立多元化文旅产业发展投入保障体系。</w:t>
      </w:r>
    </w:p>
    <w:p w14:paraId="5BF5C4A7">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形成旅游产品集群</w:t>
      </w:r>
      <w:r>
        <w:rPr>
          <w:rFonts w:hint="default" w:ascii="Times New Roman" w:hAnsi="Times New Roman" w:eastAsia="方正仿宋_GBK" w:cs="Times New Roman"/>
          <w:snapToGrid w:val="0"/>
          <w:color w:val="000000"/>
          <w:kern w:val="0"/>
          <w:sz w:val="32"/>
          <w:szCs w:val="32"/>
          <w:lang w:val="en-US" w:eastAsia="zh-CN" w:bidi="ar-SA"/>
        </w:rPr>
        <w:t>。坚持全域旅游发展，突出以“一城一河一馆一寺一跑道多街区”为核心、“一带两轴双核四区”的空间格局。发挥夫子庙景区、门东街区的支点作用，整合秦淮河、明城墙、大报恩寺、郑和航海等关联度较高的文化资源，形成世界级旅游产品集群。加快朝天宫片区及“母城”冶城周边环境提升，推动熙南里街区历史文化挖掘和新业态打造，与万象天地、水游城、水平方等商业综合体联动发展。加快建设以大校场机场跑道公园为支撑、以重大文化设施为内容的城市文化客厅。适旅化改造来燕路、箍捅巷、洋珠巷、弓箭坊等通道，有机连接夫子庙、老门东，提前筹划门西、门外与主景区联通，建设全区旅游集散中心，构筑串联有序、连续通达的文化消费旅游线路。</w:t>
      </w:r>
    </w:p>
    <w:p w14:paraId="6E6D5751">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深化特色园区建设</w:t>
      </w:r>
      <w:r>
        <w:rPr>
          <w:rFonts w:hint="default" w:ascii="Times New Roman" w:hAnsi="Times New Roman" w:eastAsia="方正仿宋_GBK" w:cs="Times New Roman"/>
          <w:snapToGrid w:val="0"/>
          <w:color w:val="000000"/>
          <w:kern w:val="0"/>
          <w:sz w:val="32"/>
          <w:szCs w:val="32"/>
          <w:lang w:val="en-US" w:eastAsia="zh-CN" w:bidi="ar-SA"/>
        </w:rPr>
        <w:t>。出台《国家级文化产业示范园区深化实施方案》，细化落实“一区多园”“提质增效”“扶优引强”等措施。推进国创园工业设计、1865文创旅游、广电·越界数字传媒、门西物联网、西五华里网络文学、门东城市记忆、核心景区文创文博等一批“文化+”产业集聚集群。用好“转角·遇见”、名人故居等文化空间，引进腔调契合、年轻时尚的新场景、新业态，探索打造文学小路。强化品牌示范意识，实施友好携行计划，开展园区建设、运营管理、人才培育、产业招商等深度合作。</w:t>
      </w:r>
    </w:p>
    <w:p w14:paraId="0AA8D1F8">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升级振兴商贸商圈</w:t>
      </w:r>
      <w:r>
        <w:rPr>
          <w:rFonts w:hint="default" w:ascii="Times New Roman" w:hAnsi="Times New Roman" w:eastAsia="方正仿宋_GBK" w:cs="Times New Roman"/>
          <w:snapToGrid w:val="0"/>
          <w:color w:val="000000"/>
          <w:kern w:val="0"/>
          <w:sz w:val="32"/>
          <w:szCs w:val="32"/>
          <w:lang w:val="en-US" w:eastAsia="zh-CN" w:bidi="ar-SA"/>
        </w:rPr>
        <w:t xml:space="preserve">。结合南京国际消费中心城市建设，以文商旅融合、文化复兴振兴为重点，推动新街口和太平南路传承商业文化、创新发展模式、完善基础设施、优化消费环境，打造新百艺术馆、中央商场和大华大戏院时光长廊等文化新地标，推进西白菜园、慧园里等沿线项目建设，巩固百年新街口“中华第一商圈”地位。串联新街口与太平南路、熙南里等片区，加强与省、市演艺集团项目合作，推动以宝庆银楼为引领的珠宝企业转型升级，振兴江苏饭店、绿柳居等老字号品牌，用活金陵刻经处、童寯故居等文化载体，完善新街口商圈产业地图。 </w:t>
      </w:r>
    </w:p>
    <w:p w14:paraId="5CD73399">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促进景区街区提质增效</w:t>
      </w:r>
      <w:r>
        <w:rPr>
          <w:rFonts w:hint="default" w:ascii="Times New Roman" w:hAnsi="Times New Roman" w:eastAsia="方正仿宋_GBK" w:cs="Times New Roman"/>
          <w:snapToGrid w:val="0"/>
          <w:color w:val="000000"/>
          <w:kern w:val="0"/>
          <w:sz w:val="32"/>
          <w:szCs w:val="32"/>
          <w:lang w:val="en-US" w:eastAsia="zh-CN" w:bidi="ar-SA"/>
        </w:rPr>
        <w:t>。以“黄金资源要产生黄金效益”为导向，推进夫子庙商圈街区、景区新一轮提升，加快门东东延等载体和项目建设运营，推动熙南里、门东历史文化街区创建国家级示范步行街，盘活街区二楼、三楼载体资源，力争规上企业、头部企业、街区营收和一般公共预算收入实现“四个倍增”。调整金榜大市场、金榜二期、瞻园商城等业态，改善进入景区“第一印象”。</w:t>
      </w:r>
    </w:p>
    <w:p w14:paraId="0D48A903">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r>
        <w:rPr>
          <w:rFonts w:hint="default" w:ascii="Times New Roman" w:hAnsi="Times New Roman" w:eastAsia="方正仿宋_GBK" w:cs="Times New Roman"/>
          <w:b/>
          <w:bCs/>
          <w:snapToGrid w:val="0"/>
          <w:color w:val="000000"/>
          <w:kern w:val="0"/>
          <w:sz w:val="32"/>
          <w:szCs w:val="32"/>
          <w:lang w:val="en-US" w:eastAsia="zh-CN" w:bidi="ar-SA"/>
        </w:rPr>
        <w:t>持续释放消费活力</w:t>
      </w:r>
      <w:r>
        <w:rPr>
          <w:rFonts w:hint="default" w:ascii="Times New Roman" w:hAnsi="Times New Roman" w:eastAsia="方正仿宋_GBK" w:cs="Times New Roman"/>
          <w:snapToGrid w:val="0"/>
          <w:color w:val="000000"/>
          <w:kern w:val="0"/>
          <w:sz w:val="32"/>
          <w:szCs w:val="32"/>
          <w:lang w:val="en-US" w:eastAsia="zh-CN" w:bidi="ar-SA"/>
        </w:rPr>
        <w:t>。强化数字赋能，推出一批融合历史文化的沉浸式展览、AR/VR体验、游戏演艺、元宇宙等新场景，引进一批跨界消费、多次消费的新电商，建成一批数字剧院、数字艺术馆、数字藏品、数字节庆等新平台，开发一批虚拟景区、云演绎等新服务。注重“大数据+人”在精准引流推流中的运用，支持举办文旅体融合的消费季、消费节以及文旅惠民促消费等活动。鼓励建设集合文创商店、特色书店、文化集市、精品演艺等多种业态的文化消费集聚地。</w:t>
      </w:r>
    </w:p>
    <w:p w14:paraId="6A6CAF4F">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sz w:val="32"/>
          <w:szCs w:val="32"/>
          <w:highlight w:val="none"/>
          <w:lang w:eastAsia="zh-CN"/>
        </w:rPr>
        <w:t>三</w:t>
      </w:r>
      <w:r>
        <w:rPr>
          <w:rFonts w:hint="default" w:ascii="Times New Roman" w:hAnsi="Times New Roman" w:eastAsia="方正黑体_GBK" w:cs="Times New Roman"/>
          <w:sz w:val="32"/>
          <w:szCs w:val="32"/>
          <w:highlight w:val="none"/>
        </w:rPr>
        <w:t>、推动能源转型，促进资源节约集约利用</w:t>
      </w:r>
    </w:p>
    <w:p w14:paraId="370A7878">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r>
        <w:rPr>
          <w:rFonts w:hint="default" w:ascii="Times New Roman" w:hAnsi="Times New Roman" w:eastAsia="方正仿宋_GBK" w:cs="Times New Roman"/>
          <w:b/>
          <w:bCs/>
          <w:sz w:val="32"/>
          <w:szCs w:val="32"/>
          <w:highlight w:val="none"/>
          <w:lang w:val="en-US" w:eastAsia="zh-CN"/>
        </w:rPr>
        <w:t>（一）推动能源绿色低碳转型，提升能源利用效率</w:t>
      </w:r>
    </w:p>
    <w:p w14:paraId="1EF9C1DB">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调整能源结构</w:t>
      </w:r>
      <w:r>
        <w:rPr>
          <w:rFonts w:hint="default" w:ascii="Times New Roman" w:hAnsi="Times New Roman" w:eastAsia="方正仿宋_GBK" w:cs="Times New Roman"/>
          <w:snapToGrid w:val="0"/>
          <w:color w:val="000000"/>
          <w:kern w:val="0"/>
          <w:sz w:val="32"/>
          <w:szCs w:val="32"/>
          <w:lang w:val="en-US" w:eastAsia="zh-CN" w:bidi="ar-SA"/>
        </w:rPr>
        <w:t>。推进可再生能源多元化、广泛化、高效率利用，推动符合条件的产业园区、商务楼宇、公共建筑等发展分布式光伏发电，实现多能协同供应和能源综合梯级利用。促进终端能源电气化，探索在居民采暖和公共建筑领域推广应用热泵、电蓄冷空调等，促进电力负荷移峰填谷。</w:t>
      </w:r>
    </w:p>
    <w:p w14:paraId="091EE0EC">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仿宋" w:cs="Times New Roman"/>
          <w:sz w:val="28"/>
          <w:szCs w:val="28"/>
        </w:rPr>
      </w:pPr>
      <w:r>
        <w:rPr>
          <w:rFonts w:hint="default" w:ascii="Times New Roman" w:hAnsi="Times New Roman" w:eastAsia="方正仿宋_GBK" w:cs="Times New Roman"/>
          <w:b/>
          <w:bCs/>
          <w:snapToGrid w:val="0"/>
          <w:color w:val="000000"/>
          <w:kern w:val="0"/>
          <w:sz w:val="32"/>
          <w:szCs w:val="32"/>
          <w:lang w:val="en-US" w:eastAsia="zh-CN" w:bidi="ar-SA"/>
        </w:rPr>
        <w:t>提高能源使用效率</w:t>
      </w:r>
      <w:r>
        <w:rPr>
          <w:rFonts w:hint="default" w:ascii="Times New Roman" w:hAnsi="Times New Roman" w:eastAsia="方正仿宋_GBK" w:cs="Times New Roman"/>
          <w:snapToGrid w:val="0"/>
          <w:color w:val="000000"/>
          <w:kern w:val="0"/>
          <w:sz w:val="32"/>
          <w:szCs w:val="32"/>
          <w:lang w:val="en-US" w:eastAsia="zh-CN" w:bidi="ar-SA"/>
        </w:rPr>
        <w:t>。严格落实节能审查制度，开展用能预算管理，对项目用能和碳排放情况进行综合评价，引导能源要素合理流动和高效配置。实施电机、变压器能效改造提升行动，加快先进节能技术装备的研发和推广应用。加快设备电气化改造，提升工业电气化水平。推动重点用能设备运行数据“上云上平台”，开展设备运行监测与工况优化、精准运维、能耗监控等全生命周期管理。</w:t>
      </w:r>
    </w:p>
    <w:p w14:paraId="75C90E63">
      <w:pPr>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r>
        <w:rPr>
          <w:rFonts w:hint="default" w:ascii="Times New Roman" w:hAnsi="Times New Roman" w:eastAsia="方正仿宋_GBK" w:cs="Times New Roman"/>
          <w:b/>
          <w:bCs/>
          <w:snapToGrid w:val="0"/>
          <w:kern w:val="0"/>
          <w:sz w:val="32"/>
          <w:szCs w:val="32"/>
          <w:highlight w:val="none"/>
          <w:lang w:val="en-US" w:eastAsia="zh-CN" w:bidi="ar-SA"/>
        </w:rPr>
        <w:t>（二）促进资源节约集约利用，赋能资源提质增效</w:t>
      </w:r>
    </w:p>
    <w:p w14:paraId="25B6B2C7">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土地资源利用质效提升</w:t>
      </w:r>
      <w:r>
        <w:rPr>
          <w:rFonts w:hint="default" w:ascii="Times New Roman" w:hAnsi="Times New Roman" w:eastAsia="方正仿宋_GBK" w:cs="Times New Roman"/>
          <w:snapToGrid w:val="0"/>
          <w:color w:val="000000"/>
          <w:kern w:val="0"/>
          <w:sz w:val="32"/>
          <w:szCs w:val="32"/>
          <w:lang w:val="en-US" w:eastAsia="zh-CN" w:bidi="ar-SA"/>
        </w:rPr>
        <w:t>。创新管理机制，引导老城存量城市更新，提升存量土地使用效益；高水平规划建设南部新城，提高新城开发建设水平和坪效，挖掘土地利用价值，促进自然资源节约集约利用。实施节约优先战略，严格执行新建项目准入门槛和建设用地控制标准，逐步提高土地利用投资强度和新增建设用地使用效率；积极盘活存量建设用地，加大闲置低效土地清理处置，强化对批而未供土地监管，推进存量土地挖潜和综合整治，有效降低单位GDP地耗水平。</w:t>
      </w:r>
    </w:p>
    <w:p w14:paraId="10D31CD6">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水资源利用节约高效</w:t>
      </w:r>
      <w:r>
        <w:rPr>
          <w:rFonts w:hint="default" w:ascii="Times New Roman" w:hAnsi="Times New Roman" w:eastAsia="方正仿宋_GBK" w:cs="Times New Roman"/>
          <w:snapToGrid w:val="0"/>
          <w:color w:val="000000"/>
          <w:kern w:val="0"/>
          <w:sz w:val="32"/>
          <w:szCs w:val="32"/>
          <w:lang w:val="en-US" w:eastAsia="zh-CN" w:bidi="ar-SA"/>
        </w:rPr>
        <w:t>。加强水资源配置管理，严格用水总量控制，强化“三条红线”约束，加强用水总量和强度双控，推动精确配水、精细用水、精简排水。在市级下达用水总量控制目标的基础上，制定全区取水总量控制指标，依法对本行政区域内的年度用水实行总量管理。加强非常规水资源利用，推进雨水回用系统建设和污水处理厂尾水再生利用工程，引导雨水积蓄用于生态补水恢复河道水体流量及小区内绿化浇洒，实现污水处理厂尾水深度处理后回用。加强水资源论证，把水资源管理红线指标作为水资源论证的前置条件。推进节水型社会建设，严格用水效率控制红线管理，完善行政区域用水效率考核体系和区域及重点工业行业、服务业用水效率控制标准、考核办法，加强用水定额管理和节水考核。建立健全有利于节约用水的体制机制，鼓励工业企业、公共用水机构、高耗水服务业企业进行节水技术改造，提升全区用水效率。</w:t>
      </w:r>
    </w:p>
    <w:p w14:paraId="11204E7C">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黑体_GBK" w:cs="Times New Roman"/>
          <w:color w:val="000000"/>
          <w:sz w:val="32"/>
          <w:szCs w:val="32"/>
          <w:lang w:val="zh-TW" w:eastAsia="zh-CN"/>
        </w:rPr>
      </w:pPr>
      <w:bookmarkStart w:id="16" w:name="_Hlk165747661"/>
      <w:r>
        <w:rPr>
          <w:rFonts w:hint="default" w:ascii="Times New Roman" w:hAnsi="Times New Roman" w:eastAsia="方正仿宋_GBK" w:cs="Times New Roman"/>
          <w:b/>
          <w:bCs/>
          <w:snapToGrid w:val="0"/>
          <w:color w:val="000000"/>
          <w:kern w:val="0"/>
          <w:sz w:val="32"/>
          <w:szCs w:val="32"/>
          <w:lang w:val="en-US" w:eastAsia="zh-CN" w:bidi="ar-SA"/>
        </w:rPr>
        <w:t>物流体系绿色低碳</w:t>
      </w:r>
      <w:bookmarkEnd w:id="16"/>
      <w:r>
        <w:rPr>
          <w:rFonts w:hint="default" w:ascii="Times New Roman" w:hAnsi="Times New Roman" w:eastAsia="方正仿宋_GBK" w:cs="Times New Roman"/>
          <w:snapToGrid w:val="0"/>
          <w:color w:val="000000"/>
          <w:kern w:val="0"/>
          <w:sz w:val="32"/>
          <w:szCs w:val="32"/>
          <w:lang w:val="en-US" w:eastAsia="zh-CN" w:bidi="ar-SA"/>
        </w:rPr>
        <w:t>。依托南京市国家物流枢纽建设，落实流通领域节能环保技术产品推广目录，建立绿色物流体系。将生态优先、绿色低碳理念贯穿交通基础设施规划、设计、建设、管理、运营和维护全过程。发展城市绿色货运配送，统筹规划配送网络，推进货运配送全链条信息交互共享，大力发展共同配送、统一配送、分时配送等集约化配送模式。推动新能源、清洁能源、可再生合成燃料在交通运输领域的应用，推广应用新能源、智能化、数字化、轻量化交通装备。严格执行营运车辆燃料消耗限值标准和碳排放限值标准、机动车辆污染物排放限值标准。推进数字化、智能化改造和跨界融合，大力发展智慧物流，加快建设智能化仓储设施，推动冷链物流体系发展。</w:t>
      </w:r>
    </w:p>
    <w:p w14:paraId="6668BD14">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sz w:val="32"/>
          <w:szCs w:val="32"/>
          <w:highlight w:val="none"/>
          <w:lang w:eastAsia="zh-CN"/>
        </w:rPr>
        <w:t>四</w:t>
      </w:r>
      <w:r>
        <w:rPr>
          <w:rFonts w:hint="default" w:ascii="Times New Roman" w:hAnsi="Times New Roman" w:eastAsia="方正黑体_GBK" w:cs="Times New Roman"/>
          <w:sz w:val="32"/>
          <w:szCs w:val="32"/>
          <w:highlight w:val="none"/>
        </w:rPr>
        <w:t>、聚焦重点领域，构建资源循环利用体系</w:t>
      </w:r>
    </w:p>
    <w:p w14:paraId="03D7079B">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r>
        <w:rPr>
          <w:rFonts w:hint="default" w:ascii="Times New Roman" w:hAnsi="Times New Roman" w:eastAsia="方正仿宋_GBK" w:cs="Times New Roman"/>
          <w:b/>
          <w:bCs/>
          <w:sz w:val="32"/>
          <w:szCs w:val="32"/>
          <w:highlight w:val="none"/>
          <w:lang w:val="en-US" w:eastAsia="zh-CN"/>
        </w:rPr>
        <w:t>（一）推动工业绿色循环化发展</w:t>
      </w:r>
    </w:p>
    <w:p w14:paraId="372AD866">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引导支持行业龙头骨干企业提升绿色化、数字化、智能化水平，鼓励存量都市工业企业加大技术改造和“智改数转”投入力度，专注提升绿色创新能力，全面推行清洁生产，推广产品绿色设计，建设绿色制造体系，实施绿色供应链管理，加快建设绿色工厂。加快绿色园区建设，推进园区循环化改造，推动园区企业循环式生产、产业循环式组合，提高园区资源产出率和绿色化水平。</w:t>
      </w:r>
    </w:p>
    <w:p w14:paraId="3EBD589B">
      <w:pPr>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r>
        <w:rPr>
          <w:rFonts w:hint="default" w:ascii="Times New Roman" w:hAnsi="Times New Roman" w:eastAsia="方正仿宋_GBK" w:cs="Times New Roman"/>
          <w:b/>
          <w:bCs/>
          <w:snapToGrid w:val="0"/>
          <w:kern w:val="0"/>
          <w:sz w:val="32"/>
          <w:szCs w:val="32"/>
          <w:highlight w:val="none"/>
          <w:lang w:val="en-US" w:eastAsia="zh-CN" w:bidi="ar-SA"/>
        </w:rPr>
        <w:t>（二）构建循环型绿色服务体系</w:t>
      </w:r>
    </w:p>
    <w:p w14:paraId="1C4DF278">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推进废旧物资循环利用</w:t>
      </w:r>
      <w:r>
        <w:rPr>
          <w:rFonts w:hint="default" w:ascii="Times New Roman" w:hAnsi="Times New Roman" w:eastAsia="方正仿宋_GBK" w:cs="Times New Roman"/>
          <w:snapToGrid w:val="0"/>
          <w:color w:val="000000"/>
          <w:kern w:val="0"/>
          <w:sz w:val="32"/>
          <w:szCs w:val="32"/>
          <w:lang w:val="en-US" w:eastAsia="zh-CN" w:bidi="ar-SA"/>
        </w:rPr>
        <w:t>。</w:t>
      </w:r>
      <w:bookmarkStart w:id="17" w:name="_Hlk165747750"/>
      <w:r>
        <w:rPr>
          <w:rFonts w:hint="default" w:ascii="Times New Roman" w:hAnsi="Times New Roman" w:eastAsia="方正仿宋_GBK" w:cs="Times New Roman"/>
          <w:snapToGrid w:val="0"/>
          <w:color w:val="000000"/>
          <w:kern w:val="0"/>
          <w:sz w:val="32"/>
          <w:szCs w:val="32"/>
          <w:lang w:val="en-US" w:eastAsia="zh-CN" w:bidi="ar-SA"/>
        </w:rPr>
        <w:t>统筹国有经营性资产资源，整合行政事业单位资产资源，通过调剂共享、出租或处置等方式，盘活行政事业单位低效闲置房屋、土地、车辆、大型仪器设备等存量资产资源，对符合条件的既有旅游酒店、仓储物流设施、高速服务区周边等存量资源可纳入“平急两用”公共基础设施储备、建设及改造范畴（“平时”用于旅游、康养、休闲及物流等，“急时”可满足应急隔离、临时安置、物资保障等需求），全面提升资产资源配置效益。</w:t>
      </w:r>
      <w:bookmarkEnd w:id="17"/>
      <w:r>
        <w:rPr>
          <w:rFonts w:hint="default" w:ascii="Times New Roman" w:hAnsi="Times New Roman" w:eastAsia="方正仿宋_GBK" w:cs="Times New Roman"/>
          <w:snapToGrid w:val="0"/>
          <w:color w:val="000000"/>
          <w:kern w:val="0"/>
          <w:sz w:val="32"/>
          <w:szCs w:val="32"/>
          <w:lang w:val="en-US" w:eastAsia="zh-CN" w:bidi="ar-SA"/>
        </w:rPr>
        <w:t>大力推进居民家庭闲置物品的二手交易与流通，推动废旧物资循环利用。引导二手商品交易，规范建设线下实体二手市场，利用群众性休闲场所、公益场地开展“跳蚤市场”、旧书交换、二手商品捐物换礼等活动。鼓励发展线上“互联网+二手”模式，实现二手商品交易信息化、智能化、低碳化。</w:t>
      </w:r>
    </w:p>
    <w:p w14:paraId="32F8CD05">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加强再生资源回收利用</w:t>
      </w:r>
      <w:r>
        <w:rPr>
          <w:rFonts w:hint="default" w:ascii="Times New Roman" w:hAnsi="Times New Roman" w:eastAsia="方正仿宋_GBK" w:cs="Times New Roman"/>
          <w:snapToGrid w:val="0"/>
          <w:color w:val="000000"/>
          <w:kern w:val="0"/>
          <w:sz w:val="32"/>
          <w:szCs w:val="32"/>
          <w:lang w:val="en-US" w:eastAsia="zh-CN" w:bidi="ar-SA"/>
        </w:rPr>
        <w:t>。加强废纸、废塑料、废旧轮胎、废金属、废玻璃等再生资源回收利用，提升资源产出率和回收利用率。加强对再生资源回收加工利用行业的提质改造和环境监管，促进再生资源产业集聚发展，有序挖掘“城市矿产”资源价值。</w:t>
      </w:r>
    </w:p>
    <w:p w14:paraId="40A582FA">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推进建筑垃圾综合利用</w:t>
      </w:r>
      <w:r>
        <w:rPr>
          <w:rFonts w:hint="default" w:ascii="Times New Roman" w:hAnsi="Times New Roman" w:eastAsia="方正仿宋_GBK" w:cs="Times New Roman"/>
          <w:snapToGrid w:val="0"/>
          <w:color w:val="000000"/>
          <w:kern w:val="0"/>
          <w:sz w:val="32"/>
          <w:szCs w:val="32"/>
          <w:lang w:val="en-US" w:eastAsia="zh-CN" w:bidi="ar-SA"/>
        </w:rPr>
        <w:t>。健全建筑垃圾治理体系，实行政府主导、市场运作、循环利用模式，加强建筑垃圾收集、运输、利用和处置管理，合理布局转运调配、资源化利用和消纳处置设施。推动建筑垃圾源头减量，落实建设单位建筑垃圾减量化主体责任，将建筑垃圾减量化措施费纳入工程概算，采用绿色设计、绿色施工等措施，减少建筑垃圾产生、排放。推进装修垃圾按照用途分类处置，可资源化利用的装饰装修垃圾须运送至在南京市建委许可报备的资源化利用企业或工程回填项目进行处理。</w:t>
      </w:r>
    </w:p>
    <w:p w14:paraId="498D0662">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黑体_GBK" w:cs="Times New Roman"/>
          <w:color w:val="000000"/>
          <w:sz w:val="32"/>
          <w:szCs w:val="32"/>
          <w:lang w:val="zh-TW" w:eastAsia="zh-CN"/>
        </w:rPr>
      </w:pPr>
      <w:r>
        <w:rPr>
          <w:rFonts w:hint="default" w:ascii="Times New Roman" w:hAnsi="Times New Roman" w:eastAsia="方正仿宋_GBK" w:cs="Times New Roman"/>
          <w:b/>
          <w:bCs/>
          <w:snapToGrid w:val="0"/>
          <w:color w:val="000000"/>
          <w:kern w:val="0"/>
          <w:sz w:val="32"/>
          <w:szCs w:val="32"/>
          <w:lang w:val="en-US" w:eastAsia="zh-CN" w:bidi="ar-SA"/>
        </w:rPr>
        <w:t>拓展市政污泥及绿化废弃物利用途径</w:t>
      </w:r>
      <w:r>
        <w:rPr>
          <w:rFonts w:hint="default" w:ascii="Times New Roman" w:hAnsi="Times New Roman" w:eastAsia="方正仿宋_GBK" w:cs="Times New Roman"/>
          <w:snapToGrid w:val="0"/>
          <w:color w:val="000000"/>
          <w:kern w:val="0"/>
          <w:sz w:val="32"/>
          <w:szCs w:val="32"/>
          <w:lang w:val="en-US" w:eastAsia="zh-CN" w:bidi="ar-SA"/>
        </w:rPr>
        <w:t>。探索污泥利用处置途径，鼓励将市政污泥经厌氧消化或好氧发酵处理达标后作为肥料或土壤改良剂，用于国土绿化、园林建设、废弃矿场等。依托城南园林垃圾处理厂，规范区内公园绿地、道路绿化、居民小区、企事业单位等所有产生的园林绿化废弃物的处置，提升资源化利用水平。提高园林绿化垃圾资源化再生产品附加值，研究再生产品推广应用相关政策，积极探索在生物有机肥、有机覆盖物等方面的应用，提升园林绿化垃圾资源化利用率。</w:t>
      </w:r>
    </w:p>
    <w:p w14:paraId="72123C05">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3EA0769B">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48E0A996">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6AD61F0F">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11509A50">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1F315FB3">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7BCF5425">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3299FA67">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27A7D9F6">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2E771706">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45D64B2C">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22DE33AB">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03ABD474">
      <w:pPr>
        <w:pStyle w:val="12"/>
        <w:spacing w:before="327" w:beforeLines="100" w:after="327" w:afterLines="100" w:line="578" w:lineRule="exact"/>
        <w:ind w:left="0" w:leftChars="0" w:firstLine="0" w:firstLineChars="0"/>
        <w:jc w:val="center"/>
        <w:rPr>
          <w:rFonts w:hint="default" w:ascii="Times New Roman" w:hAnsi="Times New Roman" w:eastAsia="方正黑体_GBK" w:cs="Times New Roman"/>
          <w:sz w:val="36"/>
          <w:szCs w:val="36"/>
          <w:highlight w:val="none"/>
          <w:lang w:eastAsia="zh-CN"/>
        </w:rPr>
      </w:pPr>
      <w:r>
        <w:rPr>
          <w:rFonts w:hint="default" w:ascii="Times New Roman" w:hAnsi="Times New Roman" w:eastAsia="方正黑体_GBK" w:cs="Times New Roman"/>
          <w:sz w:val="36"/>
          <w:szCs w:val="36"/>
          <w:highlight w:val="none"/>
        </w:rPr>
        <w:t>第</w:t>
      </w:r>
      <w:r>
        <w:rPr>
          <w:rFonts w:hint="default" w:ascii="Times New Roman" w:hAnsi="Times New Roman" w:eastAsia="方正黑体_GBK" w:cs="Times New Roman"/>
          <w:sz w:val="36"/>
          <w:szCs w:val="36"/>
          <w:highlight w:val="none"/>
          <w:lang w:eastAsia="zh-CN"/>
        </w:rPr>
        <w:t>六章</w:t>
      </w:r>
      <w:r>
        <w:rPr>
          <w:rFonts w:hint="default" w:ascii="Times New Roman" w:hAnsi="Times New Roman" w:eastAsia="方正黑体_GBK" w:cs="Times New Roman"/>
          <w:sz w:val="36"/>
          <w:szCs w:val="36"/>
          <w:highlight w:val="none"/>
        </w:rPr>
        <w:t xml:space="preserve">  构建健康文明的生态文化体系</w:t>
      </w:r>
    </w:p>
    <w:p w14:paraId="39FF1EF8">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highlight w:val="none"/>
          <w:lang w:eastAsia="zh-CN"/>
        </w:rPr>
      </w:pPr>
      <w:r>
        <w:rPr>
          <w:rFonts w:hint="default" w:ascii="Times New Roman" w:hAnsi="Times New Roman" w:eastAsia="方正黑体_GBK" w:cs="Times New Roman"/>
          <w:sz w:val="32"/>
          <w:szCs w:val="32"/>
          <w:highlight w:val="none"/>
        </w:rPr>
        <w:t>一、践行绿色低碳生活方式</w:t>
      </w:r>
    </w:p>
    <w:p w14:paraId="4611E76C">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r>
        <w:rPr>
          <w:rFonts w:hint="default" w:ascii="Times New Roman" w:hAnsi="Times New Roman" w:eastAsia="方正仿宋_GBK" w:cs="Times New Roman"/>
          <w:b/>
          <w:bCs/>
          <w:sz w:val="32"/>
          <w:szCs w:val="32"/>
          <w:highlight w:val="none"/>
          <w:lang w:val="en-US" w:eastAsia="zh-CN"/>
        </w:rPr>
        <w:t>（一）积极倡导绿色低碳生活方式</w:t>
      </w:r>
    </w:p>
    <w:p w14:paraId="076145D2">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倡导绿色消费习惯</w:t>
      </w:r>
      <w:r>
        <w:rPr>
          <w:rFonts w:hint="default" w:ascii="Times New Roman" w:hAnsi="Times New Roman" w:eastAsia="方正仿宋_GBK" w:cs="Times New Roman"/>
          <w:snapToGrid w:val="0"/>
          <w:color w:val="000000"/>
          <w:kern w:val="0"/>
          <w:sz w:val="32"/>
          <w:szCs w:val="32"/>
          <w:lang w:val="en-US" w:eastAsia="zh-CN" w:bidi="ar-SA"/>
        </w:rPr>
        <w:t>。严格执行国家关于限制过度包装的强制性标准，鼓励使用环保包装材料，促进包装材料回收利用。深入推进限塑工作，禁止或限制部分一次性用品的生产、销售和使用，推广可降解塑料袋或重复利用的布袋或纸袋。鼓励餐饮行业减少提供一次性餐具、更多提供可降解打包盒；旅游、住宿等行业推行不主动提供一次性用品，确保一次性消费品人均使用量逐年下降。</w:t>
      </w:r>
    </w:p>
    <w:p w14:paraId="3EC1DF51">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提倡绿色出行方式</w:t>
      </w:r>
      <w:r>
        <w:rPr>
          <w:rFonts w:hint="default" w:ascii="Times New Roman" w:hAnsi="Times New Roman" w:eastAsia="方正仿宋_GBK" w:cs="Times New Roman"/>
          <w:snapToGrid w:val="0"/>
          <w:color w:val="000000"/>
          <w:kern w:val="0"/>
          <w:sz w:val="32"/>
          <w:szCs w:val="32"/>
          <w:lang w:val="en-US" w:eastAsia="zh-CN" w:bidi="ar-SA"/>
        </w:rPr>
        <w:t>。提倡公众上下班尽量采用骑自行车、步行或乘坐公共交通工具等方式。鼓励购车者优先选择燃油经济性较高、符合排放标准的车辆。加强公交绿色出行、文明出行的宣传引导，开展“公交出行周”“世界无车日”等活动，让“优选公交、绿色出行”理念深入人心。</w:t>
      </w:r>
    </w:p>
    <w:p w14:paraId="08F40BCE">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加强垃圾分类宣传引导</w:t>
      </w:r>
      <w:r>
        <w:rPr>
          <w:rFonts w:hint="default" w:ascii="Times New Roman" w:hAnsi="Times New Roman" w:eastAsia="方正仿宋_GBK" w:cs="Times New Roman"/>
          <w:snapToGrid w:val="0"/>
          <w:color w:val="000000"/>
          <w:kern w:val="0"/>
          <w:sz w:val="32"/>
          <w:szCs w:val="32"/>
          <w:lang w:val="en-US" w:eastAsia="zh-CN" w:bidi="ar-SA"/>
        </w:rPr>
        <w:t>。加大垃圾分类宣传引导力度，加强“秦分类”志愿者品牌队伍建设，开展课堂微宣讲、社区微宣传、桶边邻指导和上门微行动等活动。依托课堂教学、学校团组织等，开展垃圾分类进校园、进课堂、进家庭等活动。拓展宣传渠道，创新宣传方式，增加生活垃圾分类宣传报道频次，组织开展群众喜闻乐见、形式多样的主题宣传活动，保持全覆盖、高频次宣传态势。</w:t>
      </w:r>
    </w:p>
    <w:p w14:paraId="7FF561EA">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加大政府绿色采购力度</w:t>
      </w:r>
      <w:r>
        <w:rPr>
          <w:rFonts w:hint="default" w:ascii="Times New Roman" w:hAnsi="Times New Roman" w:eastAsia="方正仿宋_GBK" w:cs="Times New Roman"/>
          <w:snapToGrid w:val="0"/>
          <w:color w:val="000000"/>
          <w:kern w:val="0"/>
          <w:sz w:val="32"/>
          <w:szCs w:val="32"/>
          <w:lang w:val="en-US" w:eastAsia="zh-CN" w:bidi="ar-SA"/>
        </w:rPr>
        <w:t>。落实政府绿色采购制度，采购管理单位和实施机构根据节能产品政府采购政策及国家有关规定，对节能环保产品实行优先采购。加强节能产品政府采购管理，健全节能环保产品政府采购评审体系和监督制度。加大对共性关键绿色技术、节能和环境标志产品的采购力度，对空调、计算机、打印机、照明产品、用水器具等办公设备产品，应当依法优先采购或者强制采购高效节能环保产品。</w:t>
      </w:r>
    </w:p>
    <w:p w14:paraId="2F8B6643">
      <w:pPr>
        <w:keepNext w:val="0"/>
        <w:keepLines w:val="0"/>
        <w:pageBreakBefore w:val="0"/>
        <w:widowControl w:val="0"/>
        <w:kinsoku/>
        <w:wordWrap/>
        <w:overflowPunct/>
        <w:topLinePunct w:val="0"/>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r>
        <w:rPr>
          <w:rFonts w:hint="default" w:ascii="Times New Roman" w:hAnsi="Times New Roman" w:eastAsia="方正仿宋_GBK" w:cs="Times New Roman"/>
          <w:b/>
          <w:bCs/>
          <w:snapToGrid w:val="0"/>
          <w:kern w:val="0"/>
          <w:sz w:val="32"/>
          <w:szCs w:val="32"/>
          <w:highlight w:val="none"/>
          <w:lang w:val="en-US" w:eastAsia="zh-CN" w:bidi="ar-SA"/>
        </w:rPr>
        <w:t>（二）加强绿色节能推广示范</w:t>
      </w:r>
    </w:p>
    <w:p w14:paraId="2A5A9443">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仿宋_GBK" w:cs="Times New Roman"/>
          <w:snapToGrid w:val="0"/>
          <w:color w:val="000000"/>
          <w:kern w:val="0"/>
          <w:sz w:val="32"/>
          <w:szCs w:val="32"/>
          <w:lang w:val="zh-TW" w:eastAsia="zh-CN" w:bidi="ar-SA"/>
        </w:rPr>
      </w:pPr>
      <w:r>
        <w:rPr>
          <w:rFonts w:hint="default" w:ascii="Times New Roman" w:hAnsi="Times New Roman" w:eastAsia="方正仿宋_GBK" w:cs="Times New Roman"/>
          <w:snapToGrid w:val="0"/>
          <w:color w:val="000000"/>
          <w:kern w:val="0"/>
          <w:sz w:val="32"/>
          <w:szCs w:val="32"/>
          <w:lang w:val="en-US" w:eastAsia="zh-CN" w:bidi="ar-SA"/>
        </w:rPr>
        <w:t>以南部新城“零碳未来城”建设和城市更新推动既有建筑绿色化改造为重点，在南部新城全面普及绿色低碳建筑，推动绿色建筑加装配式建筑、BIM技术应用、健康建筑、海绵城市、智慧建筑等综合示范，同时把低碳绿色理念融入城市更新中，严格控制大规模拆除、大规模增建、大规模搬迁，注重更新品质，保护历史文化，实现高质量发展。加强建筑能效测评、建筑垃圾资源化利用等工作，强化绿色设计、绿色施工、绿色运营、减碳降耗等全过程监管。开展绿建节能相关宣传培训，加强专业人才队伍建设，提高城市建设绿色发展能力和水平。</w:t>
      </w:r>
    </w:p>
    <w:p w14:paraId="52848769">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highlight w:val="none"/>
          <w:lang w:eastAsia="zh-CN"/>
        </w:rPr>
      </w:pPr>
      <w:r>
        <w:rPr>
          <w:rFonts w:hint="default" w:ascii="Times New Roman" w:hAnsi="Times New Roman" w:eastAsia="方正黑体_GBK" w:cs="Times New Roman"/>
          <w:sz w:val="32"/>
          <w:szCs w:val="32"/>
          <w:highlight w:val="none"/>
          <w:lang w:eastAsia="zh-CN"/>
        </w:rPr>
        <w:t>二</w:t>
      </w:r>
      <w:r>
        <w:rPr>
          <w:rFonts w:hint="default" w:ascii="Times New Roman" w:hAnsi="Times New Roman" w:eastAsia="方正黑体_GBK" w:cs="Times New Roman"/>
          <w:sz w:val="32"/>
          <w:szCs w:val="32"/>
          <w:highlight w:val="none"/>
        </w:rPr>
        <w:t>、推进生态文化载体建设</w:t>
      </w:r>
    </w:p>
    <w:p w14:paraId="79310CCA">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r>
        <w:rPr>
          <w:rFonts w:hint="default" w:ascii="Times New Roman" w:hAnsi="Times New Roman" w:eastAsia="方正仿宋_GBK" w:cs="Times New Roman"/>
          <w:b/>
          <w:bCs/>
          <w:sz w:val="32"/>
          <w:szCs w:val="32"/>
          <w:highlight w:val="none"/>
          <w:lang w:val="en-US" w:eastAsia="zh-CN"/>
        </w:rPr>
        <w:t>（一）加强历史文化遗产保护</w:t>
      </w:r>
    </w:p>
    <w:p w14:paraId="6AC89467">
      <w:pPr>
        <w:pStyle w:val="29"/>
        <w:keepNext w:val="0"/>
        <w:keepLines w:val="0"/>
        <w:pageBreakBefore w:val="0"/>
        <w:widowControl w:val="0"/>
        <w:kinsoku/>
        <w:wordWrap/>
        <w:overflowPunct/>
        <w:topLinePunct w:val="0"/>
        <w:bidi w:val="0"/>
        <w:adjustRightInd w:val="0"/>
        <w:snapToGrid w:val="0"/>
        <w:spacing w:line="560" w:lineRule="exact"/>
        <w:ind w:firstLine="561"/>
        <w:jc w:val="both"/>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传承秦淮千年水文脉</w:t>
      </w:r>
      <w:r>
        <w:rPr>
          <w:rFonts w:hint="default" w:ascii="Times New Roman" w:hAnsi="Times New Roman" w:eastAsia="方正仿宋_GBK" w:cs="Times New Roman"/>
          <w:snapToGrid w:val="0"/>
          <w:color w:val="000000"/>
          <w:kern w:val="0"/>
          <w:sz w:val="32"/>
          <w:szCs w:val="32"/>
          <w:lang w:val="en-US" w:eastAsia="zh-CN" w:bidi="ar-SA"/>
        </w:rPr>
        <w:t>。进一步挖掘外秦淮河、内秦淮河、玉带河等河道沿线文化元素，开展水文化专题研究，提炼历史文化内涵。以内秦淮河流域为水文化展现舞台，聚焦文商旅产业融合和体验内涵升级，丰富“十里秦淮”IP水岸互动场景，展示沿岸文化魅力，打造高质量、高品位的内秦淮河城市水名片。</w:t>
      </w:r>
    </w:p>
    <w:p w14:paraId="1BE86F6C">
      <w:pPr>
        <w:pStyle w:val="29"/>
        <w:keepNext w:val="0"/>
        <w:keepLines w:val="0"/>
        <w:pageBreakBefore w:val="0"/>
        <w:widowControl w:val="0"/>
        <w:kinsoku/>
        <w:wordWrap/>
        <w:overflowPunct/>
        <w:topLinePunct w:val="0"/>
        <w:bidi w:val="0"/>
        <w:adjustRightInd w:val="0"/>
        <w:snapToGrid w:val="0"/>
        <w:spacing w:line="560" w:lineRule="exact"/>
        <w:ind w:firstLine="643" w:firstLineChars="200"/>
        <w:jc w:val="both"/>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加强历史文化遗产保护</w:t>
      </w:r>
      <w:r>
        <w:rPr>
          <w:rFonts w:hint="default" w:ascii="Times New Roman" w:hAnsi="Times New Roman" w:eastAsia="方正仿宋_GBK" w:cs="Times New Roman"/>
          <w:snapToGrid w:val="0"/>
          <w:color w:val="000000"/>
          <w:kern w:val="0"/>
          <w:sz w:val="32"/>
          <w:szCs w:val="32"/>
          <w:lang w:val="en-US" w:eastAsia="zh-CN" w:bidi="ar-SA"/>
        </w:rPr>
        <w:t>。构建“点、线、面”相结合的三级保护体系，制定文化遗产活化利用专项方案。加强长江支流秦淮河、西街越城遗址、古长干里文化遗产、窨子山古文化遗址以及重大地标等方面的资源调查和文明探源。推动文物建筑活化利用，完成周处读书台、曾国葆祠堂等文物修缮项目。</w:t>
      </w:r>
    </w:p>
    <w:p w14:paraId="172A8E15">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r>
        <w:rPr>
          <w:rFonts w:hint="default" w:ascii="Times New Roman" w:hAnsi="Times New Roman" w:eastAsia="方正仿宋_GBK" w:cs="Times New Roman"/>
          <w:b/>
          <w:bCs/>
          <w:snapToGrid w:val="0"/>
          <w:color w:val="000000"/>
          <w:kern w:val="0"/>
          <w:sz w:val="32"/>
          <w:szCs w:val="32"/>
          <w:lang w:val="en-US" w:eastAsia="zh-CN" w:bidi="ar-SA"/>
        </w:rPr>
        <w:t>推进非遗保护传承</w:t>
      </w:r>
      <w:r>
        <w:rPr>
          <w:rFonts w:hint="default" w:ascii="Times New Roman" w:hAnsi="Times New Roman" w:eastAsia="方正仿宋_GBK" w:cs="Times New Roman"/>
          <w:snapToGrid w:val="0"/>
          <w:color w:val="000000"/>
          <w:kern w:val="0"/>
          <w:sz w:val="32"/>
          <w:szCs w:val="32"/>
          <w:lang w:val="en-US" w:eastAsia="zh-CN" w:bidi="ar-SA"/>
        </w:rPr>
        <w:t>。鼓励开发金陵刻经、金银细工、秦淮灯彩等重点非遗产品，建设“文房四宝”一条街，打造“秦淮非遗游”新名片。推进传统医药技艺与医、养、药有效融合，支持市中医院“金陵医派”非遗文化梳理研究和非遗康养等项目建设。完善非物质文化遗产传承人保护制度，参照科技人才制定相关政策。深化非遗特色校园工作，开展非遗“童眼”系列活动。推动非遗数字化保护工程，建立重点濒危项目可视监控体系，建成秦淮文化遗产标本库。扩展无限定空间非遗进景区入选项目，创建国家非物质文化遗产展示展销基地。</w:t>
      </w:r>
    </w:p>
    <w:p w14:paraId="05E373B1">
      <w:pPr>
        <w:keepNext w:val="0"/>
        <w:keepLines w:val="0"/>
        <w:pageBreakBefore w:val="0"/>
        <w:widowControl w:val="0"/>
        <w:kinsoku/>
        <w:wordWrap/>
        <w:overflowPunct/>
        <w:topLinePunct w:val="0"/>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bookmarkStart w:id="18" w:name="_Toc162190492"/>
      <w:r>
        <w:rPr>
          <w:rFonts w:hint="default" w:ascii="Times New Roman" w:hAnsi="Times New Roman" w:eastAsia="方正仿宋_GBK" w:cs="Times New Roman"/>
          <w:b/>
          <w:bCs/>
          <w:snapToGrid w:val="0"/>
          <w:kern w:val="0"/>
          <w:sz w:val="32"/>
          <w:szCs w:val="32"/>
          <w:highlight w:val="none"/>
          <w:lang w:val="en-US" w:eastAsia="zh-CN" w:bidi="ar-SA"/>
        </w:rPr>
        <w:t>（二）完善生态文化基础设施</w:t>
      </w:r>
      <w:bookmarkEnd w:id="18"/>
    </w:p>
    <w:p w14:paraId="3BD97DFC">
      <w:pPr>
        <w:keepNext w:val="0"/>
        <w:keepLines w:val="0"/>
        <w:pageBreakBefore w:val="0"/>
        <w:widowControl w:val="0"/>
        <w:kinsoku/>
        <w:wordWrap/>
        <w:overflowPunct/>
        <w:topLinePunct w:val="0"/>
        <w:bidi w:val="0"/>
        <w:adjustRightInd w:val="0"/>
        <w:snapToGrid w:val="0"/>
        <w:spacing w:before="163" w:beforeLines="50" w:line="56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构建覆盖全域、结构合理、功能健全、实用高效、多元参与的公共文化设施网络，完善区、街道、社区三级基层文化阵地，树立一批基层综合文化服务中心示范点。推动南部新城艺术中心规划，高标准建设LG社区服务中心、南部新城社区服务中心。推进线上生态文化宣传教育载体建设，在历史遗迹区、生态旅游景区等建设生态科普教育基地或生态文化展示、体验、教育平台。</w:t>
      </w:r>
    </w:p>
    <w:p w14:paraId="79B825E1">
      <w:pPr>
        <w:keepNext w:val="0"/>
        <w:keepLines w:val="0"/>
        <w:pageBreakBefore w:val="0"/>
        <w:widowControl w:val="0"/>
        <w:kinsoku/>
        <w:wordWrap/>
        <w:overflowPunct/>
        <w:topLinePunct w:val="0"/>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bookmarkStart w:id="19" w:name="_Toc162190493"/>
      <w:r>
        <w:rPr>
          <w:rFonts w:hint="default" w:ascii="Times New Roman" w:hAnsi="Times New Roman" w:eastAsia="方正仿宋_GBK" w:cs="Times New Roman"/>
          <w:b/>
          <w:bCs/>
          <w:snapToGrid w:val="0"/>
          <w:kern w:val="0"/>
          <w:sz w:val="32"/>
          <w:szCs w:val="32"/>
          <w:highlight w:val="none"/>
          <w:lang w:val="en-US" w:eastAsia="zh-CN" w:bidi="ar-SA"/>
        </w:rPr>
        <w:t>（三）丰富生态文化产品供给</w:t>
      </w:r>
      <w:bookmarkEnd w:id="19"/>
    </w:p>
    <w:p w14:paraId="77B3871A">
      <w:pPr>
        <w:keepNext w:val="0"/>
        <w:keepLines w:val="0"/>
        <w:pageBreakBefore w:val="0"/>
        <w:widowControl w:val="0"/>
        <w:kinsoku/>
        <w:wordWrap/>
        <w:overflowPunct/>
        <w:topLinePunct w:val="0"/>
        <w:bidi w:val="0"/>
        <w:adjustRightInd w:val="0"/>
        <w:snapToGrid w:val="0"/>
        <w:spacing w:before="163" w:beforeLines="50" w:line="56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以“秦淮故事”为主线，打造涵盖多个文学艺术门类、富有秦淮特色的文艺作品，建设文艺精品创作和转化高地。深化秦淮“四季歌”“游见秦淮”“岁时秦淮”等品牌活动，丰富活动形式和内容，推动文化活动进景区、进街区、进社区。围绕南京市群众文化“星辰奖”，加大文艺精品创作力度，创作一批反映基层生活、弘扬时代旋律、凝聚精神力量、群众喜闻乐见的优秀文艺作品。持续推进“双千计划”，组织开展“百场公益行”“精品进社区”等活动。加快“书香秦淮”建设，营造“多读书、读好书、好读书”的良好氛围。</w:t>
      </w:r>
    </w:p>
    <w:p w14:paraId="63B063C1">
      <w:pPr>
        <w:keepNext w:val="0"/>
        <w:keepLines w:val="0"/>
        <w:pageBreakBefore w:val="0"/>
        <w:widowControl w:val="0"/>
        <w:kinsoku/>
        <w:wordWrap/>
        <w:overflowPunct/>
        <w:topLinePunct w:val="0"/>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bookmarkStart w:id="20" w:name="_Toc162190494"/>
      <w:r>
        <w:rPr>
          <w:rFonts w:hint="default" w:ascii="Times New Roman" w:hAnsi="Times New Roman" w:eastAsia="方正仿宋_GBK" w:cs="Times New Roman"/>
          <w:b/>
          <w:bCs/>
          <w:snapToGrid w:val="0"/>
          <w:kern w:val="0"/>
          <w:sz w:val="32"/>
          <w:szCs w:val="32"/>
          <w:highlight w:val="none"/>
          <w:lang w:val="en-US" w:eastAsia="zh-CN" w:bidi="ar-SA"/>
        </w:rPr>
        <w:t>（四）筑牢网络宣传阵地</w:t>
      </w:r>
      <w:bookmarkEnd w:id="20"/>
    </w:p>
    <w:p w14:paraId="4D5677A5">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仿宋_GBK" w:cs="Times New Roman"/>
          <w:snapToGrid w:val="0"/>
          <w:color w:val="000000"/>
          <w:kern w:val="0"/>
          <w:sz w:val="32"/>
          <w:szCs w:val="32"/>
          <w:lang w:val="zh-TW" w:eastAsia="zh-CN" w:bidi="ar-SA"/>
        </w:rPr>
      </w:pPr>
      <w:r>
        <w:rPr>
          <w:rFonts w:hint="default" w:ascii="Times New Roman" w:hAnsi="Times New Roman" w:eastAsia="方正仿宋_GBK" w:cs="Times New Roman"/>
          <w:snapToGrid w:val="0"/>
          <w:color w:val="000000"/>
          <w:kern w:val="0"/>
          <w:sz w:val="32"/>
          <w:szCs w:val="32"/>
          <w:lang w:val="en-US" w:eastAsia="zh-CN" w:bidi="ar-SA"/>
        </w:rPr>
        <w:t>建立与央视、人民日报、新华社等中央媒体驻苏机构、头部网络平台的战略合作，在更大范围、更高平台讲好秦淮故事。加强网络新媒体与传统媒体的深度融合，充分发挥“央视新闻”等主流媒体宣传教育和“秦淮发布”融合引领作用，运用专版、专栏、专题的形式，加强对全区生态文明建设工作、成果、经验的宣传报道，推进全媒体生态文明宣传教育。强化网络新媒体应用，打造微信、抖音、网站等多维融合的生态文明建设宣传矩阵，切实加强生态文明建设网络宣传。</w:t>
      </w:r>
    </w:p>
    <w:p w14:paraId="6C507115">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highlight w:val="none"/>
          <w:lang w:eastAsia="zh-CN"/>
        </w:rPr>
      </w:pPr>
      <w:r>
        <w:rPr>
          <w:rFonts w:hint="default" w:ascii="Times New Roman" w:hAnsi="Times New Roman" w:eastAsia="方正黑体_GBK" w:cs="Times New Roman"/>
          <w:sz w:val="32"/>
          <w:szCs w:val="32"/>
          <w:highlight w:val="none"/>
          <w:lang w:eastAsia="zh-CN"/>
        </w:rPr>
        <w:t>三</w:t>
      </w:r>
      <w:r>
        <w:rPr>
          <w:rFonts w:hint="default" w:ascii="Times New Roman" w:hAnsi="Times New Roman" w:eastAsia="方正黑体_GBK" w:cs="Times New Roman"/>
          <w:sz w:val="32"/>
          <w:szCs w:val="32"/>
          <w:highlight w:val="none"/>
        </w:rPr>
        <w:t>、加强生态文明宣传教育</w:t>
      </w:r>
    </w:p>
    <w:p w14:paraId="5A5EC84B">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r>
        <w:rPr>
          <w:rFonts w:hint="default" w:ascii="Times New Roman" w:hAnsi="Times New Roman" w:eastAsia="方正仿宋_GBK" w:cs="Times New Roman"/>
          <w:b/>
          <w:bCs/>
          <w:sz w:val="32"/>
          <w:szCs w:val="32"/>
          <w:highlight w:val="none"/>
          <w:lang w:val="en-US" w:eastAsia="zh-CN"/>
        </w:rPr>
        <w:t>（一）强化家庭生态文明宣传教育</w:t>
      </w:r>
    </w:p>
    <w:p w14:paraId="5611CBA1">
      <w:pPr>
        <w:keepNext w:val="0"/>
        <w:keepLines w:val="0"/>
        <w:pageBreakBefore w:val="0"/>
        <w:widowControl w:val="0"/>
        <w:kinsoku/>
        <w:wordWrap/>
        <w:overflowPunct/>
        <w:topLinePunct w:val="0"/>
        <w:autoSpaceDE w:val="0"/>
        <w:autoSpaceDN w:val="0"/>
        <w:bidi w:val="0"/>
        <w:adjustRightInd w:val="0"/>
        <w:snapToGrid w:val="0"/>
        <w:spacing w:line="56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推进生态文明建设进家庭工作，培育以生态文明价值观为核心的新时代家风，引导家庭成员树立正确的生态文明理念，践行简约适度、绿色低碳、健康文明的生活方式。开展绿色家庭评选活动，带动更多家庭参与低碳行动，引领低碳新风尚。</w:t>
      </w:r>
    </w:p>
    <w:p w14:paraId="75312FAF">
      <w:pPr>
        <w:keepNext w:val="0"/>
        <w:keepLines w:val="0"/>
        <w:pageBreakBefore w:val="0"/>
        <w:widowControl w:val="0"/>
        <w:kinsoku/>
        <w:wordWrap/>
        <w:overflowPunct/>
        <w:topLinePunct w:val="0"/>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r>
        <w:rPr>
          <w:rFonts w:hint="default" w:ascii="Times New Roman" w:hAnsi="Times New Roman" w:eastAsia="方正仿宋_GBK" w:cs="Times New Roman"/>
          <w:b/>
          <w:bCs/>
          <w:snapToGrid w:val="0"/>
          <w:kern w:val="0"/>
          <w:sz w:val="32"/>
          <w:szCs w:val="32"/>
          <w:highlight w:val="none"/>
          <w:lang w:val="en-US" w:eastAsia="zh-CN" w:bidi="ar-SA"/>
        </w:rPr>
        <w:t>（二）增强党政机关生态文明宣传教育</w:t>
      </w:r>
    </w:p>
    <w:p w14:paraId="464C7E6A">
      <w:pPr>
        <w:keepNext w:val="0"/>
        <w:keepLines w:val="0"/>
        <w:pageBreakBefore w:val="0"/>
        <w:widowControl w:val="0"/>
        <w:kinsoku/>
        <w:wordWrap/>
        <w:overflowPunct/>
        <w:topLinePunct w:val="0"/>
        <w:autoSpaceDE w:val="0"/>
        <w:autoSpaceDN w:val="0"/>
        <w:bidi w:val="0"/>
        <w:adjustRightInd w:val="0"/>
        <w:snapToGrid w:val="0"/>
        <w:spacing w:line="56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将生态文明相关内容纳入党校主体班次教学内容，并逐步提高生态文明内容课程比重，常态化举办节能环保、垃圾分类等专题培训，提升领导干部生态文明建设素养和能力水平。依托区内高校教育资源，开展干部教育进高校专题系列培训，充分发挥高校服务社会发展的职能作用，为助力全区干部人才队伍建设、推动实施生态文明贡献智慧和力量。</w:t>
      </w:r>
    </w:p>
    <w:p w14:paraId="6191613B">
      <w:pPr>
        <w:keepNext w:val="0"/>
        <w:keepLines w:val="0"/>
        <w:pageBreakBefore w:val="0"/>
        <w:widowControl w:val="0"/>
        <w:kinsoku/>
        <w:wordWrap/>
        <w:overflowPunct/>
        <w:topLinePunct w:val="0"/>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bookmarkStart w:id="21" w:name="_Toc162190497"/>
      <w:r>
        <w:rPr>
          <w:rFonts w:hint="default" w:ascii="Times New Roman" w:hAnsi="Times New Roman" w:eastAsia="方正仿宋_GBK" w:cs="Times New Roman"/>
          <w:b/>
          <w:bCs/>
          <w:snapToGrid w:val="0"/>
          <w:kern w:val="0"/>
          <w:sz w:val="32"/>
          <w:szCs w:val="32"/>
          <w:highlight w:val="none"/>
          <w:lang w:val="en-US" w:eastAsia="zh-CN" w:bidi="ar-SA"/>
        </w:rPr>
        <w:t>（三）推进校园生态文明宣传教育</w:t>
      </w:r>
      <w:bookmarkEnd w:id="21"/>
    </w:p>
    <w:p w14:paraId="1EA11873">
      <w:pPr>
        <w:keepNext w:val="0"/>
        <w:keepLines w:val="0"/>
        <w:pageBreakBefore w:val="0"/>
        <w:widowControl w:val="0"/>
        <w:kinsoku/>
        <w:wordWrap/>
        <w:overflowPunct/>
        <w:topLinePunct w:val="0"/>
        <w:bidi w:val="0"/>
        <w:adjustRightInd w:val="0"/>
        <w:snapToGrid w:val="0"/>
        <w:spacing w:before="120" w:after="120" w:line="560" w:lineRule="exact"/>
        <w:ind w:firstLine="560"/>
        <w:textAlignment w:val="auto"/>
        <w:rPr>
          <w:rFonts w:hint="default" w:ascii="Times New Roman" w:hAnsi="Times New Roman" w:eastAsia="仿宋" w:cs="Times New Roman"/>
          <w:sz w:val="28"/>
          <w:szCs w:val="28"/>
          <w:lang w:bidi="ar"/>
        </w:rPr>
      </w:pPr>
      <w:r>
        <w:rPr>
          <w:rFonts w:hint="default" w:ascii="Times New Roman" w:hAnsi="Times New Roman" w:eastAsia="方正仿宋_GBK" w:cs="Times New Roman"/>
          <w:snapToGrid w:val="0"/>
          <w:color w:val="000000"/>
          <w:kern w:val="0"/>
          <w:sz w:val="32"/>
          <w:szCs w:val="32"/>
          <w:lang w:val="en-US" w:eastAsia="zh-CN" w:bidi="ar-SA"/>
        </w:rPr>
        <w:t>根据不同年龄段在校学生的心理特征，开展多种形式的生态文明教育，将生态文明建设纳入国民教育体系。定期组织开展环境公益活动，深入校园开展生态文明教育实践活动。鼓励学校师生积极参加与生态文明相关的活动，改善校园生态环境质量，将生态文明渗透到学生学习、生活中，在实践中提升生态文明意识。引导学生从身边事做起，宣传推介、鼓励实行绿色生活和绿色消费方式，普遍提高学生生态意识，努力培养具有生态环境保护知识和意识的一代新人。</w:t>
      </w:r>
    </w:p>
    <w:p w14:paraId="087D5086">
      <w:pPr>
        <w:keepNext w:val="0"/>
        <w:keepLines w:val="0"/>
        <w:pageBreakBefore w:val="0"/>
        <w:widowControl w:val="0"/>
        <w:kinsoku/>
        <w:wordWrap/>
        <w:overflowPunct/>
        <w:topLinePunct w:val="0"/>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bookmarkStart w:id="22" w:name="_Toc162190498"/>
      <w:r>
        <w:rPr>
          <w:rFonts w:hint="default" w:ascii="Times New Roman" w:hAnsi="Times New Roman" w:eastAsia="方正仿宋_GBK" w:cs="Times New Roman"/>
          <w:b/>
          <w:bCs/>
          <w:snapToGrid w:val="0"/>
          <w:kern w:val="0"/>
          <w:sz w:val="32"/>
          <w:szCs w:val="32"/>
          <w:highlight w:val="none"/>
          <w:lang w:val="en-US" w:eastAsia="zh-CN" w:bidi="ar-SA"/>
        </w:rPr>
        <w:t>（四）开展企业生态文明宣传教育</w:t>
      </w:r>
      <w:bookmarkEnd w:id="22"/>
    </w:p>
    <w:p w14:paraId="0128E6E8">
      <w:pPr>
        <w:keepNext w:val="0"/>
        <w:keepLines w:val="0"/>
        <w:pageBreakBefore w:val="0"/>
        <w:widowControl w:val="0"/>
        <w:kinsoku/>
        <w:wordWrap/>
        <w:overflowPunct/>
        <w:topLinePunct w:val="0"/>
        <w:bidi w:val="0"/>
        <w:adjustRightInd w:val="0"/>
        <w:snapToGrid w:val="0"/>
        <w:spacing w:before="120" w:after="120" w:line="560" w:lineRule="exact"/>
        <w:ind w:firstLine="560"/>
        <w:textAlignment w:val="auto"/>
        <w:rPr>
          <w:rFonts w:hint="default" w:ascii="Times New Roman" w:hAnsi="Times New Roman" w:eastAsia="仿宋" w:cs="Times New Roman"/>
          <w:sz w:val="28"/>
          <w:szCs w:val="28"/>
          <w:lang w:bidi="ar"/>
        </w:rPr>
      </w:pPr>
      <w:r>
        <w:rPr>
          <w:rFonts w:hint="default" w:ascii="Times New Roman" w:hAnsi="Times New Roman" w:eastAsia="方正仿宋_GBK" w:cs="Times New Roman"/>
          <w:snapToGrid w:val="0"/>
          <w:color w:val="000000"/>
          <w:kern w:val="0"/>
          <w:sz w:val="32"/>
          <w:szCs w:val="32"/>
          <w:lang w:val="en-US" w:eastAsia="zh-CN" w:bidi="ar-SA"/>
        </w:rPr>
        <w:t>强化企业生态文明建设的社会责任，重视企业文化建设中的生态文明理念培训，促进企业形成生态文明责任观。鼓励企业开办生态文明厂报、员工学习室、编制生态环境知识手册、设置生态环境宣传板报、横幅、举办大型环保公益活动等。结合企业实际情况，重点培训与企业节能减排、清洁生产相关的绿色环保技术和管理办法，使企业管理人员、技术人员能够及时发掘最新的环保技术，推动企业进行技术改造和创新。</w:t>
      </w:r>
    </w:p>
    <w:p w14:paraId="7D9E01B2">
      <w:pPr>
        <w:keepNext w:val="0"/>
        <w:keepLines w:val="0"/>
        <w:pageBreakBefore w:val="0"/>
        <w:widowControl w:val="0"/>
        <w:kinsoku/>
        <w:wordWrap/>
        <w:overflowPunct/>
        <w:topLinePunct w:val="0"/>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bookmarkStart w:id="23" w:name="_Toc162190499"/>
      <w:r>
        <w:rPr>
          <w:rFonts w:hint="default" w:ascii="Times New Roman" w:hAnsi="Times New Roman" w:eastAsia="方正仿宋_GBK" w:cs="Times New Roman"/>
          <w:b/>
          <w:bCs/>
          <w:snapToGrid w:val="0"/>
          <w:kern w:val="0"/>
          <w:sz w:val="32"/>
          <w:szCs w:val="32"/>
          <w:highlight w:val="none"/>
          <w:lang w:val="en-US" w:eastAsia="zh-CN" w:bidi="ar-SA"/>
        </w:rPr>
        <w:t>（五）加强社区生态文明宣传教育</w:t>
      </w:r>
      <w:bookmarkEnd w:id="23"/>
    </w:p>
    <w:p w14:paraId="23A14C69">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r>
        <w:rPr>
          <w:rFonts w:hint="default" w:ascii="Times New Roman" w:hAnsi="Times New Roman" w:eastAsia="方正仿宋_GBK" w:cs="Times New Roman"/>
          <w:snapToGrid w:val="0"/>
          <w:color w:val="000000"/>
          <w:kern w:val="0"/>
          <w:sz w:val="32"/>
          <w:szCs w:val="32"/>
          <w:lang w:val="en-US" w:eastAsia="zh-CN" w:bidi="ar-SA"/>
        </w:rPr>
        <w:t>推进社区生态文明建设宣传教育，制定相应的文明社区、绿色社区创建规划，邀请社区居民对文明社区创建建言献策。通过发放环保手册、开辟报纸专栏、举办社区生态文化展览、环保知识讲座和主题宣传活动等多种形式，强化社区生态文明教育。将家庭生态文明教育情况纳入评价标准，举办文明家庭、五好家庭、最美家庭等推选活动。通过向居民派发节水小用具、节能节水小窍门手册、环保手袋等方式，引导居民践行绿色低碳生活方式，提高生态文明意识。</w:t>
      </w:r>
    </w:p>
    <w:p w14:paraId="19BD5AF4">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highlight w:val="none"/>
          <w:lang w:eastAsia="zh-CN"/>
        </w:rPr>
      </w:pPr>
      <w:r>
        <w:rPr>
          <w:rFonts w:hint="default" w:ascii="Times New Roman" w:hAnsi="Times New Roman" w:eastAsia="方正黑体_GBK" w:cs="Times New Roman"/>
          <w:sz w:val="32"/>
          <w:szCs w:val="32"/>
          <w:highlight w:val="none"/>
          <w:lang w:eastAsia="zh-CN"/>
        </w:rPr>
        <w:t>四</w:t>
      </w:r>
      <w:r>
        <w:rPr>
          <w:rFonts w:hint="default" w:ascii="Times New Roman" w:hAnsi="Times New Roman" w:eastAsia="方正黑体_GBK" w:cs="Times New Roman"/>
          <w:sz w:val="32"/>
          <w:szCs w:val="32"/>
          <w:highlight w:val="none"/>
        </w:rPr>
        <w:t>、推进生态文明共建共享</w:t>
      </w:r>
    </w:p>
    <w:p w14:paraId="571A0CDD">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r>
        <w:rPr>
          <w:rFonts w:hint="default" w:ascii="Times New Roman" w:hAnsi="Times New Roman" w:eastAsia="方正仿宋_GBK" w:cs="Times New Roman"/>
          <w:b/>
          <w:bCs/>
          <w:sz w:val="32"/>
          <w:szCs w:val="32"/>
          <w:highlight w:val="none"/>
          <w:lang w:val="en-US" w:eastAsia="zh-CN"/>
        </w:rPr>
        <w:t>（一）营造全社会参与氛围</w:t>
      </w:r>
    </w:p>
    <w:p w14:paraId="41A773CD">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仿宋_GBK" w:cs="Times New Roman"/>
          <w:snapToGrid w:val="0"/>
          <w:color w:val="000000"/>
          <w:kern w:val="0"/>
          <w:sz w:val="32"/>
          <w:szCs w:val="32"/>
          <w:lang w:val="zh-TW" w:eastAsia="zh-CN" w:bidi="ar-SA"/>
        </w:rPr>
      </w:pPr>
      <w:r>
        <w:rPr>
          <w:rFonts w:hint="default" w:ascii="Times New Roman" w:hAnsi="Times New Roman" w:eastAsia="方正仿宋_GBK" w:cs="Times New Roman"/>
          <w:snapToGrid w:val="0"/>
          <w:color w:val="000000"/>
          <w:kern w:val="0"/>
          <w:sz w:val="32"/>
          <w:szCs w:val="32"/>
          <w:lang w:val="en-US" w:eastAsia="zh-CN" w:bidi="ar-SA"/>
        </w:rPr>
        <w:t>搭建多样化的信息交流渠道和平台，采用电视、网络、报刊、问卷、听证会、座谈会、参观走访等多种形式，推动环境公众参与，让社会公众充分知晓环境信息公开官方微博、微信公众号。推动环保设施向公众开放，推进环保设施开放的制度化、规范化和长效化建设。广泛发动社会各界力量，在全市范围内寻找为生态文明建设和生态环境保护作出突出贡献的优秀代表，充分发挥示范引领作用。进一步拓展宣传主题，结合生物多样性保护、减污降碳协同增效、水资源保护节约、碳达峰碳中和、应对气候变化等生态环境保护重点工作，办好生物多样性日、全国低碳日、世界水日、世界海洋日等主题宣传活动。到2030年，确保公众对生态环境质量的满意度达到95%以上。</w:t>
      </w:r>
    </w:p>
    <w:p w14:paraId="3BE71C36">
      <w:pPr>
        <w:keepNext w:val="0"/>
        <w:keepLines w:val="0"/>
        <w:pageBreakBefore w:val="0"/>
        <w:widowControl w:val="0"/>
        <w:kinsoku/>
        <w:wordWrap/>
        <w:overflowPunct/>
        <w:topLinePunct w:val="0"/>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bookmarkStart w:id="24" w:name="_Toc162190502"/>
      <w:r>
        <w:rPr>
          <w:rFonts w:hint="default" w:ascii="Times New Roman" w:hAnsi="Times New Roman" w:eastAsia="方正仿宋_GBK" w:cs="Times New Roman"/>
          <w:b/>
          <w:bCs/>
          <w:snapToGrid w:val="0"/>
          <w:kern w:val="0"/>
          <w:sz w:val="32"/>
          <w:szCs w:val="32"/>
          <w:highlight w:val="none"/>
          <w:lang w:val="en-US" w:eastAsia="zh-CN" w:bidi="ar-SA"/>
        </w:rPr>
        <w:t>（二）完善生态环境社会监督举报机制</w:t>
      </w:r>
      <w:bookmarkEnd w:id="24"/>
    </w:p>
    <w:p w14:paraId="74499AF9">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r>
        <w:rPr>
          <w:rFonts w:hint="default" w:ascii="Times New Roman" w:hAnsi="Times New Roman" w:eastAsia="方正仿宋_GBK" w:cs="Times New Roman"/>
          <w:snapToGrid w:val="0"/>
          <w:color w:val="000000"/>
          <w:kern w:val="0"/>
          <w:sz w:val="32"/>
          <w:szCs w:val="32"/>
          <w:lang w:val="en-US" w:eastAsia="zh-CN" w:bidi="ar-SA"/>
        </w:rPr>
        <w:t>健全环境信访制度，丰富生态环境公众监督形式，设立投诉举报信箱、领导信箱和微信、微博举报账号，设立24小时12369环保投诉举报电话，畅通群众举报投诉渠道。丰富生态环境公众监督形式，建立公众参与的环境后督察和后评估机制，提升公众满意度。完善有奖监督举报机制，鼓励公民、法人或其他组织通过相关渠道举报全区范围内发生的生态环境违法行为，查证属实后按照相应标准给予举报人奖励。建立健全舆情监测处置机制，强化对生态文明的舆论引导和公众监督。建立环境公益诉讼制度，对污染环境、破坏生态的行为，有关组织可提起公益诉讼。加强信访信息平台管理，规范录入各类环境信访处理结果，及时回复群众诉求，实现环境信访工作闭环管理，确保合理合法有效的环境信访诉求受理率和答复率100%、重点环境信访办结率100%。</w:t>
      </w:r>
    </w:p>
    <w:p w14:paraId="2CB7DC2A">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6381D2B7">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5AADE751">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0A2F4D9A">
      <w:pPr>
        <w:pStyle w:val="12"/>
        <w:spacing w:before="327" w:beforeLines="100" w:after="327" w:afterLines="100" w:line="578" w:lineRule="exact"/>
        <w:ind w:left="0" w:leftChars="0" w:firstLine="0" w:firstLineChars="0"/>
        <w:jc w:val="center"/>
        <w:rPr>
          <w:rFonts w:hint="default" w:ascii="Times New Roman" w:hAnsi="Times New Roman" w:eastAsia="方正黑体_GBK" w:cs="Times New Roman"/>
          <w:sz w:val="36"/>
          <w:szCs w:val="36"/>
          <w:highlight w:val="none"/>
          <w:lang w:eastAsia="zh-CN"/>
        </w:rPr>
      </w:pPr>
      <w:r>
        <w:rPr>
          <w:rFonts w:hint="default" w:ascii="Times New Roman" w:hAnsi="Times New Roman" w:eastAsia="方正黑体_GBK" w:cs="Times New Roman"/>
          <w:sz w:val="36"/>
          <w:szCs w:val="36"/>
          <w:highlight w:val="none"/>
        </w:rPr>
        <w:t>第</w:t>
      </w:r>
      <w:r>
        <w:rPr>
          <w:rFonts w:hint="default" w:ascii="Times New Roman" w:hAnsi="Times New Roman" w:eastAsia="方正黑体_GBK" w:cs="Times New Roman"/>
          <w:sz w:val="36"/>
          <w:szCs w:val="36"/>
          <w:highlight w:val="none"/>
          <w:lang w:eastAsia="zh-CN"/>
        </w:rPr>
        <w:t>七章</w:t>
      </w:r>
      <w:r>
        <w:rPr>
          <w:rFonts w:hint="default" w:ascii="Times New Roman" w:hAnsi="Times New Roman" w:eastAsia="方正黑体_GBK" w:cs="Times New Roman"/>
          <w:sz w:val="36"/>
          <w:szCs w:val="36"/>
          <w:highlight w:val="none"/>
        </w:rPr>
        <w:t xml:space="preserve">  构建高效完善的生态制度体系</w:t>
      </w:r>
    </w:p>
    <w:p w14:paraId="655C246F">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r>
        <w:rPr>
          <w:rFonts w:hint="default" w:ascii="Times New Roman" w:hAnsi="Times New Roman" w:eastAsia="方正黑体_GBK" w:cs="Times New Roman"/>
          <w:sz w:val="32"/>
          <w:szCs w:val="32"/>
          <w:highlight w:val="none"/>
        </w:rPr>
        <w:t>一、严格生态环境保护制度</w:t>
      </w:r>
    </w:p>
    <w:p w14:paraId="1B381825">
      <w:pPr>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bookmarkStart w:id="25" w:name="_Toc162190506"/>
      <w:r>
        <w:rPr>
          <w:rFonts w:hint="default" w:ascii="Times New Roman" w:hAnsi="Times New Roman" w:eastAsia="方正仿宋_GBK" w:cs="Times New Roman"/>
          <w:b/>
          <w:bCs/>
          <w:snapToGrid w:val="0"/>
          <w:kern w:val="0"/>
          <w:sz w:val="32"/>
          <w:szCs w:val="32"/>
          <w:highlight w:val="none"/>
          <w:lang w:val="en-US" w:eastAsia="zh-CN" w:bidi="ar-SA"/>
        </w:rPr>
        <w:t>（一）运用行政许可、环境规划等手段实现生态管理</w:t>
      </w:r>
      <w:bookmarkEnd w:id="25"/>
    </w:p>
    <w:p w14:paraId="05C1E0A7">
      <w:pPr>
        <w:keepNext w:val="0"/>
        <w:keepLines w:val="0"/>
        <w:pageBreakBefore w:val="0"/>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通过行政许可、环境规划等手段实施生态管理，强化规划环评等对重大开发活动决策的约束，确保规划环评执行率100%。落实白下高新技术产业园区管理机构主体责任，按要求开展产业园区规划环境影响跟踪评价。开展环境保护规划编制、生态环境保护资金计划与审批、年度环境保护工作目标任务分解确定、区域流域发展规划的环境影响评价等工作，形成全区社会经济发展规划的环境目标与约束机制。</w:t>
      </w:r>
    </w:p>
    <w:p w14:paraId="6998B22E">
      <w:pPr>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bookmarkStart w:id="26" w:name="_Toc162190507"/>
      <w:r>
        <w:rPr>
          <w:rFonts w:hint="default" w:ascii="Times New Roman" w:hAnsi="Times New Roman" w:eastAsia="方正仿宋_GBK" w:cs="Times New Roman"/>
          <w:b/>
          <w:bCs/>
          <w:snapToGrid w:val="0"/>
          <w:kern w:val="0"/>
          <w:sz w:val="32"/>
          <w:szCs w:val="32"/>
          <w:highlight w:val="none"/>
          <w:lang w:val="en-US" w:eastAsia="zh-CN" w:bidi="ar-SA"/>
        </w:rPr>
        <w:t>（二）落实生态环境分区管控要求</w:t>
      </w:r>
    </w:p>
    <w:p w14:paraId="10DAFD2A">
      <w:pPr>
        <w:keepNext w:val="0"/>
        <w:keepLines w:val="0"/>
        <w:pageBreakBefore w:val="0"/>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严格落实南京市“三线一单”生态环境分区管控要求，将“三线一单”确定的环境管控单元及生态环境准入清单作为重要依据，推进生态环境监管精细化、规范化、智能化。优先保护单元坚持绿色发展，依法禁止或限制大规模、高强度的开发建设活动，恢复生态系统服务功能。重点管控单元以产业高质量发展和环境保护协调为主，优化空间布局，提升资源利用效率。</w:t>
      </w:r>
    </w:p>
    <w:p w14:paraId="05C6DA1D">
      <w:pPr>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r>
        <w:rPr>
          <w:rFonts w:hint="default" w:ascii="Times New Roman" w:hAnsi="Times New Roman" w:eastAsia="方正仿宋_GBK" w:cs="Times New Roman"/>
          <w:b/>
          <w:bCs/>
          <w:snapToGrid w:val="0"/>
          <w:kern w:val="0"/>
          <w:sz w:val="32"/>
          <w:szCs w:val="32"/>
          <w:highlight w:val="none"/>
          <w:lang w:val="en-US" w:eastAsia="zh-CN" w:bidi="ar-SA"/>
        </w:rPr>
        <w:t>（三）进一步深化落实河长制</w:t>
      </w:r>
      <w:bookmarkEnd w:id="26"/>
    </w:p>
    <w:p w14:paraId="67CE4FF3">
      <w:pPr>
        <w:keepNext w:val="0"/>
        <w:keepLines w:val="0"/>
        <w:pageBreakBefore w:val="0"/>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健全河长制组织体系、责任体系、制度体系、监督检查和考核评估体系，优化协调联动机制，加强各地区、各部门之间的横向联系。完善信息平台建设，以信息化促进河湖“管理+养护”高效化、智能化。建立全覆盖的河湖长制督查体系，壮大河长和社会监督员队伍，引入河长制、湖长制工作第三方评估，充分发挥社会力量对河湖长制的监督作用。优化河湖长制考核方案，重点突出河湖长制落实情况，分河段进行电子化考核评分，推动河湖长制工作从“全面建立”向“全面见效”转变。</w:t>
      </w:r>
    </w:p>
    <w:p w14:paraId="292EB7C4">
      <w:pPr>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bookmarkStart w:id="27" w:name="_Toc162190509"/>
      <w:r>
        <w:rPr>
          <w:rFonts w:hint="default" w:ascii="Times New Roman" w:hAnsi="Times New Roman" w:eastAsia="方正仿宋_GBK" w:cs="Times New Roman"/>
          <w:b/>
          <w:bCs/>
          <w:snapToGrid w:val="0"/>
          <w:kern w:val="0"/>
          <w:sz w:val="32"/>
          <w:szCs w:val="32"/>
          <w:highlight w:val="none"/>
          <w:lang w:val="en-US" w:eastAsia="zh-CN" w:bidi="ar-SA"/>
        </w:rPr>
        <w:t>（四）全面加强环境网格化管理</w:t>
      </w:r>
      <w:bookmarkEnd w:id="27"/>
    </w:p>
    <w:p w14:paraId="09BF115F">
      <w:pPr>
        <w:keepNext w:val="0"/>
        <w:keepLines w:val="0"/>
        <w:pageBreakBefore w:val="0"/>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加强组织领导，进一步提高环保网格化管理水平。按照“谁主管谁负责”的原则，依据职责分工，将相关部门承担的环保网格化监管工作纳入年度目标考核内容，提高各单位重视程度，逐步形成“环保工作一盘棋、各部门齐参与”的局面。完善包括企业环保主体队伍、社区网格员队伍、生态环保监管队伍、环保专家队伍及社会监督队伍在内的网格化监管队伍建设。</w:t>
      </w:r>
    </w:p>
    <w:p w14:paraId="442287CD">
      <w:pPr>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bookmarkStart w:id="28" w:name="_Toc162190510"/>
      <w:r>
        <w:rPr>
          <w:rFonts w:hint="default" w:ascii="Times New Roman" w:hAnsi="Times New Roman" w:eastAsia="方正仿宋_GBK" w:cs="Times New Roman"/>
          <w:b/>
          <w:bCs/>
          <w:snapToGrid w:val="0"/>
          <w:kern w:val="0"/>
          <w:sz w:val="32"/>
          <w:szCs w:val="32"/>
          <w:highlight w:val="none"/>
          <w:lang w:val="en-US" w:eastAsia="zh-CN" w:bidi="ar-SA"/>
        </w:rPr>
        <w:t>（五）健全全面污染防治制度</w:t>
      </w:r>
      <w:bookmarkEnd w:id="28"/>
    </w:p>
    <w:p w14:paraId="15AD960C">
      <w:pPr>
        <w:keepNext w:val="0"/>
        <w:keepLines w:val="0"/>
        <w:pageBreakBefore w:val="0"/>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推动固定污染源排污许可全覆盖，深入推进排污单位按证排污、持证排污。实施排污许可“一证式”管理，推动排污许可与环境执法、环境监测、总量控制、排污权交易等环境管理制度有机衔接。将总量控制目标分解到企业，实行工业废水、废气排放权有偿转让制度，促使企业从排放量和排放浓度上控制废水、废气排放，重点加强新建、改建和扩建企业水、气污染物排放排污许可管理。环境部门负责对辖区内重点企业进行定期巡查，指导企业做好污染防治设施的日常运维及各类环保管理工作。</w:t>
      </w:r>
    </w:p>
    <w:p w14:paraId="7CEFD133">
      <w:pPr>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r>
        <w:rPr>
          <w:rFonts w:hint="default" w:ascii="Times New Roman" w:hAnsi="Times New Roman" w:eastAsia="方正仿宋_GBK" w:cs="Times New Roman"/>
          <w:b/>
          <w:bCs/>
          <w:snapToGrid w:val="0"/>
          <w:kern w:val="0"/>
          <w:sz w:val="32"/>
          <w:szCs w:val="32"/>
          <w:highlight w:val="none"/>
          <w:lang w:val="en-US" w:eastAsia="zh-CN" w:bidi="ar-SA"/>
        </w:rPr>
        <w:t>（六）完善环境行政执法后督查制度</w:t>
      </w:r>
    </w:p>
    <w:p w14:paraId="42C36667">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仿宋_GBK" w:cs="Times New Roman"/>
          <w:snapToGrid w:val="0"/>
          <w:color w:val="000000"/>
          <w:kern w:val="0"/>
          <w:sz w:val="32"/>
          <w:szCs w:val="32"/>
          <w:lang w:val="zh-TW" w:eastAsia="zh-CN" w:bidi="ar-SA"/>
        </w:rPr>
      </w:pPr>
      <w:r>
        <w:rPr>
          <w:rFonts w:hint="default" w:ascii="Times New Roman" w:hAnsi="Times New Roman" w:eastAsia="方正仿宋_GBK" w:cs="Times New Roman"/>
          <w:snapToGrid w:val="0"/>
          <w:color w:val="000000"/>
          <w:kern w:val="0"/>
          <w:sz w:val="32"/>
          <w:szCs w:val="32"/>
          <w:lang w:val="en-US" w:eastAsia="zh-CN" w:bidi="ar-SA"/>
        </w:rPr>
        <w:t>加大环境行政执法后督察工作力度，结合实际完善后督察工作机制，规范后督察工作内容、程序及后续处理，确保各项整改措施落实到位，切实保障环境行政处罚有效执行。充分发挥公众监督作用，完善行政执法部门联动机制，加强环保与工商、司法等部门联系，保障行政处罚落实落地，有效维护群众环境权益，促进社会和谐发展。</w:t>
      </w:r>
    </w:p>
    <w:p w14:paraId="6BFFB6E7">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r>
        <w:rPr>
          <w:rFonts w:hint="default" w:ascii="Times New Roman" w:hAnsi="Times New Roman" w:eastAsia="方正黑体_GBK" w:cs="Times New Roman"/>
          <w:sz w:val="32"/>
          <w:szCs w:val="32"/>
          <w:highlight w:val="none"/>
          <w:lang w:eastAsia="zh-CN"/>
        </w:rPr>
        <w:t>二</w:t>
      </w:r>
      <w:r>
        <w:rPr>
          <w:rFonts w:hint="default" w:ascii="Times New Roman" w:hAnsi="Times New Roman" w:eastAsia="方正黑体_GBK" w:cs="Times New Roman"/>
          <w:sz w:val="32"/>
          <w:szCs w:val="32"/>
          <w:highlight w:val="none"/>
        </w:rPr>
        <w:t>、构建资源高效利用制度</w:t>
      </w:r>
    </w:p>
    <w:p w14:paraId="4C3E0DFE">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r>
        <w:rPr>
          <w:rFonts w:hint="default" w:ascii="Times New Roman" w:hAnsi="Times New Roman" w:eastAsia="方正仿宋_GBK" w:cs="Times New Roman"/>
          <w:b/>
          <w:bCs/>
          <w:snapToGrid w:val="0"/>
          <w:kern w:val="0"/>
          <w:sz w:val="32"/>
          <w:szCs w:val="32"/>
          <w:highlight w:val="none"/>
          <w:lang w:val="en-US" w:eastAsia="zh-CN" w:bidi="ar-SA"/>
        </w:rPr>
        <w:t>（一）建立健全自然资源资产产权制度</w:t>
      </w:r>
    </w:p>
    <w:p w14:paraId="1085261B">
      <w:pPr>
        <w:keepNext w:val="0"/>
        <w:keepLines w:val="0"/>
        <w:pageBreakBefore w:val="0"/>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明确产权主体权利与责任，规范自然资源相关行为主体的行为，推动自然资源开发、利用和保护有章可循、有法可依，压实保护自然资源法律责任。依据科学合理的自然资源资产产权界定，结合完善的生态补偿等机制，推动自然资源定价趋向合理，提高资源使用效率。构建自然资源统一确权登记制度体系，对林地、水域、湿地等所有自然生态空间统一确权登记，逐步划清全民所有和集体所有之间的边界。</w:t>
      </w:r>
    </w:p>
    <w:p w14:paraId="2967A860">
      <w:pPr>
        <w:keepNext w:val="0"/>
        <w:keepLines w:val="0"/>
        <w:pageBreakBefore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bookmarkStart w:id="29" w:name="_Toc162190513"/>
      <w:r>
        <w:rPr>
          <w:rFonts w:hint="default" w:ascii="Times New Roman" w:hAnsi="Times New Roman" w:eastAsia="方正仿宋_GBK" w:cs="Times New Roman"/>
          <w:b/>
          <w:bCs/>
          <w:snapToGrid w:val="0"/>
          <w:kern w:val="0"/>
          <w:sz w:val="32"/>
          <w:szCs w:val="32"/>
          <w:highlight w:val="none"/>
          <w:lang w:val="en-US" w:eastAsia="zh-CN" w:bidi="ar-SA"/>
        </w:rPr>
        <w:t>（二）落实能源消耗总量和强度“双控”制度</w:t>
      </w:r>
      <w:bookmarkEnd w:id="29"/>
    </w:p>
    <w:p w14:paraId="13AEF843">
      <w:pPr>
        <w:keepNext w:val="0"/>
        <w:keepLines w:val="0"/>
        <w:pageBreakBefore w:val="0"/>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仿宋" w:cs="Times New Roman"/>
          <w:smallCaps/>
          <w:sz w:val="28"/>
          <w:szCs w:val="28"/>
        </w:rPr>
      </w:pPr>
      <w:r>
        <w:rPr>
          <w:rFonts w:hint="default" w:ascii="Times New Roman" w:hAnsi="Times New Roman" w:eastAsia="方正仿宋_GBK" w:cs="Times New Roman"/>
          <w:snapToGrid w:val="0"/>
          <w:color w:val="000000"/>
          <w:kern w:val="0"/>
          <w:sz w:val="32"/>
          <w:szCs w:val="32"/>
          <w:lang w:val="en-US" w:eastAsia="zh-CN" w:bidi="ar-SA"/>
        </w:rPr>
        <w:t>坚持节约优先，提高能源利用效率，确保完成南京市下达的节能目标任务。完善节能标准体系，根据国家用能产品能效、高耗能行业能耗限额、建筑物能效等标准及时更新管理。积极推进各领域节材工作，加强原材料消耗管理，加大替代性材料、可再生材料推广力度。加强重点用能单位节能管理，推动重点用能单位能源管理体系建设。</w:t>
      </w:r>
    </w:p>
    <w:p w14:paraId="13337379">
      <w:pPr>
        <w:keepNext w:val="0"/>
        <w:keepLines w:val="0"/>
        <w:pageBreakBefore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bookmarkStart w:id="30" w:name="_Toc162190514"/>
      <w:r>
        <w:rPr>
          <w:rFonts w:hint="default" w:ascii="Times New Roman" w:hAnsi="Times New Roman" w:eastAsia="方正仿宋_GBK" w:cs="Times New Roman"/>
          <w:b/>
          <w:bCs/>
          <w:snapToGrid w:val="0"/>
          <w:kern w:val="0"/>
          <w:sz w:val="32"/>
          <w:szCs w:val="32"/>
          <w:highlight w:val="none"/>
          <w:lang w:val="en-US" w:eastAsia="zh-CN" w:bidi="ar-SA"/>
        </w:rPr>
        <w:t>（三）落实最严格的水资源管理制度</w:t>
      </w:r>
      <w:bookmarkEnd w:id="30"/>
    </w:p>
    <w:p w14:paraId="3402AA91">
      <w:pPr>
        <w:keepNext w:val="0"/>
        <w:keepLines w:val="0"/>
        <w:pageBreakBefore w:val="0"/>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仿宋" w:cs="Times New Roman"/>
          <w:smallCaps/>
          <w:sz w:val="28"/>
          <w:szCs w:val="28"/>
        </w:rPr>
      </w:pPr>
      <w:r>
        <w:rPr>
          <w:rFonts w:hint="default" w:ascii="Times New Roman" w:hAnsi="Times New Roman" w:eastAsia="方正仿宋_GBK" w:cs="Times New Roman"/>
          <w:snapToGrid w:val="0"/>
          <w:color w:val="000000"/>
          <w:kern w:val="0"/>
          <w:sz w:val="32"/>
          <w:szCs w:val="32"/>
          <w:lang w:val="en-US" w:eastAsia="zh-CN" w:bidi="ar-SA"/>
        </w:rPr>
        <w:t>严格水资源开发利用总量控制和用水效率控制管理，严格实施取水许可和建设项目水资源论证制度。强化节水管理，制定相应节水实施办法。抓好节水型载体建设，综合利用省、市有关扶持政策和资金，拓宽节水型载体覆盖面。严格用水效率控制，加强取用水定额管理，推进公共机构节水型单位、节水型企业建设，研究制定节约用水激励政策，鼓励支持在工业生产和市政工程等过程中开展中水回用。</w:t>
      </w:r>
    </w:p>
    <w:p w14:paraId="0F094AC3">
      <w:pPr>
        <w:keepNext w:val="0"/>
        <w:keepLines w:val="0"/>
        <w:pageBreakBefore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bookmarkStart w:id="31" w:name="_Toc162190515"/>
      <w:r>
        <w:rPr>
          <w:rFonts w:hint="default" w:ascii="Times New Roman" w:hAnsi="Times New Roman" w:eastAsia="方正仿宋_GBK" w:cs="Times New Roman"/>
          <w:b/>
          <w:bCs/>
          <w:snapToGrid w:val="0"/>
          <w:kern w:val="0"/>
          <w:sz w:val="32"/>
          <w:szCs w:val="32"/>
          <w:highlight w:val="none"/>
          <w:lang w:val="en-US" w:eastAsia="zh-CN" w:bidi="ar-SA"/>
        </w:rPr>
        <w:t>（四）实行最严格的土地节约集约制度</w:t>
      </w:r>
      <w:bookmarkEnd w:id="31"/>
    </w:p>
    <w:p w14:paraId="56916785">
      <w:pPr>
        <w:keepNext w:val="0"/>
        <w:keepLines w:val="0"/>
        <w:pageBreakBefore w:val="0"/>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加强土地节约集约利用，加大存量建设用地挖潜力度，实行建设用地总量和强度双控制。提高节地标准，调整建设用地结构，完善低效闲置用地清理盘活利用政策，建立新增建设用地计划分配与盘活存量建设用地相挂钩制度，推动低效用地再开发。健全市、区联动的组织管理体系，建立“市—区—街道（社区）”三级存量更新实施架构。强化项目用地跟踪巡查、监管，提高土地开发强度和质量，提升土地资源节约利用水平。</w:t>
      </w:r>
    </w:p>
    <w:p w14:paraId="20CA21D2">
      <w:pPr>
        <w:keepNext w:val="0"/>
        <w:keepLines w:val="0"/>
        <w:pageBreakBefore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r>
        <w:rPr>
          <w:rFonts w:hint="default" w:ascii="Times New Roman" w:hAnsi="Times New Roman" w:eastAsia="方正仿宋_GBK" w:cs="Times New Roman"/>
          <w:b/>
          <w:bCs/>
          <w:snapToGrid w:val="0"/>
          <w:kern w:val="0"/>
          <w:sz w:val="32"/>
          <w:szCs w:val="32"/>
          <w:highlight w:val="none"/>
          <w:lang w:val="en-US" w:eastAsia="zh-CN" w:bidi="ar-SA"/>
        </w:rPr>
        <w:t>（五）深化固体废物资源化利用制度</w:t>
      </w:r>
    </w:p>
    <w:p w14:paraId="6AEEDF77">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仿宋_GBK" w:cs="Times New Roman"/>
          <w:snapToGrid w:val="0"/>
          <w:color w:val="000000"/>
          <w:kern w:val="0"/>
          <w:sz w:val="32"/>
          <w:szCs w:val="32"/>
          <w:lang w:val="zh-TW" w:eastAsia="zh-CN" w:bidi="ar-SA"/>
        </w:rPr>
      </w:pPr>
      <w:r>
        <w:rPr>
          <w:rFonts w:hint="default" w:ascii="Times New Roman" w:hAnsi="Times New Roman" w:eastAsia="方正仿宋_GBK" w:cs="Times New Roman"/>
          <w:snapToGrid w:val="0"/>
          <w:color w:val="000000"/>
          <w:kern w:val="0"/>
          <w:sz w:val="32"/>
          <w:szCs w:val="32"/>
          <w:lang w:val="en-US" w:eastAsia="zh-CN" w:bidi="ar-SA"/>
        </w:rPr>
        <w:t>结合“无废城市”建设目标任务，建立部门联席会议制度，形成分工明确、权责明晰、协同增效、信息共享的固体废物综合管理模式。严格落实省、市相关政策文件要求，建立健全固废管理制度，全面提升一般工业固体废物规范化管理水平。在节能减排、资源综合利用和环境保护等方面推行政府补贴政策，在政府投资公共工程中优先使用以大宗工业固体废物等为原料的综合利用产品，鼓励使用建筑垃圾、园林绿化垃圾资源化利用产品。</w:t>
      </w:r>
    </w:p>
    <w:p w14:paraId="1F471F74">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r>
        <w:rPr>
          <w:rFonts w:hint="default" w:ascii="Times New Roman" w:hAnsi="Times New Roman" w:eastAsia="方正黑体_GBK" w:cs="Times New Roman"/>
          <w:sz w:val="32"/>
          <w:szCs w:val="32"/>
          <w:highlight w:val="none"/>
          <w:lang w:eastAsia="zh-CN"/>
        </w:rPr>
        <w:t>三</w:t>
      </w:r>
      <w:r>
        <w:rPr>
          <w:rFonts w:hint="default" w:ascii="Times New Roman" w:hAnsi="Times New Roman" w:eastAsia="方正黑体_GBK" w:cs="Times New Roman"/>
          <w:sz w:val="32"/>
          <w:szCs w:val="32"/>
          <w:highlight w:val="none"/>
        </w:rPr>
        <w:t>、构建生态保护和修复制度</w:t>
      </w:r>
    </w:p>
    <w:p w14:paraId="1493FAE9">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r>
        <w:rPr>
          <w:rFonts w:hint="default" w:ascii="Times New Roman" w:hAnsi="Times New Roman" w:eastAsia="方正仿宋_GBK" w:cs="Times New Roman"/>
          <w:b/>
          <w:bCs/>
          <w:snapToGrid w:val="0"/>
          <w:kern w:val="0"/>
          <w:sz w:val="32"/>
          <w:szCs w:val="32"/>
          <w:highlight w:val="none"/>
          <w:lang w:val="en-US" w:eastAsia="zh-CN" w:bidi="ar-SA"/>
        </w:rPr>
        <w:t>（一）完善国土空间开发及用途管制制度</w:t>
      </w:r>
    </w:p>
    <w:p w14:paraId="1DFDE8D8">
      <w:pPr>
        <w:keepNext w:val="0"/>
        <w:keepLines w:val="0"/>
        <w:pageBreakBefore w:val="0"/>
        <w:widowControl/>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对国土空间分区分类实施用途管制，通过加强执法监督，提升空间治理能力现代化水平。建立分区分类的建设强度引导机制，在确保公共安全、落实城市历史文化保护和风貌特色要求的前提下，按照“宜高则高、宜低则低”的原则，在城市地区建立相适应的用地强度分区控制体系，促进有限建设空间的高效合理利用。坚持底线思维，实行分区分类用途管制制度，满足国土空间精细化管理需求，引导国土空间开发科学化、适度化、有序化转变。</w:t>
      </w:r>
    </w:p>
    <w:p w14:paraId="6DB7C5A1">
      <w:pPr>
        <w:keepNext w:val="0"/>
        <w:keepLines w:val="0"/>
        <w:pageBreakBefore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r>
        <w:rPr>
          <w:rFonts w:hint="default" w:ascii="Times New Roman" w:hAnsi="Times New Roman" w:eastAsia="方正仿宋_GBK" w:cs="Times New Roman"/>
          <w:b/>
          <w:bCs/>
          <w:snapToGrid w:val="0"/>
          <w:kern w:val="0"/>
          <w:sz w:val="32"/>
          <w:szCs w:val="32"/>
          <w:highlight w:val="none"/>
          <w:lang w:val="en-US" w:eastAsia="zh-CN" w:bidi="ar-SA"/>
        </w:rPr>
        <w:t>（二）严守城镇开发边界</w:t>
      </w:r>
    </w:p>
    <w:p w14:paraId="2429BADA">
      <w:pPr>
        <w:keepNext w:val="0"/>
        <w:keepLines w:val="0"/>
        <w:pageBreakBefore w:val="0"/>
        <w:widowControl/>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严格落实市级国土空间总体规划划定的城镇开发边界，城镇集中开发建设用地不得突破城镇开发边界，非因法定事由并经法定程序，不得擅自改变。合理确定城市规模、开发强度和保护性空间，按照国土空间规划确定的空间布局，结合生态空间保护区域等划定城镇开发边界，确保建设用地总规模不突破。加强国土空间保护、开发、利用、修复，提高城镇建设用地集约化水平。城镇开发边界内可进行城镇集中开发建设，重点完善城镇功能，引导城镇建设用地向边界内集聚，土地投放向边界内集中，推动城镇紧凑集约发展。</w:t>
      </w:r>
    </w:p>
    <w:p w14:paraId="189D3D6B">
      <w:pPr>
        <w:keepNext w:val="0"/>
        <w:keepLines w:val="0"/>
        <w:pageBreakBefore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r>
        <w:rPr>
          <w:rFonts w:hint="default" w:ascii="Times New Roman" w:hAnsi="Times New Roman" w:eastAsia="方正仿宋_GBK" w:cs="Times New Roman"/>
          <w:b/>
          <w:bCs/>
          <w:snapToGrid w:val="0"/>
          <w:kern w:val="0"/>
          <w:sz w:val="32"/>
          <w:szCs w:val="32"/>
          <w:highlight w:val="none"/>
          <w:lang w:val="en-US" w:eastAsia="zh-CN" w:bidi="ar-SA"/>
        </w:rPr>
        <w:t>（三）探索生态产品价值实现机制</w:t>
      </w:r>
    </w:p>
    <w:p w14:paraId="7C67C870">
      <w:pPr>
        <w:keepNext w:val="0"/>
        <w:keepLines w:val="0"/>
        <w:pageBreakBefore w:val="0"/>
        <w:widowControl/>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加强跨行政区域的流域上下游“双向补偿”，探索建立资金补助、对口协作、产业转移、人才培训机制。探索构建生态产品价值核算评估体系，开展生态产品调查监测，推进生态产品价值核算与评估。研究不同类型生态产品的商品属性，充分考虑对其进行保护修复、破坏赔偿、开发利用所需费用，建立能够反映生态产品保护和开发成本的价值核算方法。积极推动用能权、排污权、水权、碳排放权有偿使用与交易。</w:t>
      </w:r>
    </w:p>
    <w:p w14:paraId="48088A90">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r>
        <w:rPr>
          <w:rFonts w:hint="default" w:ascii="Times New Roman" w:hAnsi="Times New Roman" w:eastAsia="方正黑体_GBK" w:cs="Times New Roman"/>
          <w:sz w:val="32"/>
          <w:szCs w:val="32"/>
          <w:highlight w:val="none"/>
          <w:lang w:eastAsia="zh-CN"/>
        </w:rPr>
        <w:t>四</w:t>
      </w:r>
      <w:r>
        <w:rPr>
          <w:rFonts w:hint="default" w:ascii="Times New Roman" w:hAnsi="Times New Roman" w:eastAsia="方正黑体_GBK" w:cs="Times New Roman"/>
          <w:sz w:val="32"/>
          <w:szCs w:val="32"/>
          <w:highlight w:val="none"/>
        </w:rPr>
        <w:t>、推进生态环境治理体系与治理能力现代化建设</w:t>
      </w:r>
    </w:p>
    <w:p w14:paraId="6EAFC101">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r>
        <w:rPr>
          <w:rFonts w:hint="default" w:ascii="Times New Roman" w:hAnsi="Times New Roman" w:eastAsia="方正仿宋_GBK" w:cs="Times New Roman"/>
          <w:b/>
          <w:bCs/>
          <w:snapToGrid w:val="0"/>
          <w:kern w:val="0"/>
          <w:sz w:val="32"/>
          <w:szCs w:val="32"/>
          <w:highlight w:val="none"/>
          <w:lang w:val="en-US" w:eastAsia="zh-CN" w:bidi="ar-SA"/>
        </w:rPr>
        <w:t>（一）提升生态环境监管能力水平</w:t>
      </w:r>
    </w:p>
    <w:p w14:paraId="04836EA5">
      <w:pPr>
        <w:keepNext w:val="0"/>
        <w:keepLines w:val="0"/>
        <w:pageBreakBefore w:val="0"/>
        <w:widowControl/>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提升监测监管能力</w:t>
      </w:r>
      <w:r>
        <w:rPr>
          <w:rFonts w:hint="default" w:ascii="Times New Roman" w:hAnsi="Times New Roman" w:eastAsia="方正仿宋_GBK" w:cs="Times New Roman"/>
          <w:snapToGrid w:val="0"/>
          <w:color w:val="000000"/>
          <w:kern w:val="0"/>
          <w:sz w:val="32"/>
          <w:szCs w:val="32"/>
          <w:lang w:val="en-US" w:eastAsia="zh-CN" w:bidi="ar-SA"/>
        </w:rPr>
        <w:t>。健全环境监测监控体系，提高环境监测监控自动化、标准化、信息化水平，强化环境预警能力，完善环境质量、重点污染源监测全覆盖的监测网络。创新生态环境监管手段，拓展污染防治智慧化方式，运用全球定位系统、视频监控、卫星遥感、红外探测、无人机巡查等技术，搭建大气环境网格化监管系统和环境综合治理可视化监控系统，实现污染源、环境质量等信息实时采集。集成智慧水务等各部门数字化管理平台，建立数据资源互联共享机制。</w:t>
      </w:r>
    </w:p>
    <w:p w14:paraId="34342EEB">
      <w:pPr>
        <w:keepNext w:val="0"/>
        <w:keepLines w:val="0"/>
        <w:pageBreakBefore w:val="0"/>
        <w:widowControl/>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仿宋" w:cs="Times New Roman"/>
          <w:smallCaps/>
          <w:sz w:val="28"/>
          <w:szCs w:val="28"/>
        </w:rPr>
      </w:pPr>
      <w:r>
        <w:rPr>
          <w:rFonts w:hint="default" w:ascii="Times New Roman" w:hAnsi="Times New Roman" w:eastAsia="方正仿宋_GBK" w:cs="Times New Roman"/>
          <w:b/>
          <w:bCs/>
          <w:snapToGrid w:val="0"/>
          <w:color w:val="000000"/>
          <w:kern w:val="0"/>
          <w:sz w:val="32"/>
          <w:szCs w:val="32"/>
          <w:lang w:val="en-US" w:eastAsia="zh-CN" w:bidi="ar-SA"/>
        </w:rPr>
        <w:t>强化环境监管执法能力建设</w:t>
      </w:r>
      <w:r>
        <w:rPr>
          <w:rFonts w:hint="default" w:ascii="Times New Roman" w:hAnsi="Times New Roman" w:eastAsia="方正仿宋_GBK" w:cs="Times New Roman"/>
          <w:snapToGrid w:val="0"/>
          <w:color w:val="000000"/>
          <w:kern w:val="0"/>
          <w:sz w:val="32"/>
          <w:szCs w:val="32"/>
          <w:lang w:val="en-US" w:eastAsia="zh-CN" w:bidi="ar-SA"/>
        </w:rPr>
        <w:t>。严格落实“双随机、一公开”制度，加大环境执法力度，推进环境司法机制改革创新，完善环境执法与刑事司法联动机制。全面落实执法公示、全过程记录、重大执法决定法制审核制度。加强环境监督管理队伍建设，通过定期培训、执法比武等手段，提升环境监督管理队伍业务素质，增强精准执法能力，提高执法装备和监测能力现代化水平。充分运用大数据、物联网、人工智能等现代化信息技术，实施非现场监管执法，加强非现场执法监管监控能力建设，实现“非现场”监管、应急、监控等工作。</w:t>
      </w:r>
    </w:p>
    <w:p w14:paraId="5749D192">
      <w:pPr>
        <w:keepNext w:val="0"/>
        <w:keepLines w:val="0"/>
        <w:pageBreakBefore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r>
        <w:rPr>
          <w:rFonts w:hint="default" w:ascii="Times New Roman" w:hAnsi="Times New Roman" w:eastAsia="方正仿宋_GBK" w:cs="Times New Roman"/>
          <w:b/>
          <w:bCs/>
          <w:snapToGrid w:val="0"/>
          <w:kern w:val="0"/>
          <w:sz w:val="32"/>
          <w:szCs w:val="32"/>
          <w:highlight w:val="none"/>
          <w:lang w:val="en-US" w:eastAsia="zh-CN" w:bidi="ar-SA"/>
        </w:rPr>
        <w:t>（二）强化生态环境司法保护</w:t>
      </w:r>
    </w:p>
    <w:p w14:paraId="67C2883E">
      <w:pPr>
        <w:keepNext w:val="0"/>
        <w:keepLines w:val="0"/>
        <w:pageBreakBefore w:val="0"/>
        <w:widowControl/>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完善生态环境行政执法与刑事司法联动工作机制，通过对环保等行政执法机关办理涉及的生态环境犯罪案件进行提前介入，实现案件信息共享互通。完善重大个案协商、情况通报、联席会议、移送督办、行政执法证据转化、检察建议适用等工作衔接机制，统一执法尺度，严格执法标准，解决生态环境保护领域执法难、办案难问题。健全环境资源保护行政执法与刑事司法无缝衔接机制，严厉打击环境违法犯罪行为，依法追究环境损害责任者责任。</w:t>
      </w:r>
    </w:p>
    <w:p w14:paraId="390C21EB">
      <w:pPr>
        <w:keepNext w:val="0"/>
        <w:keepLines w:val="0"/>
        <w:pageBreakBefore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bookmarkStart w:id="32" w:name="_Toc162190523"/>
      <w:r>
        <w:rPr>
          <w:rFonts w:hint="default" w:ascii="Times New Roman" w:hAnsi="Times New Roman" w:eastAsia="方正仿宋_GBK" w:cs="Times New Roman"/>
          <w:b/>
          <w:bCs/>
          <w:snapToGrid w:val="0"/>
          <w:kern w:val="0"/>
          <w:sz w:val="32"/>
          <w:szCs w:val="32"/>
          <w:highlight w:val="none"/>
          <w:lang w:val="en-US" w:eastAsia="zh-CN" w:bidi="ar-SA"/>
        </w:rPr>
        <w:t>（三）完善生态环境市场治理体系制度</w:t>
      </w:r>
      <w:bookmarkEnd w:id="32"/>
    </w:p>
    <w:p w14:paraId="334A169B">
      <w:pPr>
        <w:keepNext w:val="0"/>
        <w:keepLines w:val="0"/>
        <w:pageBreakBefore w:val="0"/>
        <w:widowControl/>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积极争取财政政策支持</w:t>
      </w:r>
      <w:r>
        <w:rPr>
          <w:rFonts w:hint="default" w:ascii="Times New Roman" w:hAnsi="Times New Roman" w:eastAsia="方正仿宋_GBK" w:cs="Times New Roman"/>
          <w:snapToGrid w:val="0"/>
          <w:color w:val="000000"/>
          <w:kern w:val="0"/>
          <w:sz w:val="32"/>
          <w:szCs w:val="32"/>
          <w:lang w:val="en-US" w:eastAsia="zh-CN" w:bidi="ar-SA"/>
        </w:rPr>
        <w:t>。积极争取上级资金、政策、项目等对秦淮区创建生态文明建设示范区的支持。加大资金优化整合力度，突出资金安排重点，提高资金使用效益。改进和创新财政专项资金分配使用方式，推行竞争性分配、以奖代补、贴息补助、股权投入、试点示范、绩效评价等办法，充分发挥财政资金的杠杆作用。</w:t>
      </w:r>
    </w:p>
    <w:p w14:paraId="74E396EA">
      <w:pPr>
        <w:keepNext w:val="0"/>
        <w:keepLines w:val="0"/>
        <w:pageBreakBefore w:val="0"/>
        <w:widowControl/>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促进环境治理市场化建设</w:t>
      </w:r>
      <w:r>
        <w:rPr>
          <w:rFonts w:hint="default" w:ascii="Times New Roman" w:hAnsi="Times New Roman" w:eastAsia="方正仿宋_GBK" w:cs="Times New Roman"/>
          <w:snapToGrid w:val="0"/>
          <w:color w:val="000000"/>
          <w:kern w:val="0"/>
          <w:sz w:val="32"/>
          <w:szCs w:val="32"/>
          <w:lang w:val="en-US" w:eastAsia="zh-CN" w:bidi="ar-SA"/>
        </w:rPr>
        <w:t>。加大对环境污染第三方治理、政府与社会资本合作模式的支持。完善政府引导、市场运作、社会参与的多元投入机制，鼓励不同经济成分和各类投资主体以多种形式参与环境保护。</w:t>
      </w:r>
    </w:p>
    <w:p w14:paraId="0EC953B9">
      <w:pPr>
        <w:keepNext w:val="0"/>
        <w:keepLines w:val="0"/>
        <w:pageBreakBefore w:val="0"/>
        <w:widowControl/>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方正黑体_GBK" w:cs="Times New Roman"/>
          <w:color w:val="000000"/>
          <w:sz w:val="32"/>
          <w:szCs w:val="32"/>
          <w:lang w:val="zh-TW" w:eastAsia="zh-CN"/>
        </w:rPr>
      </w:pPr>
      <w:r>
        <w:rPr>
          <w:rFonts w:hint="default" w:ascii="Times New Roman" w:hAnsi="Times New Roman" w:eastAsia="方正仿宋_GBK" w:cs="Times New Roman"/>
          <w:b/>
          <w:bCs/>
          <w:snapToGrid w:val="0"/>
          <w:color w:val="000000"/>
          <w:kern w:val="0"/>
          <w:sz w:val="32"/>
          <w:szCs w:val="32"/>
          <w:lang w:val="en-US" w:eastAsia="zh-CN" w:bidi="ar-SA"/>
        </w:rPr>
        <w:t>建立绿色金融体系</w:t>
      </w:r>
      <w:r>
        <w:rPr>
          <w:rFonts w:hint="default" w:ascii="Times New Roman" w:hAnsi="Times New Roman" w:eastAsia="方正仿宋_GBK" w:cs="Times New Roman"/>
          <w:snapToGrid w:val="0"/>
          <w:color w:val="000000"/>
          <w:kern w:val="0"/>
          <w:sz w:val="32"/>
          <w:szCs w:val="32"/>
          <w:lang w:val="en-US" w:eastAsia="zh-CN" w:bidi="ar-SA"/>
        </w:rPr>
        <w:t>。充分发挥区域产业优势和文化特质，塑造具有秦淮特点的区域金融新特色。大力发展绿色金融，努力争取国家级绿色金融改革创新试验区，鼓励各类金融机构探索开展碳金融等气候友好型创新业务，推动金融创新和发展绿色金融有机结合，通过贷款、理财、担保、租赁、信托等多种金融工具，积极发展绿色金融市场。建立区金融改革创新工作联席会议制度，及时研究解决金融改革创新中遇到的难点问题。加快绿色金融体制机制创新，探索绿色金融发展模式，鼓励信用担保机构创新担保产品，探索将特许经营权等纳入贷款抵押担保物范围。通过专业化绿色担保机制、设立绿色发展基金等手段，撬动更多社会资本投资绿色产业，在环境高风险区域和行业建立环境污染强制责任保险制度，加大金融对改善生态环境、资源节约高效利用的支持力度。</w:t>
      </w:r>
    </w:p>
    <w:p w14:paraId="05A56E51">
      <w:pPr>
        <w:keepNext w:val="0"/>
        <w:keepLines w:val="0"/>
        <w:pageBreakBefore w:val="0"/>
        <w:kinsoku/>
        <w:wordWrap/>
        <w:overflowPunct/>
        <w:topLinePunct w:val="0"/>
        <w:autoSpaceDE/>
        <w:autoSpaceDN/>
        <w:bidi w:val="0"/>
        <w:adjustRightInd w:val="0"/>
        <w:snapToGrid w:val="0"/>
        <w:spacing w:line="560" w:lineRule="exact"/>
        <w:ind w:firstLine="643"/>
        <w:textAlignment w:val="auto"/>
        <w:outlineLvl w:val="2"/>
        <w:rPr>
          <w:rFonts w:hint="default" w:ascii="Times New Roman" w:hAnsi="Times New Roman" w:eastAsia="方正仿宋_GBK" w:cs="Times New Roman"/>
          <w:b/>
          <w:bCs/>
          <w:snapToGrid w:val="0"/>
          <w:kern w:val="0"/>
          <w:sz w:val="32"/>
          <w:szCs w:val="32"/>
          <w:highlight w:val="none"/>
          <w:lang w:val="en-US" w:eastAsia="zh-CN" w:bidi="ar-SA"/>
        </w:rPr>
      </w:pPr>
      <w:bookmarkStart w:id="33" w:name="_Toc162190524"/>
      <w:r>
        <w:rPr>
          <w:rFonts w:hint="default" w:ascii="Times New Roman" w:hAnsi="Times New Roman" w:eastAsia="方正仿宋_GBK" w:cs="Times New Roman"/>
          <w:b/>
          <w:bCs/>
          <w:snapToGrid w:val="0"/>
          <w:kern w:val="0"/>
          <w:sz w:val="32"/>
          <w:szCs w:val="32"/>
          <w:highlight w:val="none"/>
          <w:lang w:val="en-US" w:eastAsia="zh-CN" w:bidi="ar-SA"/>
        </w:rPr>
        <w:t>（四）完善生态环境社会治理制度</w:t>
      </w:r>
      <w:bookmarkEnd w:id="33"/>
    </w:p>
    <w:p w14:paraId="08B6F043">
      <w:pPr>
        <w:keepNext w:val="0"/>
        <w:keepLines w:val="0"/>
        <w:pageBreakBefore w:val="0"/>
        <w:widowControl/>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健全生态环境信息公开制度</w:t>
      </w:r>
      <w:r>
        <w:rPr>
          <w:rFonts w:hint="default" w:ascii="Times New Roman" w:hAnsi="Times New Roman" w:eastAsia="方正仿宋_GBK" w:cs="Times New Roman"/>
          <w:snapToGrid w:val="0"/>
          <w:color w:val="000000"/>
          <w:kern w:val="0"/>
          <w:sz w:val="32"/>
          <w:szCs w:val="32"/>
          <w:lang w:val="en-US" w:eastAsia="zh-CN" w:bidi="ar-SA"/>
        </w:rPr>
        <w:t>。全面推进大气和水等环境信息公开、排污单位环境信息公开、监管部门环境信息公开制度，健全建设项目环境影响评价信息公开机制。完善环境新闻发言人和公众参与制度，引导群众树立环保意识，保障公众依法有序行使环境监督权。建立环境保护网络举报平台和举报制度，优化举报、听证、舆论监督等制度。</w:t>
      </w:r>
    </w:p>
    <w:p w14:paraId="497DA4FB">
      <w:pPr>
        <w:keepNext w:val="0"/>
        <w:keepLines w:val="0"/>
        <w:pageBreakBefore w:val="0"/>
        <w:widowControl/>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方正黑体_GBK" w:cs="Times New Roman"/>
          <w:color w:val="000000"/>
          <w:sz w:val="32"/>
          <w:szCs w:val="32"/>
          <w:lang w:val="zh-TW" w:eastAsia="zh-CN"/>
        </w:rPr>
      </w:pPr>
      <w:r>
        <w:rPr>
          <w:rFonts w:hint="default" w:ascii="Times New Roman" w:hAnsi="Times New Roman" w:eastAsia="方正仿宋_GBK" w:cs="Times New Roman"/>
          <w:b/>
          <w:bCs/>
          <w:snapToGrid w:val="0"/>
          <w:color w:val="000000"/>
          <w:kern w:val="0"/>
          <w:sz w:val="32"/>
          <w:szCs w:val="32"/>
          <w:lang w:val="en-US" w:eastAsia="zh-CN" w:bidi="ar-SA"/>
        </w:rPr>
        <w:t>在环境管理中引入信用机制</w:t>
      </w:r>
      <w:r>
        <w:rPr>
          <w:rFonts w:hint="default" w:ascii="Times New Roman" w:hAnsi="Times New Roman" w:eastAsia="方正仿宋_GBK" w:cs="Times New Roman"/>
          <w:snapToGrid w:val="0"/>
          <w:color w:val="000000"/>
          <w:kern w:val="0"/>
          <w:sz w:val="32"/>
          <w:szCs w:val="32"/>
          <w:lang w:val="en-US" w:eastAsia="zh-CN" w:bidi="ar-SA"/>
        </w:rPr>
        <w:t>。深化公开透明的企业环境信用评价体系，优化自动评价、实时滚动的智能化信用评价模式，建立信用信息更为广泛便捷的共享机制，构建以信用为基础的新型监管模式，</w:t>
      </w:r>
      <w:r>
        <w:rPr>
          <w:rFonts w:hint="default" w:ascii="Times New Roman" w:hAnsi="Times New Roman" w:eastAsia="方正仿宋_GBK" w:cs="Times New Roman"/>
          <w:snapToGrid w:val="0"/>
          <w:color w:val="000000"/>
          <w:kern w:val="0"/>
          <w:sz w:val="32"/>
          <w:szCs w:val="32"/>
          <w:highlight w:val="none"/>
          <w:lang w:val="en-US" w:eastAsia="zh-CN" w:bidi="ar-SA"/>
        </w:rPr>
        <w:t>加强区域环境信用交流合作，探索以环保信用助推绿色金融发展。</w:t>
      </w:r>
      <w:r>
        <w:rPr>
          <w:rFonts w:hint="default" w:ascii="Times New Roman" w:hAnsi="Times New Roman" w:eastAsia="方正仿宋_GBK" w:cs="Times New Roman"/>
          <w:snapToGrid w:val="0"/>
          <w:color w:val="000000"/>
          <w:kern w:val="0"/>
          <w:sz w:val="32"/>
          <w:szCs w:val="32"/>
          <w:lang w:val="en-US" w:eastAsia="zh-CN" w:bidi="ar-SA"/>
        </w:rPr>
        <w:t>强化生态环境领域第三方信用监管，落实生态环境领域第三方服务机构及从业人员信用监管制度，推动信用承诺和第三方信用信息归集，形成以市场主体相互监督为主、政府公众多方参与的信用监督新格局。</w:t>
      </w:r>
    </w:p>
    <w:p w14:paraId="5A4CCE31">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2F0D8FEB">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0B2D0280">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2D71BCCE">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013D3F3B">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1F3A424E">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2D45F559">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1DF9DDE4">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51709781">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568601D3">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0BFBDBED">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5CDFB630">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4BFBDCA6">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64E94C73">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092736E0">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0A97DC7A">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4E08AA07">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1DB762C6">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01290100">
      <w:pPr>
        <w:pStyle w:val="12"/>
        <w:spacing w:before="327" w:beforeLines="100" w:after="327" w:afterLines="100" w:line="578" w:lineRule="exact"/>
        <w:ind w:left="0" w:leftChars="0" w:firstLine="0" w:firstLineChars="0"/>
        <w:jc w:val="center"/>
        <w:rPr>
          <w:rFonts w:hint="default" w:ascii="Times New Roman" w:hAnsi="Times New Roman" w:eastAsia="方正黑体_GBK" w:cs="Times New Roman"/>
          <w:sz w:val="36"/>
          <w:szCs w:val="36"/>
          <w:highlight w:val="none"/>
          <w:lang w:eastAsia="zh-CN"/>
        </w:rPr>
      </w:pPr>
      <w:r>
        <w:rPr>
          <w:rFonts w:hint="default" w:ascii="Times New Roman" w:hAnsi="Times New Roman" w:eastAsia="方正黑体_GBK" w:cs="Times New Roman"/>
          <w:sz w:val="36"/>
          <w:szCs w:val="36"/>
          <w:highlight w:val="none"/>
        </w:rPr>
        <w:t>第</w:t>
      </w:r>
      <w:r>
        <w:rPr>
          <w:rFonts w:hint="default" w:ascii="Times New Roman" w:hAnsi="Times New Roman" w:eastAsia="方正黑体_GBK" w:cs="Times New Roman"/>
          <w:sz w:val="36"/>
          <w:szCs w:val="36"/>
          <w:highlight w:val="none"/>
          <w:lang w:eastAsia="zh-CN"/>
        </w:rPr>
        <w:t>八章</w:t>
      </w:r>
      <w:r>
        <w:rPr>
          <w:rFonts w:hint="default" w:ascii="Times New Roman" w:hAnsi="Times New Roman" w:eastAsia="方正黑体_GBK" w:cs="Times New Roman"/>
          <w:sz w:val="36"/>
          <w:szCs w:val="36"/>
          <w:highlight w:val="none"/>
        </w:rPr>
        <w:t xml:space="preserve">  重点工程与效益分析</w:t>
      </w:r>
    </w:p>
    <w:p w14:paraId="4FCAEFC9">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r>
        <w:rPr>
          <w:rFonts w:hint="default" w:ascii="Times New Roman" w:hAnsi="Times New Roman" w:eastAsia="方正黑体_GBK" w:cs="Times New Roman"/>
          <w:sz w:val="32"/>
          <w:szCs w:val="32"/>
          <w:highlight w:val="none"/>
        </w:rPr>
        <w:t>一、重点工程</w:t>
      </w:r>
    </w:p>
    <w:p w14:paraId="4FE9FBF1">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仿宋_GBK" w:cs="Times New Roman"/>
          <w:snapToGrid w:val="0"/>
          <w:color w:val="000000"/>
          <w:kern w:val="0"/>
          <w:sz w:val="32"/>
          <w:szCs w:val="32"/>
          <w:lang w:val="zh-TW" w:eastAsia="zh-CN" w:bidi="ar-SA"/>
        </w:rPr>
      </w:pPr>
      <w:r>
        <w:rPr>
          <w:rFonts w:hint="default" w:ascii="Times New Roman" w:hAnsi="Times New Roman" w:eastAsia="方正仿宋_GBK" w:cs="Times New Roman"/>
          <w:snapToGrid w:val="0"/>
          <w:color w:val="000000"/>
          <w:kern w:val="0"/>
          <w:sz w:val="32"/>
          <w:szCs w:val="32"/>
          <w:lang w:val="en-US" w:eastAsia="zh-CN" w:bidi="ar-SA"/>
        </w:rPr>
        <w:t>围绕秦淮区生态文明建设指标体系框架、规划目标和重点领域建设任务，结合“十四五”时期规划实施的重大项目，分类梳理秦淮区生态文明建设五大体系重点工程。在2024—2030年规划期内，</w:t>
      </w:r>
      <w:r>
        <w:rPr>
          <w:rFonts w:hint="default" w:ascii="Times New Roman" w:hAnsi="Times New Roman" w:eastAsia="方正仿宋_GBK" w:cs="Times New Roman"/>
          <w:snapToGrid w:val="0"/>
          <w:color w:val="000000"/>
          <w:kern w:val="0"/>
          <w:sz w:val="32"/>
          <w:szCs w:val="32"/>
          <w:highlight w:val="none"/>
          <w:lang w:val="en-US" w:eastAsia="zh-CN" w:bidi="ar-SA"/>
        </w:rPr>
        <w:t>共实施生态文明建设重点工程项目34项，预计总投资约192.87亿元</w:t>
      </w:r>
      <w:r>
        <w:rPr>
          <w:rFonts w:hint="default" w:ascii="Times New Roman" w:hAnsi="Times New Roman" w:eastAsia="方正仿宋_GBK" w:cs="Times New Roman"/>
          <w:snapToGrid w:val="0"/>
          <w:color w:val="000000"/>
          <w:kern w:val="0"/>
          <w:sz w:val="32"/>
          <w:szCs w:val="32"/>
          <w:lang w:val="en-US" w:eastAsia="zh-CN" w:bidi="ar-SA"/>
        </w:rPr>
        <w:t>（详见下表及附件）。</w:t>
      </w:r>
    </w:p>
    <w:p w14:paraId="0D91D21C">
      <w:pPr>
        <w:spacing w:line="600" w:lineRule="exact"/>
        <w:ind w:firstLine="0" w:firstLineChars="0"/>
        <w:jc w:val="center"/>
        <w:rPr>
          <w:rFonts w:hint="default" w:ascii="Times New Roman" w:hAnsi="Times New Roman" w:eastAsia="方正楷体_GBK" w:cs="Times New Roman"/>
          <w:sz w:val="28"/>
          <w:szCs w:val="18"/>
        </w:rPr>
      </w:pPr>
      <w:r>
        <w:rPr>
          <w:rFonts w:hint="default" w:ascii="Times New Roman" w:hAnsi="Times New Roman" w:eastAsia="方正楷体_GBK" w:cs="Times New Roman"/>
          <w:sz w:val="28"/>
          <w:szCs w:val="18"/>
        </w:rPr>
        <w:t>表8-1</w:t>
      </w:r>
      <w:r>
        <w:rPr>
          <w:rFonts w:hint="default" w:ascii="Times New Roman" w:hAnsi="Times New Roman" w:eastAsia="方正楷体_GBK" w:cs="Times New Roman"/>
          <w:sz w:val="28"/>
          <w:szCs w:val="18"/>
          <w:lang w:val="en-US" w:eastAsia="zh-CN"/>
        </w:rPr>
        <w:t xml:space="preserve"> </w:t>
      </w:r>
      <w:r>
        <w:rPr>
          <w:rFonts w:hint="default" w:ascii="Times New Roman" w:hAnsi="Times New Roman" w:eastAsia="方正楷体_GBK" w:cs="Times New Roman"/>
          <w:sz w:val="28"/>
          <w:szCs w:val="18"/>
        </w:rPr>
        <w:t>重点工程统计表</w:t>
      </w:r>
    </w:p>
    <w:tbl>
      <w:tblPr>
        <w:tblStyle w:val="13"/>
        <w:tblW w:w="4575" w:type="pct"/>
        <w:jc w:val="center"/>
        <w:tblLayout w:type="autofit"/>
        <w:tblCellMar>
          <w:top w:w="0" w:type="dxa"/>
          <w:left w:w="108" w:type="dxa"/>
          <w:bottom w:w="0" w:type="dxa"/>
          <w:right w:w="108" w:type="dxa"/>
        </w:tblCellMar>
      </w:tblPr>
      <w:tblGrid>
        <w:gridCol w:w="1010"/>
        <w:gridCol w:w="3111"/>
        <w:gridCol w:w="1680"/>
        <w:gridCol w:w="2385"/>
      </w:tblGrid>
      <w:tr w14:paraId="4254B5DB">
        <w:tblPrEx>
          <w:tblCellMar>
            <w:top w:w="0" w:type="dxa"/>
            <w:left w:w="108" w:type="dxa"/>
            <w:bottom w:w="0" w:type="dxa"/>
            <w:right w:w="108" w:type="dxa"/>
          </w:tblCellMar>
        </w:tblPrEx>
        <w:trPr>
          <w:trHeight w:val="490" w:hRule="atLeast"/>
          <w:jc w:val="center"/>
        </w:trPr>
        <w:tc>
          <w:tcPr>
            <w:tcW w:w="617" w:type="pct"/>
            <w:tcBorders>
              <w:top w:val="single" w:color="auto" w:sz="4" w:space="0"/>
              <w:left w:val="single" w:color="auto" w:sz="4" w:space="0"/>
              <w:bottom w:val="single" w:color="auto" w:sz="4" w:space="0"/>
              <w:right w:val="single" w:color="auto" w:sz="4" w:space="0"/>
            </w:tcBorders>
            <w:vAlign w:val="center"/>
          </w:tcPr>
          <w:p w14:paraId="4B47BFE6">
            <w:pPr>
              <w:ind w:firstLine="0" w:firstLineChars="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序号</w:t>
            </w:r>
          </w:p>
        </w:tc>
        <w:tc>
          <w:tcPr>
            <w:tcW w:w="1900" w:type="pct"/>
            <w:tcBorders>
              <w:top w:val="single" w:color="auto" w:sz="4" w:space="0"/>
              <w:left w:val="nil"/>
              <w:bottom w:val="single" w:color="auto" w:sz="4" w:space="0"/>
              <w:right w:val="single" w:color="auto" w:sz="4" w:space="0"/>
            </w:tcBorders>
            <w:vAlign w:val="center"/>
          </w:tcPr>
          <w:p w14:paraId="5403E879">
            <w:pPr>
              <w:ind w:firstLine="0" w:firstLineChars="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项目类别</w:t>
            </w:r>
          </w:p>
        </w:tc>
        <w:tc>
          <w:tcPr>
            <w:tcW w:w="1026" w:type="pct"/>
            <w:tcBorders>
              <w:top w:val="single" w:color="auto" w:sz="4" w:space="0"/>
              <w:left w:val="nil"/>
              <w:bottom w:val="single" w:color="auto" w:sz="4" w:space="0"/>
              <w:right w:val="single" w:color="auto" w:sz="4" w:space="0"/>
            </w:tcBorders>
            <w:vAlign w:val="center"/>
          </w:tcPr>
          <w:p w14:paraId="2C226E4D">
            <w:pPr>
              <w:ind w:firstLine="0" w:firstLineChars="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子项目个数</w:t>
            </w:r>
          </w:p>
        </w:tc>
        <w:tc>
          <w:tcPr>
            <w:tcW w:w="1457" w:type="pct"/>
            <w:tcBorders>
              <w:top w:val="single" w:color="auto" w:sz="4" w:space="0"/>
              <w:left w:val="nil"/>
              <w:bottom w:val="single" w:color="auto" w:sz="4" w:space="0"/>
              <w:right w:val="single" w:color="auto" w:sz="4" w:space="0"/>
            </w:tcBorders>
            <w:vAlign w:val="center"/>
          </w:tcPr>
          <w:p w14:paraId="7FF7D6F9">
            <w:pPr>
              <w:ind w:firstLine="0" w:firstLineChars="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预估投资（万元）</w:t>
            </w:r>
          </w:p>
        </w:tc>
      </w:tr>
      <w:tr w14:paraId="026AF6B1">
        <w:tblPrEx>
          <w:tblCellMar>
            <w:top w:w="0" w:type="dxa"/>
            <w:left w:w="108" w:type="dxa"/>
            <w:bottom w:w="0" w:type="dxa"/>
            <w:right w:w="108" w:type="dxa"/>
          </w:tblCellMar>
        </w:tblPrEx>
        <w:trPr>
          <w:trHeight w:val="490" w:hRule="atLeast"/>
          <w:jc w:val="center"/>
        </w:trPr>
        <w:tc>
          <w:tcPr>
            <w:tcW w:w="617" w:type="pct"/>
            <w:tcBorders>
              <w:top w:val="single" w:color="auto" w:sz="4" w:space="0"/>
              <w:left w:val="single" w:color="auto" w:sz="4" w:space="0"/>
              <w:bottom w:val="single" w:color="auto" w:sz="4" w:space="0"/>
              <w:right w:val="single" w:color="auto" w:sz="4" w:space="0"/>
            </w:tcBorders>
            <w:vAlign w:val="center"/>
          </w:tcPr>
          <w:p w14:paraId="411717B3">
            <w:pPr>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c>
          <w:tcPr>
            <w:tcW w:w="1900" w:type="pct"/>
            <w:tcBorders>
              <w:top w:val="single" w:color="auto" w:sz="4" w:space="0"/>
              <w:left w:val="nil"/>
              <w:bottom w:val="single" w:color="auto" w:sz="4" w:space="0"/>
              <w:right w:val="single" w:color="auto" w:sz="4" w:space="0"/>
            </w:tcBorders>
            <w:vAlign w:val="center"/>
          </w:tcPr>
          <w:p w14:paraId="5EF9E4C7">
            <w:pPr>
              <w:ind w:firstLine="0" w:firstLineChars="0"/>
              <w:jc w:val="center"/>
              <w:rPr>
                <w:rFonts w:hint="default" w:ascii="Times New Roman" w:hAnsi="Times New Roman" w:eastAsia="仿宋" w:cs="Times New Roman"/>
                <w:bCs/>
                <w:sz w:val="21"/>
                <w:szCs w:val="21"/>
              </w:rPr>
            </w:pPr>
            <w:r>
              <w:rPr>
                <w:rFonts w:hint="default" w:ascii="Times New Roman" w:hAnsi="Times New Roman" w:eastAsia="仿宋" w:cs="Times New Roman"/>
                <w:sz w:val="21"/>
                <w:szCs w:val="21"/>
              </w:rPr>
              <w:t>目标责任</w:t>
            </w:r>
            <w:r>
              <w:rPr>
                <w:rFonts w:hint="default" w:ascii="Times New Roman" w:hAnsi="Times New Roman" w:eastAsia="仿宋" w:cs="Times New Roman"/>
                <w:bCs/>
                <w:sz w:val="21"/>
                <w:szCs w:val="21"/>
              </w:rPr>
              <w:t>体系建设</w:t>
            </w:r>
          </w:p>
        </w:tc>
        <w:tc>
          <w:tcPr>
            <w:tcW w:w="1026" w:type="pct"/>
            <w:tcBorders>
              <w:top w:val="single" w:color="auto" w:sz="4" w:space="0"/>
              <w:left w:val="nil"/>
              <w:bottom w:val="single" w:color="auto" w:sz="4" w:space="0"/>
              <w:right w:val="single" w:color="auto" w:sz="4" w:space="0"/>
            </w:tcBorders>
            <w:vAlign w:val="center"/>
          </w:tcPr>
          <w:p w14:paraId="6A6DC551">
            <w:pPr>
              <w:ind w:firstLine="0" w:firstLineChars="0"/>
              <w:jc w:val="center"/>
              <w:rPr>
                <w:rFonts w:hint="default" w:ascii="Times New Roman" w:hAnsi="Times New Roman" w:eastAsia="仿宋" w:cs="Times New Roman"/>
                <w:bCs/>
                <w:sz w:val="21"/>
                <w:szCs w:val="21"/>
              </w:rPr>
            </w:pPr>
            <w:r>
              <w:rPr>
                <w:rFonts w:hint="default" w:ascii="Times New Roman" w:hAnsi="Times New Roman" w:eastAsia="仿宋" w:cs="Times New Roman"/>
                <w:sz w:val="22"/>
              </w:rPr>
              <w:t>3</w:t>
            </w:r>
          </w:p>
        </w:tc>
        <w:tc>
          <w:tcPr>
            <w:tcW w:w="1457" w:type="pct"/>
            <w:tcBorders>
              <w:top w:val="single" w:color="auto" w:sz="4" w:space="0"/>
              <w:left w:val="nil"/>
              <w:bottom w:val="single" w:color="auto" w:sz="4" w:space="0"/>
              <w:right w:val="single" w:color="auto" w:sz="4" w:space="0"/>
            </w:tcBorders>
            <w:vAlign w:val="center"/>
          </w:tcPr>
          <w:p w14:paraId="3905ACD1">
            <w:pPr>
              <w:ind w:firstLine="0" w:firstLineChars="0"/>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2"/>
              </w:rPr>
              <w:t>—</w:t>
            </w:r>
          </w:p>
        </w:tc>
      </w:tr>
      <w:tr w14:paraId="32A895C8">
        <w:tblPrEx>
          <w:tblCellMar>
            <w:top w:w="0" w:type="dxa"/>
            <w:left w:w="108" w:type="dxa"/>
            <w:bottom w:w="0" w:type="dxa"/>
            <w:right w:w="108" w:type="dxa"/>
          </w:tblCellMar>
        </w:tblPrEx>
        <w:trPr>
          <w:trHeight w:val="490" w:hRule="atLeast"/>
          <w:jc w:val="center"/>
        </w:trPr>
        <w:tc>
          <w:tcPr>
            <w:tcW w:w="617" w:type="pct"/>
            <w:tcBorders>
              <w:top w:val="single" w:color="auto" w:sz="4" w:space="0"/>
              <w:left w:val="single" w:color="auto" w:sz="4" w:space="0"/>
              <w:bottom w:val="single" w:color="auto" w:sz="4" w:space="0"/>
              <w:right w:val="single" w:color="auto" w:sz="4" w:space="0"/>
            </w:tcBorders>
            <w:vAlign w:val="center"/>
          </w:tcPr>
          <w:p w14:paraId="6932AE05">
            <w:pPr>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w:t>
            </w:r>
          </w:p>
        </w:tc>
        <w:tc>
          <w:tcPr>
            <w:tcW w:w="1900" w:type="pct"/>
            <w:tcBorders>
              <w:top w:val="single" w:color="auto" w:sz="4" w:space="0"/>
              <w:left w:val="nil"/>
              <w:bottom w:val="single" w:color="auto" w:sz="4" w:space="0"/>
              <w:right w:val="single" w:color="auto" w:sz="4" w:space="0"/>
            </w:tcBorders>
            <w:vAlign w:val="center"/>
          </w:tcPr>
          <w:p w14:paraId="1A532896">
            <w:pPr>
              <w:ind w:firstLine="0" w:firstLineChars="0"/>
              <w:jc w:val="center"/>
              <w:rPr>
                <w:rFonts w:hint="default" w:ascii="Times New Roman" w:hAnsi="Times New Roman" w:eastAsia="仿宋" w:cs="Times New Roman"/>
                <w:bCs/>
                <w:sz w:val="21"/>
                <w:szCs w:val="21"/>
              </w:rPr>
            </w:pPr>
            <w:r>
              <w:rPr>
                <w:rFonts w:hint="default" w:ascii="Times New Roman" w:hAnsi="Times New Roman" w:eastAsia="仿宋" w:cs="Times New Roman"/>
                <w:sz w:val="21"/>
                <w:szCs w:val="21"/>
              </w:rPr>
              <w:t>生态安全</w:t>
            </w:r>
            <w:r>
              <w:rPr>
                <w:rFonts w:hint="default" w:ascii="Times New Roman" w:hAnsi="Times New Roman" w:eastAsia="仿宋" w:cs="Times New Roman"/>
                <w:bCs/>
                <w:sz w:val="21"/>
                <w:szCs w:val="21"/>
              </w:rPr>
              <w:t>体系建设</w:t>
            </w:r>
          </w:p>
        </w:tc>
        <w:tc>
          <w:tcPr>
            <w:tcW w:w="1026" w:type="pct"/>
            <w:tcBorders>
              <w:top w:val="single" w:color="auto" w:sz="4" w:space="0"/>
              <w:left w:val="nil"/>
              <w:bottom w:val="single" w:color="auto" w:sz="4" w:space="0"/>
              <w:right w:val="single" w:color="auto" w:sz="4" w:space="0"/>
            </w:tcBorders>
            <w:vAlign w:val="center"/>
          </w:tcPr>
          <w:p w14:paraId="28A5FA02">
            <w:pPr>
              <w:ind w:firstLine="0" w:firstLineChars="0"/>
              <w:jc w:val="center"/>
              <w:rPr>
                <w:rFonts w:hint="default" w:ascii="Times New Roman" w:hAnsi="Times New Roman" w:eastAsia="仿宋" w:cs="Times New Roman"/>
                <w:bCs/>
                <w:sz w:val="21"/>
                <w:szCs w:val="21"/>
              </w:rPr>
            </w:pPr>
            <w:r>
              <w:rPr>
                <w:rFonts w:hint="default" w:ascii="Times New Roman" w:hAnsi="Times New Roman" w:eastAsia="仿宋" w:cs="Times New Roman"/>
                <w:sz w:val="22"/>
              </w:rPr>
              <w:t>15</w:t>
            </w:r>
          </w:p>
        </w:tc>
        <w:tc>
          <w:tcPr>
            <w:tcW w:w="1457" w:type="pct"/>
            <w:tcBorders>
              <w:top w:val="single" w:color="auto" w:sz="4" w:space="0"/>
              <w:left w:val="nil"/>
              <w:bottom w:val="single" w:color="auto" w:sz="4" w:space="0"/>
              <w:right w:val="single" w:color="auto" w:sz="4" w:space="0"/>
            </w:tcBorders>
            <w:vAlign w:val="center"/>
          </w:tcPr>
          <w:p w14:paraId="2628D769">
            <w:pPr>
              <w:ind w:firstLine="0" w:firstLineChars="0"/>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2"/>
              </w:rPr>
              <w:t>20213</w:t>
            </w:r>
          </w:p>
        </w:tc>
      </w:tr>
      <w:tr w14:paraId="0E7A1BF0">
        <w:tblPrEx>
          <w:tblCellMar>
            <w:top w:w="0" w:type="dxa"/>
            <w:left w:w="108" w:type="dxa"/>
            <w:bottom w:w="0" w:type="dxa"/>
            <w:right w:w="108" w:type="dxa"/>
          </w:tblCellMar>
        </w:tblPrEx>
        <w:trPr>
          <w:trHeight w:val="490" w:hRule="atLeast"/>
          <w:jc w:val="center"/>
        </w:trPr>
        <w:tc>
          <w:tcPr>
            <w:tcW w:w="617" w:type="pct"/>
            <w:tcBorders>
              <w:top w:val="single" w:color="auto" w:sz="4" w:space="0"/>
              <w:left w:val="single" w:color="auto" w:sz="4" w:space="0"/>
              <w:bottom w:val="single" w:color="auto" w:sz="4" w:space="0"/>
              <w:right w:val="single" w:color="auto" w:sz="4" w:space="0"/>
            </w:tcBorders>
            <w:vAlign w:val="center"/>
          </w:tcPr>
          <w:p w14:paraId="57C008F7">
            <w:pPr>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w:t>
            </w:r>
          </w:p>
        </w:tc>
        <w:tc>
          <w:tcPr>
            <w:tcW w:w="1900" w:type="pct"/>
            <w:tcBorders>
              <w:top w:val="single" w:color="auto" w:sz="4" w:space="0"/>
              <w:left w:val="nil"/>
              <w:bottom w:val="single" w:color="auto" w:sz="4" w:space="0"/>
              <w:right w:val="single" w:color="auto" w:sz="4" w:space="0"/>
            </w:tcBorders>
            <w:vAlign w:val="center"/>
          </w:tcPr>
          <w:p w14:paraId="16BE01AC">
            <w:pPr>
              <w:ind w:firstLine="0" w:firstLineChars="0"/>
              <w:jc w:val="center"/>
              <w:rPr>
                <w:rFonts w:hint="default" w:ascii="Times New Roman" w:hAnsi="Times New Roman" w:eastAsia="仿宋" w:cs="Times New Roman"/>
                <w:bCs/>
                <w:sz w:val="21"/>
                <w:szCs w:val="21"/>
              </w:rPr>
            </w:pPr>
            <w:r>
              <w:rPr>
                <w:rFonts w:hint="default" w:ascii="Times New Roman" w:hAnsi="Times New Roman" w:eastAsia="仿宋" w:cs="Times New Roman"/>
                <w:sz w:val="21"/>
                <w:szCs w:val="21"/>
              </w:rPr>
              <w:t>生态经济体系建设</w:t>
            </w:r>
          </w:p>
        </w:tc>
        <w:tc>
          <w:tcPr>
            <w:tcW w:w="1026" w:type="pct"/>
            <w:tcBorders>
              <w:top w:val="single" w:color="auto" w:sz="4" w:space="0"/>
              <w:left w:val="nil"/>
              <w:bottom w:val="single" w:color="auto" w:sz="4" w:space="0"/>
              <w:right w:val="single" w:color="auto" w:sz="4" w:space="0"/>
            </w:tcBorders>
            <w:vAlign w:val="center"/>
          </w:tcPr>
          <w:p w14:paraId="7777ABBF">
            <w:pPr>
              <w:ind w:firstLine="0" w:firstLineChars="0"/>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2"/>
              </w:rPr>
              <w:t>9</w:t>
            </w:r>
          </w:p>
        </w:tc>
        <w:tc>
          <w:tcPr>
            <w:tcW w:w="1457" w:type="pct"/>
            <w:tcBorders>
              <w:top w:val="single" w:color="auto" w:sz="4" w:space="0"/>
              <w:left w:val="nil"/>
              <w:bottom w:val="single" w:color="auto" w:sz="4" w:space="0"/>
              <w:right w:val="single" w:color="auto" w:sz="4" w:space="0"/>
            </w:tcBorders>
            <w:vAlign w:val="center"/>
          </w:tcPr>
          <w:p w14:paraId="57CC9A2A">
            <w:pPr>
              <w:ind w:firstLine="0" w:firstLineChars="0"/>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2"/>
              </w:rPr>
              <w:t>1</w:t>
            </w:r>
            <w:r>
              <w:rPr>
                <w:rFonts w:hint="default" w:ascii="Times New Roman" w:hAnsi="Times New Roman" w:eastAsia="仿宋" w:cs="Times New Roman"/>
                <w:bCs/>
                <w:sz w:val="22"/>
                <w:lang w:val="en-US" w:eastAsia="zh-CN"/>
              </w:rPr>
              <w:t>7511</w:t>
            </w:r>
            <w:r>
              <w:rPr>
                <w:rFonts w:hint="default" w:ascii="Times New Roman" w:hAnsi="Times New Roman" w:eastAsia="仿宋" w:cs="Times New Roman"/>
                <w:bCs/>
                <w:sz w:val="22"/>
              </w:rPr>
              <w:t>00</w:t>
            </w:r>
          </w:p>
        </w:tc>
      </w:tr>
      <w:tr w14:paraId="4256CE84">
        <w:tblPrEx>
          <w:tblCellMar>
            <w:top w:w="0" w:type="dxa"/>
            <w:left w:w="108" w:type="dxa"/>
            <w:bottom w:w="0" w:type="dxa"/>
            <w:right w:w="108" w:type="dxa"/>
          </w:tblCellMar>
        </w:tblPrEx>
        <w:trPr>
          <w:trHeight w:val="490" w:hRule="atLeast"/>
          <w:jc w:val="center"/>
        </w:trPr>
        <w:tc>
          <w:tcPr>
            <w:tcW w:w="617" w:type="pct"/>
            <w:tcBorders>
              <w:top w:val="single" w:color="auto" w:sz="4" w:space="0"/>
              <w:left w:val="single" w:color="auto" w:sz="4" w:space="0"/>
              <w:bottom w:val="single" w:color="auto" w:sz="4" w:space="0"/>
              <w:right w:val="single" w:color="auto" w:sz="4" w:space="0"/>
            </w:tcBorders>
            <w:vAlign w:val="center"/>
          </w:tcPr>
          <w:p w14:paraId="0A38C5DD">
            <w:pPr>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w:t>
            </w:r>
          </w:p>
        </w:tc>
        <w:tc>
          <w:tcPr>
            <w:tcW w:w="1900" w:type="pct"/>
            <w:tcBorders>
              <w:top w:val="single" w:color="auto" w:sz="4" w:space="0"/>
              <w:left w:val="nil"/>
              <w:bottom w:val="single" w:color="auto" w:sz="4" w:space="0"/>
              <w:right w:val="single" w:color="auto" w:sz="4" w:space="0"/>
            </w:tcBorders>
            <w:vAlign w:val="center"/>
          </w:tcPr>
          <w:p w14:paraId="098CF691">
            <w:pPr>
              <w:ind w:firstLine="0" w:firstLineChars="0"/>
              <w:jc w:val="center"/>
              <w:rPr>
                <w:rFonts w:hint="default" w:ascii="Times New Roman" w:hAnsi="Times New Roman" w:eastAsia="仿宋" w:cs="Times New Roman"/>
                <w:bCs/>
                <w:sz w:val="21"/>
                <w:szCs w:val="21"/>
              </w:rPr>
            </w:pPr>
            <w:r>
              <w:rPr>
                <w:rFonts w:hint="default" w:ascii="Times New Roman" w:hAnsi="Times New Roman" w:eastAsia="仿宋" w:cs="Times New Roman"/>
                <w:sz w:val="21"/>
                <w:szCs w:val="21"/>
              </w:rPr>
              <w:t>生态文化体系建设</w:t>
            </w:r>
          </w:p>
        </w:tc>
        <w:tc>
          <w:tcPr>
            <w:tcW w:w="1026" w:type="pct"/>
            <w:tcBorders>
              <w:top w:val="single" w:color="auto" w:sz="4" w:space="0"/>
              <w:left w:val="nil"/>
              <w:bottom w:val="single" w:color="auto" w:sz="4" w:space="0"/>
              <w:right w:val="single" w:color="auto" w:sz="4" w:space="0"/>
            </w:tcBorders>
            <w:vAlign w:val="center"/>
          </w:tcPr>
          <w:p w14:paraId="502FCFA9">
            <w:pPr>
              <w:ind w:firstLine="0" w:firstLineChars="0"/>
              <w:jc w:val="center"/>
              <w:rPr>
                <w:rFonts w:hint="default" w:ascii="Times New Roman" w:hAnsi="Times New Roman" w:eastAsia="仿宋" w:cs="Times New Roman"/>
                <w:bCs/>
                <w:sz w:val="21"/>
                <w:szCs w:val="21"/>
                <w:lang w:val="en-US" w:eastAsia="zh-CN"/>
              </w:rPr>
            </w:pPr>
            <w:r>
              <w:rPr>
                <w:rFonts w:hint="default" w:ascii="Times New Roman" w:hAnsi="Times New Roman" w:eastAsia="仿宋" w:cs="Times New Roman"/>
                <w:bCs/>
                <w:sz w:val="21"/>
                <w:szCs w:val="21"/>
                <w:lang w:val="en-US" w:eastAsia="zh-CN"/>
              </w:rPr>
              <w:t>5</w:t>
            </w:r>
          </w:p>
        </w:tc>
        <w:tc>
          <w:tcPr>
            <w:tcW w:w="1457" w:type="pct"/>
            <w:tcBorders>
              <w:top w:val="single" w:color="auto" w:sz="4" w:space="0"/>
              <w:left w:val="nil"/>
              <w:bottom w:val="single" w:color="auto" w:sz="4" w:space="0"/>
              <w:right w:val="single" w:color="auto" w:sz="4" w:space="0"/>
            </w:tcBorders>
            <w:vAlign w:val="center"/>
          </w:tcPr>
          <w:p w14:paraId="5CC115DA">
            <w:pPr>
              <w:ind w:firstLine="0" w:firstLineChars="0"/>
              <w:jc w:val="center"/>
              <w:rPr>
                <w:rFonts w:hint="default" w:ascii="Times New Roman" w:hAnsi="Times New Roman" w:eastAsia="仿宋" w:cs="Times New Roman"/>
                <w:bCs/>
                <w:sz w:val="21"/>
                <w:szCs w:val="21"/>
              </w:rPr>
            </w:pPr>
            <w:r>
              <w:rPr>
                <w:rFonts w:hint="default" w:ascii="Times New Roman" w:hAnsi="Times New Roman" w:eastAsia="仿宋" w:cs="Times New Roman"/>
                <w:sz w:val="22"/>
                <w:lang w:val="en-US" w:eastAsia="zh-CN"/>
              </w:rPr>
              <w:t>155</w:t>
            </w:r>
            <w:r>
              <w:rPr>
                <w:rFonts w:hint="default" w:ascii="Times New Roman" w:hAnsi="Times New Roman" w:eastAsia="仿宋" w:cs="Times New Roman"/>
                <w:sz w:val="22"/>
              </w:rPr>
              <w:t>860</w:t>
            </w:r>
          </w:p>
        </w:tc>
      </w:tr>
      <w:tr w14:paraId="47A154B4">
        <w:tblPrEx>
          <w:tblCellMar>
            <w:top w:w="0" w:type="dxa"/>
            <w:left w:w="108" w:type="dxa"/>
            <w:bottom w:w="0" w:type="dxa"/>
            <w:right w:w="108" w:type="dxa"/>
          </w:tblCellMar>
        </w:tblPrEx>
        <w:trPr>
          <w:trHeight w:val="490" w:hRule="atLeast"/>
          <w:jc w:val="center"/>
        </w:trPr>
        <w:tc>
          <w:tcPr>
            <w:tcW w:w="617" w:type="pct"/>
            <w:tcBorders>
              <w:top w:val="single" w:color="auto" w:sz="4" w:space="0"/>
              <w:left w:val="single" w:color="auto" w:sz="4" w:space="0"/>
              <w:bottom w:val="single" w:color="auto" w:sz="4" w:space="0"/>
              <w:right w:val="single" w:color="auto" w:sz="4" w:space="0"/>
            </w:tcBorders>
            <w:vAlign w:val="center"/>
          </w:tcPr>
          <w:p w14:paraId="3F934218">
            <w:pPr>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5</w:t>
            </w:r>
          </w:p>
        </w:tc>
        <w:tc>
          <w:tcPr>
            <w:tcW w:w="1900" w:type="pct"/>
            <w:tcBorders>
              <w:top w:val="single" w:color="auto" w:sz="4" w:space="0"/>
              <w:left w:val="nil"/>
              <w:bottom w:val="single" w:color="auto" w:sz="4" w:space="0"/>
              <w:right w:val="single" w:color="auto" w:sz="4" w:space="0"/>
            </w:tcBorders>
            <w:vAlign w:val="center"/>
          </w:tcPr>
          <w:p w14:paraId="0D21FFEE">
            <w:pPr>
              <w:ind w:firstLine="0" w:firstLineChars="0"/>
              <w:jc w:val="center"/>
              <w:rPr>
                <w:rFonts w:hint="default" w:ascii="Times New Roman" w:hAnsi="Times New Roman" w:eastAsia="仿宋" w:cs="Times New Roman"/>
                <w:bCs/>
                <w:sz w:val="21"/>
                <w:szCs w:val="21"/>
              </w:rPr>
            </w:pPr>
            <w:r>
              <w:rPr>
                <w:rFonts w:hint="default" w:ascii="Times New Roman" w:hAnsi="Times New Roman" w:eastAsia="仿宋" w:cs="Times New Roman"/>
                <w:sz w:val="21"/>
                <w:szCs w:val="21"/>
              </w:rPr>
              <w:t>生态制度体系建设</w:t>
            </w:r>
          </w:p>
        </w:tc>
        <w:tc>
          <w:tcPr>
            <w:tcW w:w="1026" w:type="pct"/>
            <w:tcBorders>
              <w:top w:val="single" w:color="auto" w:sz="4" w:space="0"/>
              <w:left w:val="nil"/>
              <w:bottom w:val="single" w:color="auto" w:sz="4" w:space="0"/>
              <w:right w:val="single" w:color="auto" w:sz="4" w:space="0"/>
            </w:tcBorders>
            <w:vAlign w:val="center"/>
          </w:tcPr>
          <w:p w14:paraId="22D06710">
            <w:pPr>
              <w:ind w:firstLine="0" w:firstLineChars="0"/>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2"/>
              </w:rPr>
              <w:t>2</w:t>
            </w:r>
          </w:p>
        </w:tc>
        <w:tc>
          <w:tcPr>
            <w:tcW w:w="1457" w:type="pct"/>
            <w:tcBorders>
              <w:top w:val="single" w:color="auto" w:sz="4" w:space="0"/>
              <w:left w:val="nil"/>
              <w:bottom w:val="single" w:color="auto" w:sz="4" w:space="0"/>
              <w:right w:val="single" w:color="auto" w:sz="4" w:space="0"/>
            </w:tcBorders>
            <w:vAlign w:val="center"/>
          </w:tcPr>
          <w:p w14:paraId="2EFE0A94">
            <w:pPr>
              <w:ind w:firstLine="0" w:firstLineChars="0"/>
              <w:jc w:val="center"/>
              <w:rPr>
                <w:rFonts w:hint="default" w:ascii="Times New Roman" w:hAnsi="Times New Roman" w:eastAsia="仿宋" w:cs="Times New Roman"/>
                <w:bCs/>
                <w:sz w:val="21"/>
                <w:szCs w:val="21"/>
              </w:rPr>
            </w:pPr>
            <w:r>
              <w:rPr>
                <w:rFonts w:hint="default" w:ascii="Times New Roman" w:hAnsi="Times New Roman" w:eastAsia="仿宋" w:cs="Times New Roman"/>
                <w:sz w:val="22"/>
              </w:rPr>
              <w:t>1500</w:t>
            </w:r>
          </w:p>
        </w:tc>
      </w:tr>
      <w:tr w14:paraId="5292DCA8">
        <w:tblPrEx>
          <w:tblCellMar>
            <w:top w:w="0" w:type="dxa"/>
            <w:left w:w="108" w:type="dxa"/>
            <w:bottom w:w="0" w:type="dxa"/>
            <w:right w:w="108" w:type="dxa"/>
          </w:tblCellMar>
        </w:tblPrEx>
        <w:trPr>
          <w:trHeight w:val="346" w:hRule="atLeast"/>
          <w:jc w:val="center"/>
        </w:trPr>
        <w:tc>
          <w:tcPr>
            <w:tcW w:w="2517" w:type="pct"/>
            <w:gridSpan w:val="2"/>
            <w:tcBorders>
              <w:top w:val="single" w:color="auto" w:sz="4" w:space="0"/>
              <w:left w:val="single" w:color="auto" w:sz="4" w:space="0"/>
              <w:bottom w:val="single" w:color="auto" w:sz="4" w:space="0"/>
              <w:right w:val="single" w:color="auto" w:sz="4" w:space="0"/>
            </w:tcBorders>
            <w:vAlign w:val="center"/>
          </w:tcPr>
          <w:p w14:paraId="6760300C">
            <w:pPr>
              <w:ind w:firstLine="0" w:firstLineChars="0"/>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合计</w:t>
            </w:r>
          </w:p>
        </w:tc>
        <w:tc>
          <w:tcPr>
            <w:tcW w:w="1026" w:type="pct"/>
            <w:tcBorders>
              <w:top w:val="nil"/>
              <w:left w:val="nil"/>
              <w:bottom w:val="single" w:color="auto" w:sz="4" w:space="0"/>
              <w:right w:val="single" w:color="auto" w:sz="4" w:space="0"/>
            </w:tcBorders>
            <w:vAlign w:val="center"/>
          </w:tcPr>
          <w:p w14:paraId="4073F3FB">
            <w:pPr>
              <w:ind w:firstLine="0" w:firstLineChars="0"/>
              <w:jc w:val="center"/>
              <w:rPr>
                <w:rFonts w:hint="default" w:ascii="Times New Roman" w:hAnsi="Times New Roman" w:eastAsia="仿宋" w:cs="Times New Roman"/>
                <w:b/>
                <w:sz w:val="21"/>
                <w:szCs w:val="21"/>
                <w:lang w:val="en-US" w:eastAsia="zh-CN"/>
              </w:rPr>
            </w:pPr>
            <w:r>
              <w:rPr>
                <w:rFonts w:hint="default" w:ascii="Times New Roman" w:hAnsi="Times New Roman" w:eastAsia="仿宋" w:cs="Times New Roman"/>
                <w:b/>
                <w:sz w:val="21"/>
                <w:szCs w:val="21"/>
              </w:rPr>
              <w:t>3</w:t>
            </w:r>
            <w:r>
              <w:rPr>
                <w:rFonts w:hint="default" w:ascii="Times New Roman" w:hAnsi="Times New Roman" w:eastAsia="仿宋" w:cs="Times New Roman"/>
                <w:b/>
                <w:sz w:val="21"/>
                <w:szCs w:val="21"/>
                <w:lang w:val="en-US" w:eastAsia="zh-CN"/>
              </w:rPr>
              <w:t>4</w:t>
            </w:r>
          </w:p>
        </w:tc>
        <w:tc>
          <w:tcPr>
            <w:tcW w:w="1457" w:type="pct"/>
            <w:tcBorders>
              <w:top w:val="nil"/>
              <w:left w:val="nil"/>
              <w:bottom w:val="single" w:color="auto" w:sz="4" w:space="0"/>
              <w:right w:val="single" w:color="auto" w:sz="4" w:space="0"/>
            </w:tcBorders>
            <w:vAlign w:val="center"/>
          </w:tcPr>
          <w:p w14:paraId="629E46F4">
            <w:pPr>
              <w:ind w:firstLine="0" w:firstLineChars="0"/>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1</w:t>
            </w:r>
            <w:r>
              <w:rPr>
                <w:rFonts w:hint="default" w:ascii="Times New Roman" w:hAnsi="Times New Roman" w:eastAsia="仿宋" w:cs="Times New Roman"/>
                <w:b/>
                <w:sz w:val="21"/>
                <w:szCs w:val="21"/>
                <w:lang w:val="en-US" w:eastAsia="zh-CN"/>
              </w:rPr>
              <w:t>928673</w:t>
            </w:r>
          </w:p>
        </w:tc>
      </w:tr>
    </w:tbl>
    <w:p w14:paraId="7578AFFE">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黑体_GBK" w:cs="Times New Roman"/>
          <w:sz w:val="32"/>
          <w:szCs w:val="32"/>
          <w:highlight w:val="none"/>
          <w:lang w:val="zh-TW" w:eastAsia="zh-CN"/>
        </w:rPr>
      </w:pPr>
      <w:r>
        <w:rPr>
          <w:rFonts w:hint="default" w:ascii="Times New Roman" w:hAnsi="Times New Roman" w:eastAsia="方正黑体_GBK" w:cs="Times New Roman"/>
          <w:sz w:val="32"/>
          <w:szCs w:val="32"/>
          <w:highlight w:val="none"/>
          <w:lang w:eastAsia="zh-CN"/>
        </w:rPr>
        <w:t>二</w:t>
      </w:r>
      <w:r>
        <w:rPr>
          <w:rFonts w:hint="default" w:ascii="Times New Roman" w:hAnsi="Times New Roman" w:eastAsia="方正黑体_GBK" w:cs="Times New Roman"/>
          <w:sz w:val="32"/>
          <w:szCs w:val="32"/>
          <w:highlight w:val="none"/>
        </w:rPr>
        <w:t>、效益分析</w:t>
      </w:r>
    </w:p>
    <w:p w14:paraId="1ED6F332">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r>
        <w:rPr>
          <w:rFonts w:hint="default" w:ascii="Times New Roman" w:hAnsi="Times New Roman" w:eastAsia="方正仿宋_GBK" w:cs="Times New Roman"/>
          <w:b/>
          <w:bCs/>
          <w:snapToGrid w:val="0"/>
          <w:kern w:val="0"/>
          <w:sz w:val="32"/>
          <w:szCs w:val="32"/>
          <w:highlight w:val="none"/>
          <w:lang w:val="en-US" w:eastAsia="zh-CN" w:bidi="ar-SA"/>
        </w:rPr>
        <w:t>（一）生态环境效益分析</w:t>
      </w:r>
    </w:p>
    <w:p w14:paraId="0DE6A383">
      <w:pPr>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有效改善城镇生态环境</w:t>
      </w:r>
      <w:r>
        <w:rPr>
          <w:rFonts w:hint="default" w:ascii="Times New Roman" w:hAnsi="Times New Roman" w:eastAsia="方正仿宋_GBK" w:cs="Times New Roman"/>
          <w:snapToGrid w:val="0"/>
          <w:color w:val="000000"/>
          <w:kern w:val="0"/>
          <w:sz w:val="32"/>
          <w:szCs w:val="32"/>
          <w:lang w:val="en-US" w:eastAsia="zh-CN" w:bidi="ar-SA"/>
        </w:rPr>
        <w:t>。实施VOCs治理控制工程、运粮河（运粮河大桥—入河口）综合整治工程、外秦淮河沿线（秦淮区）重点泵站前池、象房村高水高排涵整治工程、土壤污染防治工程等项目，推进全区大气、水、土壤环境治理及重点区域生态环境综合整治，完善城镇环境基础设施，强化生态保护建设，优化生态空间布局，形成绿色生产生活方式，提升资源、能源利用效率，逐步解决生态环境污染、生态系统退化等问题，有效改善城镇生态环境和人居环境。</w:t>
      </w:r>
    </w:p>
    <w:p w14:paraId="644AD5E5">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筑牢生态安全屏障</w:t>
      </w:r>
      <w:r>
        <w:rPr>
          <w:rFonts w:hint="default" w:ascii="Times New Roman" w:hAnsi="Times New Roman" w:eastAsia="方正仿宋_GBK" w:cs="Times New Roman"/>
          <w:snapToGrid w:val="0"/>
          <w:color w:val="000000"/>
          <w:kern w:val="0"/>
          <w:sz w:val="32"/>
          <w:szCs w:val="32"/>
          <w:lang w:val="en-US" w:eastAsia="zh-CN" w:bidi="ar-SA"/>
        </w:rPr>
        <w:t>。整合跑道公园（示范段）等生态绿地资源，形成完善生态网络，构筑整体生态系统，促进森林资源、土地资源、水资源等可持续发展，增强水源涵养、水土保持、大气调节、调蓄洪水、维护生物多样性等生态系统服务功能，维护生态安全格局。</w:t>
      </w:r>
    </w:p>
    <w:p w14:paraId="1A9A828C">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仿宋_GBK" w:cs="Times New Roman"/>
          <w:b/>
          <w:bCs/>
          <w:snapToGrid w:val="0"/>
          <w:color w:val="auto"/>
          <w:kern w:val="0"/>
          <w:sz w:val="32"/>
          <w:szCs w:val="32"/>
          <w:highlight w:val="none"/>
          <w:lang w:val="en-US" w:eastAsia="zh-CN" w:bidi="ar-SA"/>
        </w:rPr>
      </w:pPr>
      <w:r>
        <w:rPr>
          <w:rFonts w:hint="default" w:ascii="Times New Roman" w:hAnsi="Times New Roman" w:eastAsia="方正仿宋_GBK" w:cs="Times New Roman"/>
          <w:b/>
          <w:bCs/>
          <w:snapToGrid w:val="0"/>
          <w:color w:val="auto"/>
          <w:kern w:val="0"/>
          <w:sz w:val="32"/>
          <w:szCs w:val="32"/>
          <w:highlight w:val="none"/>
          <w:lang w:val="en-US" w:eastAsia="zh-CN" w:bidi="ar-SA"/>
        </w:rPr>
        <w:t>（二）经济效益分析</w:t>
      </w:r>
    </w:p>
    <w:p w14:paraId="1B6845C7">
      <w:pPr>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经济发展质量显著提高</w:t>
      </w:r>
      <w:r>
        <w:rPr>
          <w:rFonts w:hint="default" w:ascii="Times New Roman" w:hAnsi="Times New Roman" w:eastAsia="方正仿宋_GBK" w:cs="Times New Roman"/>
          <w:snapToGrid w:val="0"/>
          <w:color w:val="000000"/>
          <w:kern w:val="0"/>
          <w:sz w:val="32"/>
          <w:szCs w:val="32"/>
          <w:lang w:val="en-US" w:eastAsia="zh-CN" w:bidi="ar-SA"/>
        </w:rPr>
        <w:t>。调整产业结构，优化产业布局，大力发展循环经济，推进门西数字生活街区等重点项目，培育生态产业，创造更多优质生态产品，全力推动产业生态化和生态产业化，基本形成生态经济模式，促进区域绿色高质量发展。</w:t>
      </w:r>
    </w:p>
    <w:p w14:paraId="0DA930FB">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仿宋_GBK" w:cs="Times New Roman"/>
          <w:snapToGrid w:val="0"/>
          <w:color w:val="000000"/>
          <w:kern w:val="0"/>
          <w:sz w:val="32"/>
          <w:szCs w:val="32"/>
          <w:lang w:val="zh-TW" w:eastAsia="zh-CN" w:bidi="ar-SA"/>
        </w:rPr>
      </w:pPr>
      <w:r>
        <w:rPr>
          <w:rFonts w:hint="default" w:ascii="Times New Roman" w:hAnsi="Times New Roman" w:eastAsia="方正仿宋_GBK" w:cs="Times New Roman"/>
          <w:b/>
          <w:bCs/>
          <w:snapToGrid w:val="0"/>
          <w:color w:val="000000"/>
          <w:kern w:val="0"/>
          <w:sz w:val="32"/>
          <w:szCs w:val="32"/>
          <w:lang w:val="en-US" w:eastAsia="zh-CN" w:bidi="ar-SA"/>
        </w:rPr>
        <w:t>居民收入稳步提高</w:t>
      </w:r>
      <w:r>
        <w:rPr>
          <w:rFonts w:hint="default" w:ascii="Times New Roman" w:hAnsi="Times New Roman" w:eastAsia="方正仿宋_GBK" w:cs="Times New Roman"/>
          <w:snapToGrid w:val="0"/>
          <w:color w:val="000000"/>
          <w:kern w:val="0"/>
          <w:sz w:val="32"/>
          <w:szCs w:val="32"/>
          <w:lang w:val="en-US" w:eastAsia="zh-CN" w:bidi="ar-SA"/>
        </w:rPr>
        <w:t>。通过推动全区产业深度融合发展，辐射带动中芬合作交流中心、白下高新区智能交通产业园、西五华里休闲文化街区、西湖里·创艺街坊等一批生态工业、生态旅游业重点项目发展，创造更多就业机会，拓展居民收入渠道，稳步提升居民收入水平。</w:t>
      </w:r>
    </w:p>
    <w:p w14:paraId="3E946BAE">
      <w:pPr>
        <w:pStyle w:val="3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snapToGrid w:val="0"/>
          <w:color w:val="auto"/>
          <w:kern w:val="0"/>
          <w:sz w:val="32"/>
          <w:szCs w:val="32"/>
          <w:highlight w:val="none"/>
          <w:lang w:val="en-US" w:eastAsia="zh-CN" w:bidi="ar-SA"/>
        </w:rPr>
      </w:pPr>
      <w:r>
        <w:rPr>
          <w:rFonts w:hint="default" w:ascii="Times New Roman" w:hAnsi="Times New Roman" w:eastAsia="方正仿宋_GBK" w:cs="Times New Roman"/>
          <w:b/>
          <w:bCs/>
          <w:snapToGrid w:val="0"/>
          <w:color w:val="auto"/>
          <w:kern w:val="0"/>
          <w:sz w:val="32"/>
          <w:szCs w:val="32"/>
          <w:highlight w:val="none"/>
          <w:lang w:val="en-US" w:eastAsia="zh-CN" w:bidi="ar-SA"/>
        </w:rPr>
        <w:t>（三）社会效益分析</w:t>
      </w:r>
    </w:p>
    <w:p w14:paraId="5C8DE4D8">
      <w:pPr>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提高居民生活质量</w:t>
      </w:r>
      <w:r>
        <w:rPr>
          <w:rFonts w:hint="default" w:ascii="Times New Roman" w:hAnsi="Times New Roman" w:eastAsia="方正仿宋_GBK" w:cs="Times New Roman"/>
          <w:snapToGrid w:val="0"/>
          <w:color w:val="000000"/>
          <w:kern w:val="0"/>
          <w:sz w:val="32"/>
          <w:szCs w:val="32"/>
          <w:lang w:val="en-US" w:eastAsia="zh-CN" w:bidi="ar-SA"/>
        </w:rPr>
        <w:t>。开展江心洲污水收集系统（西方巷、西大阳沟、文思巷、许家巷、实辉巷）污水管道修复改造工程、运粮河（运粮河大桥—入河口）综合整治工程、东风河水环境综合治理工程等城镇基础设施建设和环境综合整治，进一步改善区域生态环境整体面貌，推进城镇绿化美化，改善人居环境，提升居民获得感和幸福感。</w:t>
      </w:r>
    </w:p>
    <w:p w14:paraId="39808A4C">
      <w:pPr>
        <w:pageBreakBefore w:val="0"/>
        <w:widowControl w:val="0"/>
        <w:kinsoku/>
        <w:wordWrap/>
        <w:overflowPunct/>
        <w:topLinePunct w:val="0"/>
        <w:autoSpaceDE/>
        <w:autoSpaceDN/>
        <w:bidi w:val="0"/>
        <w:adjustRightInd w:val="0"/>
        <w:snapToGrid w:val="0"/>
        <w:spacing w:line="560" w:lineRule="exact"/>
        <w:ind w:firstLine="562"/>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b/>
          <w:bCs/>
          <w:snapToGrid w:val="0"/>
          <w:color w:val="000000"/>
          <w:kern w:val="0"/>
          <w:sz w:val="32"/>
          <w:szCs w:val="32"/>
          <w:lang w:val="en-US" w:eastAsia="zh-CN" w:bidi="ar-SA"/>
        </w:rPr>
        <w:t>提升人口综合素质</w:t>
      </w:r>
      <w:r>
        <w:rPr>
          <w:rFonts w:hint="default" w:ascii="Times New Roman" w:hAnsi="Times New Roman" w:eastAsia="方正仿宋_GBK" w:cs="Times New Roman"/>
          <w:snapToGrid w:val="0"/>
          <w:color w:val="000000"/>
          <w:kern w:val="0"/>
          <w:sz w:val="32"/>
          <w:szCs w:val="32"/>
          <w:lang w:val="en-US" w:eastAsia="zh-CN" w:bidi="ar-SA"/>
        </w:rPr>
        <w:t>。通过打造周处读书台“山水人文苑”等，推进文艺作品、文化场馆等生态文化载体建设，培育生态文化意识和生态文化品牌。通过举办生态文明建设成果展、实施宣教与全民行动项目等，加</w:t>
      </w:r>
      <w:r>
        <w:rPr>
          <w:rFonts w:hint="default" w:ascii="Times New Roman" w:hAnsi="Times New Roman" w:eastAsia="方正仿宋_GBK" w:cs="Times New Roman"/>
          <w:snapToGrid w:val="0"/>
          <w:color w:val="000000"/>
          <w:kern w:val="0"/>
          <w:sz w:val="32"/>
          <w:szCs w:val="32"/>
          <w:lang w:val="en-US" w:eastAsia="zh-CN" w:bidi="ar-SA"/>
        </w:rPr>
        <w:t>大</w:t>
      </w:r>
      <w:r>
        <w:rPr>
          <w:rFonts w:hint="default" w:ascii="Times New Roman" w:hAnsi="Times New Roman" w:eastAsia="方正仿宋_GBK" w:cs="Times New Roman"/>
          <w:snapToGrid w:val="0"/>
          <w:color w:val="000000"/>
          <w:kern w:val="0"/>
          <w:sz w:val="32"/>
          <w:szCs w:val="32"/>
          <w:lang w:val="en-US" w:eastAsia="zh-CN" w:bidi="ar-SA"/>
        </w:rPr>
        <w:t>生态文明宣教力度，弘扬传统文化、民族文化，引导形成绿色、文明、高效的生产和生活方式，增强公众生态文明意识，提高人口综合素质。</w:t>
      </w:r>
    </w:p>
    <w:p w14:paraId="144A9307">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方正黑体_GBK" w:cs="Times New Roman"/>
          <w:color w:val="000000"/>
          <w:sz w:val="32"/>
          <w:szCs w:val="32"/>
          <w:lang w:val="zh-TW" w:eastAsia="zh-CN"/>
        </w:rPr>
      </w:pPr>
      <w:r>
        <w:rPr>
          <w:rFonts w:hint="default" w:ascii="Times New Roman" w:hAnsi="Times New Roman" w:eastAsia="方正仿宋_GBK" w:cs="Times New Roman"/>
          <w:b/>
          <w:bCs/>
          <w:snapToGrid w:val="0"/>
          <w:color w:val="000000"/>
          <w:kern w:val="0"/>
          <w:sz w:val="32"/>
          <w:szCs w:val="32"/>
          <w:lang w:val="en-US" w:eastAsia="zh-CN" w:bidi="ar-SA"/>
        </w:rPr>
        <w:t>满足群众美好生活需要</w:t>
      </w:r>
      <w:r>
        <w:rPr>
          <w:rFonts w:hint="default" w:ascii="Times New Roman" w:hAnsi="Times New Roman" w:eastAsia="方正仿宋_GBK" w:cs="Times New Roman"/>
          <w:snapToGrid w:val="0"/>
          <w:color w:val="000000"/>
          <w:kern w:val="0"/>
          <w:sz w:val="32"/>
          <w:szCs w:val="32"/>
          <w:lang w:val="en-US" w:eastAsia="zh-CN" w:bidi="ar-SA"/>
        </w:rPr>
        <w:t>。加强生态环境保护，推动生态产品价值实现，培育提升全社会生态文明意识水平，创造更加舒适的生产生活条件和更加和谐优美的自然环境，为群众提供更多生态公共产品，提高群众生活质量和幸福指数，满足群众日益增长的美好生活需要。</w:t>
      </w:r>
    </w:p>
    <w:p w14:paraId="147C3907">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5447A479">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1236864D">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3FA7A9BD">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7BF45DCB">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6C8897BF">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644A6CEA">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2F230D9E">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0AAE589B">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79ED3CF0">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Times New Roman" w:hAnsi="Times New Roman" w:eastAsia="方正黑体_GBK" w:cs="Times New Roman"/>
          <w:color w:val="000000"/>
          <w:sz w:val="32"/>
          <w:szCs w:val="32"/>
          <w:lang w:val="zh-TW" w:eastAsia="zh-CN"/>
        </w:rPr>
      </w:pPr>
    </w:p>
    <w:p w14:paraId="6AA1CC70">
      <w:pPr>
        <w:pStyle w:val="12"/>
        <w:spacing w:before="327" w:beforeLines="100" w:after="327" w:afterLines="100" w:line="578" w:lineRule="exact"/>
        <w:ind w:left="0" w:leftChars="0" w:firstLine="0" w:firstLineChars="0"/>
        <w:jc w:val="center"/>
        <w:rPr>
          <w:rFonts w:hint="default" w:ascii="Times New Roman" w:hAnsi="Times New Roman" w:eastAsia="方正黑体_GBK" w:cs="Times New Roman"/>
          <w:sz w:val="36"/>
          <w:szCs w:val="36"/>
          <w:highlight w:val="none"/>
          <w:lang w:eastAsia="zh-CN"/>
        </w:rPr>
      </w:pPr>
      <w:bookmarkStart w:id="36" w:name="_GoBack"/>
      <w:bookmarkEnd w:id="36"/>
      <w:r>
        <w:rPr>
          <w:rFonts w:hint="default" w:ascii="Times New Roman" w:hAnsi="Times New Roman" w:eastAsia="方正黑体_GBK" w:cs="Times New Roman"/>
          <w:sz w:val="36"/>
          <w:szCs w:val="36"/>
          <w:highlight w:val="none"/>
        </w:rPr>
        <w:t>第</w:t>
      </w:r>
      <w:r>
        <w:rPr>
          <w:rFonts w:hint="default" w:ascii="Times New Roman" w:hAnsi="Times New Roman" w:eastAsia="方正黑体_GBK" w:cs="Times New Roman"/>
          <w:sz w:val="36"/>
          <w:szCs w:val="36"/>
          <w:highlight w:val="none"/>
          <w:lang w:eastAsia="zh-CN"/>
        </w:rPr>
        <w:t>九章</w:t>
      </w:r>
      <w:r>
        <w:rPr>
          <w:rFonts w:hint="default" w:ascii="Times New Roman" w:hAnsi="Times New Roman" w:eastAsia="方正黑体_GBK" w:cs="Times New Roman"/>
          <w:sz w:val="36"/>
          <w:szCs w:val="36"/>
          <w:highlight w:val="none"/>
        </w:rPr>
        <w:t xml:space="preserve">  保障措施</w:t>
      </w:r>
    </w:p>
    <w:p w14:paraId="3DEC0F53">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r>
        <w:rPr>
          <w:rFonts w:hint="default" w:ascii="Times New Roman" w:hAnsi="Times New Roman" w:eastAsia="方正黑体_GBK" w:cs="Times New Roman"/>
          <w:sz w:val="32"/>
          <w:szCs w:val="32"/>
          <w:highlight w:val="none"/>
        </w:rPr>
        <w:t>一、</w:t>
      </w:r>
      <w:r>
        <w:rPr>
          <w:rFonts w:hint="default" w:ascii="Times New Roman" w:hAnsi="Times New Roman" w:eastAsia="方正黑体_GBK" w:cs="Times New Roman"/>
          <w:sz w:val="32"/>
          <w:szCs w:val="32"/>
          <w:highlight w:val="none"/>
          <w:lang w:eastAsia="zh-CN"/>
        </w:rPr>
        <w:t>强化</w:t>
      </w:r>
      <w:r>
        <w:rPr>
          <w:rFonts w:hint="default" w:ascii="Times New Roman" w:hAnsi="Times New Roman" w:eastAsia="方正黑体_GBK" w:cs="Times New Roman"/>
          <w:sz w:val="32"/>
          <w:szCs w:val="32"/>
          <w:highlight w:val="none"/>
        </w:rPr>
        <w:t>组织领导与统筹协调</w:t>
      </w:r>
    </w:p>
    <w:p w14:paraId="0297A498">
      <w:pPr>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建立由区委区政府主要领导负责、区各相关单位主要领导及具体负责人参加的秦淮区生态文明建设领导小组，研究推进全区生态文明建设方面的重大政策、重大项目和年度工作安排，领导小组下设办公室，统筹全区生态文明建设工作的综合规划、管理和协调。充分发挥各部门、街道板块主要领导在推进全区生态文明建设过程中的综合协调和协同联动作用，激励干部担当作为，共同制定行为准则，确定年度工作计划，调动各单位干事工作的积极性、主动性、创造性。</w:t>
      </w:r>
    </w:p>
    <w:p w14:paraId="1477FBAB">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仿宋_GBK" w:cs="Times New Roman"/>
          <w:snapToGrid w:val="0"/>
          <w:color w:val="000000"/>
          <w:kern w:val="0"/>
          <w:sz w:val="32"/>
          <w:szCs w:val="32"/>
          <w:lang w:val="zh-TW" w:eastAsia="zh-CN" w:bidi="ar-SA"/>
        </w:rPr>
      </w:pPr>
      <w:r>
        <w:rPr>
          <w:rFonts w:hint="default" w:ascii="Times New Roman" w:hAnsi="Times New Roman" w:eastAsia="方正仿宋_GBK" w:cs="Times New Roman"/>
          <w:snapToGrid w:val="0"/>
          <w:color w:val="000000"/>
          <w:kern w:val="0"/>
          <w:sz w:val="32"/>
          <w:szCs w:val="32"/>
          <w:lang w:val="en-US" w:eastAsia="zh-CN" w:bidi="ar-SA"/>
        </w:rPr>
        <w:t>建立完善生态文明建设目标责任制，秦淮区生态文明建设领导小组办公室将全区生态文明建设目标、指标和任务分解落实到党委、政府及各相关单位，压实各方责任，强化分工合作。党委、政府及区各相关单位按照生态文明建设规划要求，制定目标任务书和实施方案，将工作任务具体落实到各责任部门、责任单位和责任人。</w:t>
      </w:r>
    </w:p>
    <w:p w14:paraId="22D704AB">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r>
        <w:rPr>
          <w:rFonts w:hint="default" w:ascii="Times New Roman" w:hAnsi="Times New Roman" w:eastAsia="方正黑体_GBK" w:cs="Times New Roman"/>
          <w:sz w:val="32"/>
          <w:szCs w:val="32"/>
          <w:highlight w:val="none"/>
          <w:lang w:eastAsia="zh-CN"/>
        </w:rPr>
        <w:t>二</w:t>
      </w:r>
      <w:r>
        <w:rPr>
          <w:rFonts w:hint="default" w:ascii="Times New Roman" w:hAnsi="Times New Roman" w:eastAsia="方正黑体_GBK" w:cs="Times New Roman"/>
          <w:sz w:val="32"/>
          <w:szCs w:val="32"/>
          <w:highlight w:val="none"/>
        </w:rPr>
        <w:t>、落实政策支持与资金保障</w:t>
      </w:r>
    </w:p>
    <w:p w14:paraId="5FABA5F4">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仿宋_GBK" w:cs="Times New Roman"/>
          <w:snapToGrid w:val="0"/>
          <w:color w:val="000000"/>
          <w:kern w:val="0"/>
          <w:sz w:val="32"/>
          <w:szCs w:val="32"/>
          <w:lang w:val="zh-TW" w:eastAsia="zh-CN" w:bidi="ar-SA"/>
        </w:rPr>
      </w:pPr>
      <w:r>
        <w:rPr>
          <w:rFonts w:hint="default" w:ascii="Times New Roman" w:hAnsi="Times New Roman" w:eastAsia="方正仿宋_GBK" w:cs="Times New Roman"/>
          <w:snapToGrid w:val="0"/>
          <w:color w:val="000000"/>
          <w:kern w:val="0"/>
          <w:sz w:val="32"/>
          <w:szCs w:val="32"/>
          <w:lang w:val="en-US" w:eastAsia="zh-CN" w:bidi="ar-SA"/>
        </w:rPr>
        <w:t>将生态文明建设作为公共财政支出的重点，建立稳定的投资增长机制，积极争取国家、江苏省环保专项补助资金，落实地方配套资金，做好资金使用绩效评价和项目后续管理。按照“政府引导、社会参与、市场运作”的要求，鼓励不同经济成分和各类投资主体以多种形式参与生态文明工程建设，拓展市场化融资渠道，鼓励、引导和吸引社会资金以PPP等形式参与全区生态文明建设。建立有效的资金专款专用监管制度，加大资金监管力度，严格执行投资问效和追踪管理，对资金来源、申请、使用进行严格审核，对资金使用的重大失误进行责任追究，落实资金使用全过程监督。</w:t>
      </w:r>
    </w:p>
    <w:p w14:paraId="2E93B7D2">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highlight w:val="none"/>
          <w:lang w:val="zh-TW" w:eastAsia="zh-CN"/>
        </w:rPr>
      </w:pPr>
      <w:r>
        <w:rPr>
          <w:rFonts w:hint="default" w:ascii="Times New Roman" w:hAnsi="Times New Roman" w:eastAsia="方正黑体_GBK" w:cs="Times New Roman"/>
          <w:sz w:val="32"/>
          <w:szCs w:val="32"/>
          <w:highlight w:val="none"/>
          <w:lang w:eastAsia="zh-CN"/>
        </w:rPr>
        <w:t>三</w:t>
      </w:r>
      <w:r>
        <w:rPr>
          <w:rFonts w:hint="default" w:ascii="Times New Roman" w:hAnsi="Times New Roman" w:eastAsia="方正黑体_GBK" w:cs="Times New Roman"/>
          <w:sz w:val="32"/>
          <w:szCs w:val="32"/>
          <w:highlight w:val="none"/>
        </w:rPr>
        <w:t>、</w:t>
      </w:r>
      <w:r>
        <w:rPr>
          <w:rFonts w:hint="default" w:ascii="Times New Roman" w:hAnsi="Times New Roman" w:eastAsia="方正黑体_GBK" w:cs="Times New Roman"/>
          <w:sz w:val="32"/>
          <w:szCs w:val="32"/>
          <w:highlight w:val="none"/>
          <w:lang w:eastAsia="zh-CN"/>
        </w:rPr>
        <w:t>实施</w:t>
      </w:r>
      <w:r>
        <w:rPr>
          <w:rFonts w:hint="default" w:ascii="Times New Roman" w:hAnsi="Times New Roman" w:eastAsia="方正黑体_GBK" w:cs="Times New Roman"/>
          <w:sz w:val="32"/>
          <w:szCs w:val="32"/>
          <w:highlight w:val="none"/>
        </w:rPr>
        <w:t>研发扶持与人才培养</w:t>
      </w:r>
    </w:p>
    <w:p w14:paraId="364C93FD">
      <w:pPr>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加大对企业技术研发的扶持力度，在信贷、财政等方面对高新技术企业予以倾斜。鼓励企业加强自主研发，不断改进生产工艺，淘汰落后生产工艺，提升自主研发能力。完善社会技术服务体系建设，积极为企业开展技术服务，引导企业采用新技术、新工艺。建立高新技术转化和转让服务基地，发挥政府行政指导和行政服务职能，促进高新技术合理转化运用。</w:t>
      </w:r>
    </w:p>
    <w:p w14:paraId="6CF702C0">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仿宋_GBK" w:cs="Times New Roman"/>
          <w:snapToGrid w:val="0"/>
          <w:color w:val="000000"/>
          <w:kern w:val="0"/>
          <w:sz w:val="32"/>
          <w:szCs w:val="32"/>
          <w:lang w:val="zh-TW" w:eastAsia="zh-CN" w:bidi="ar-SA"/>
        </w:rPr>
      </w:pPr>
      <w:r>
        <w:rPr>
          <w:rFonts w:hint="default" w:ascii="Times New Roman" w:hAnsi="Times New Roman" w:eastAsia="方正仿宋_GBK" w:cs="Times New Roman"/>
          <w:snapToGrid w:val="0"/>
          <w:color w:val="000000"/>
          <w:kern w:val="0"/>
          <w:sz w:val="32"/>
          <w:szCs w:val="32"/>
          <w:lang w:val="en-US" w:eastAsia="zh-CN" w:bidi="ar-SA"/>
        </w:rPr>
        <w:t>加大高层次高技能人才的培养、引进和使用力度，推动高端领军型科技人才和海外创新创业人才集聚。着力打造多层次、多功能、具有区域特色的人才市场体系，完善人才激励政策，保障人才各项待遇落实，不断优化人才发展环境。积极与南京市及周边地区和国内外高等院校、科研院所建立合作关系，组建专家智囊团，参与指导生态文明建设全过程。</w:t>
      </w:r>
    </w:p>
    <w:p w14:paraId="4079BCC4">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r>
        <w:rPr>
          <w:rFonts w:hint="default" w:ascii="Times New Roman" w:hAnsi="Times New Roman" w:eastAsia="方正黑体_GBK" w:cs="Times New Roman"/>
          <w:sz w:val="32"/>
          <w:szCs w:val="32"/>
          <w:highlight w:val="none"/>
          <w:lang w:eastAsia="zh-CN"/>
        </w:rPr>
        <w:t>四</w:t>
      </w:r>
      <w:r>
        <w:rPr>
          <w:rFonts w:hint="default" w:ascii="Times New Roman" w:hAnsi="Times New Roman" w:eastAsia="方正黑体_GBK" w:cs="Times New Roman"/>
          <w:sz w:val="32"/>
          <w:szCs w:val="32"/>
          <w:highlight w:val="none"/>
        </w:rPr>
        <w:t>、</w:t>
      </w:r>
      <w:r>
        <w:rPr>
          <w:rFonts w:hint="default" w:ascii="Times New Roman" w:hAnsi="Times New Roman" w:eastAsia="方正黑体_GBK" w:cs="Times New Roman"/>
          <w:sz w:val="32"/>
          <w:szCs w:val="32"/>
          <w:highlight w:val="none"/>
          <w:lang w:eastAsia="zh-CN"/>
        </w:rPr>
        <w:t>深化</w:t>
      </w:r>
      <w:r>
        <w:rPr>
          <w:rFonts w:hint="default" w:ascii="Times New Roman" w:hAnsi="Times New Roman" w:eastAsia="方正黑体_GBK" w:cs="Times New Roman"/>
          <w:sz w:val="32"/>
          <w:szCs w:val="32"/>
          <w:highlight w:val="none"/>
        </w:rPr>
        <w:t>信息公开与公众参与</w:t>
      </w:r>
    </w:p>
    <w:p w14:paraId="272718CC">
      <w:pPr>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方正仿宋_GBK" w:cs="Times New Roman"/>
          <w:snapToGrid w:val="0"/>
          <w:color w:val="000000"/>
          <w:kern w:val="0"/>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zh-CN" w:bidi="ar-SA"/>
        </w:rPr>
        <w:t>多渠道、多层次、多形式开展生态文明建设舆论宣传，让公众深入了解生态文明建设规划相关政策举措和发展方向，广泛宣传生态文明理念。完善保障公众参与的相关政策法规，引导公众参与与区域发展和生态文明建设相关的尤其是易造成邻避现象的项目、计划、规划、政策制定和评估活动中，拓宽公众参与社会事务范围。建立畅通的沟通与诉求反馈通道，发挥各类投诉举报热线和微博、微信等新媒体作用，通过多种途径收集了解民意，推动形成多方利益主体协商一致的决策结果，保证公众的知情权、参与权。</w:t>
      </w:r>
    </w:p>
    <w:p w14:paraId="51585C66">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黑体_GBK" w:cs="Times New Roman"/>
          <w:color w:val="000000"/>
          <w:sz w:val="32"/>
          <w:szCs w:val="32"/>
          <w:lang w:val="zh-TW" w:eastAsia="zh-CN"/>
        </w:rPr>
      </w:pPr>
    </w:p>
    <w:p w14:paraId="180A1152">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Times New Roman" w:hAnsi="Times New Roman" w:eastAsia="方正黑体_GBK" w:cs="Times New Roman"/>
          <w:color w:val="000000"/>
          <w:sz w:val="32"/>
          <w:szCs w:val="32"/>
          <w:lang w:val="zh-TW" w:eastAsia="zh-CN"/>
        </w:rPr>
      </w:pPr>
    </w:p>
    <w:p w14:paraId="213489F0">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Times New Roman" w:hAnsi="Times New Roman" w:eastAsia="方正黑体_GBK" w:cs="Times New Roman"/>
          <w:color w:val="000000"/>
          <w:sz w:val="32"/>
          <w:szCs w:val="32"/>
          <w:lang w:val="zh-TW" w:eastAsia="zh-CN"/>
        </w:rPr>
      </w:pPr>
    </w:p>
    <w:bookmarkEnd w:id="13"/>
    <w:bookmarkEnd w:id="14"/>
    <w:p w14:paraId="4004871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snapToGrid w:val="0"/>
          <w:kern w:val="0"/>
          <w:sz w:val="32"/>
          <w:szCs w:val="32"/>
          <w:lang w:val="en-US" w:eastAsia="zh-CN" w:bidi="ar-SA"/>
        </w:rPr>
      </w:pPr>
      <w:bookmarkStart w:id="34" w:name="_Toc3399"/>
      <w:bookmarkStart w:id="35" w:name="_Toc28568"/>
      <w:r>
        <w:rPr>
          <w:rFonts w:hint="default" w:ascii="Times New Roman" w:hAnsi="Times New Roman" w:eastAsia="方正仿宋_GBK" w:cs="Times New Roman"/>
          <w:bCs/>
          <w:snapToGrid w:val="0"/>
          <w:kern w:val="0"/>
          <w:sz w:val="32"/>
          <w:szCs w:val="32"/>
          <w:lang w:val="en-US" w:eastAsia="zh-CN" w:bidi="ar-SA"/>
        </w:rPr>
        <w:t>附件：秦淮区生态文明建设重点工程一览表</w:t>
      </w:r>
    </w:p>
    <w:p w14:paraId="33CEF2FA">
      <w:pPr>
        <w:pStyle w:val="4"/>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Cs/>
          <w:sz w:val="32"/>
          <w:szCs w:val="32"/>
          <w:lang w:val="en-US" w:eastAsia="zh-CN"/>
        </w:rPr>
      </w:pPr>
    </w:p>
    <w:p w14:paraId="36E9A4E8">
      <w:pPr>
        <w:pStyle w:val="4"/>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Cs/>
          <w:sz w:val="32"/>
          <w:szCs w:val="32"/>
          <w:lang w:val="en-US" w:eastAsia="zh-CN"/>
        </w:rPr>
      </w:pPr>
    </w:p>
    <w:bookmarkEnd w:id="34"/>
    <w:bookmarkEnd w:id="35"/>
    <w:p w14:paraId="6E070B19">
      <w:pPr>
        <w:pStyle w:val="12"/>
        <w:rPr>
          <w:rFonts w:hint="default" w:ascii="Times New Roman" w:hAnsi="Times New Roman" w:eastAsia="方正仿宋_GBK" w:cs="Times New Roman"/>
          <w:spacing w:val="10"/>
          <w:sz w:val="32"/>
          <w:szCs w:val="32"/>
        </w:rPr>
      </w:pPr>
    </w:p>
    <w:p w14:paraId="1D9CD917">
      <w:pPr>
        <w:pStyle w:val="12"/>
        <w:rPr>
          <w:rFonts w:hint="default" w:ascii="Times New Roman" w:hAnsi="Times New Roman" w:eastAsia="方正仿宋_GBK" w:cs="Times New Roman"/>
          <w:spacing w:val="10"/>
          <w:sz w:val="32"/>
          <w:szCs w:val="32"/>
        </w:rPr>
      </w:pPr>
    </w:p>
    <w:p w14:paraId="16D34665">
      <w:pPr>
        <w:pStyle w:val="12"/>
        <w:rPr>
          <w:rFonts w:hint="default" w:ascii="Times New Roman" w:hAnsi="Times New Roman" w:eastAsia="方正仿宋_GBK" w:cs="Times New Roman"/>
          <w:spacing w:val="10"/>
          <w:sz w:val="32"/>
          <w:szCs w:val="32"/>
        </w:rPr>
      </w:pPr>
    </w:p>
    <w:p w14:paraId="0B386297">
      <w:pPr>
        <w:pStyle w:val="12"/>
        <w:rPr>
          <w:rFonts w:hint="default" w:ascii="Times New Roman" w:hAnsi="Times New Roman" w:eastAsia="方正仿宋_GBK" w:cs="Times New Roman"/>
          <w:spacing w:val="10"/>
          <w:sz w:val="32"/>
          <w:szCs w:val="32"/>
        </w:rPr>
      </w:pPr>
    </w:p>
    <w:p w14:paraId="6D013D80">
      <w:pPr>
        <w:pStyle w:val="12"/>
        <w:rPr>
          <w:rFonts w:hint="default" w:ascii="Times New Roman" w:hAnsi="Times New Roman" w:eastAsia="方正仿宋_GBK" w:cs="Times New Roman"/>
          <w:spacing w:val="10"/>
          <w:sz w:val="32"/>
          <w:szCs w:val="32"/>
        </w:rPr>
      </w:pPr>
    </w:p>
    <w:p w14:paraId="3055E430">
      <w:pPr>
        <w:pStyle w:val="12"/>
        <w:rPr>
          <w:rFonts w:hint="default" w:ascii="Times New Roman" w:hAnsi="Times New Roman" w:eastAsia="方正仿宋_GBK" w:cs="Times New Roman"/>
          <w:spacing w:val="10"/>
          <w:sz w:val="32"/>
          <w:szCs w:val="32"/>
        </w:rPr>
      </w:pPr>
    </w:p>
    <w:p w14:paraId="6F4195EC">
      <w:pPr>
        <w:pStyle w:val="12"/>
        <w:rPr>
          <w:rFonts w:hint="default" w:ascii="Times New Roman" w:hAnsi="Times New Roman" w:eastAsia="方正仿宋_GBK" w:cs="Times New Roman"/>
          <w:spacing w:val="10"/>
          <w:sz w:val="32"/>
          <w:szCs w:val="32"/>
        </w:rPr>
      </w:pPr>
    </w:p>
    <w:p w14:paraId="25693510">
      <w:pPr>
        <w:pStyle w:val="12"/>
        <w:rPr>
          <w:rFonts w:hint="default" w:ascii="Times New Roman" w:hAnsi="Times New Roman" w:eastAsia="方正仿宋_GBK" w:cs="Times New Roman"/>
          <w:spacing w:val="10"/>
          <w:sz w:val="32"/>
          <w:szCs w:val="32"/>
        </w:rPr>
      </w:pPr>
    </w:p>
    <w:p w14:paraId="54A442CF">
      <w:pPr>
        <w:pStyle w:val="12"/>
        <w:ind w:left="0" w:leftChars="0" w:firstLine="0" w:firstLineChars="0"/>
        <w:rPr>
          <w:rFonts w:hint="default" w:ascii="Times New Roman" w:hAnsi="Times New Roman" w:eastAsia="方正仿宋_GBK" w:cs="Times New Roman"/>
          <w:spacing w:val="10"/>
          <w:sz w:val="32"/>
          <w:szCs w:val="32"/>
        </w:rPr>
      </w:pPr>
    </w:p>
    <w:p w14:paraId="1712F0F2">
      <w:pPr>
        <w:pStyle w:val="12"/>
        <w:ind w:left="0" w:leftChars="0" w:firstLine="0" w:firstLineChars="0"/>
        <w:rPr>
          <w:rFonts w:hint="default" w:ascii="Times New Roman" w:hAnsi="Times New Roman" w:eastAsia="方正仿宋_GBK" w:cs="Times New Roman"/>
          <w:b w:val="0"/>
          <w:bCs/>
          <w:snapToGrid w:val="0"/>
          <w:kern w:val="0"/>
          <w:sz w:val="32"/>
          <w:szCs w:val="32"/>
          <w:lang w:val="en-US" w:eastAsia="zh-CN" w:bidi="ar-SA"/>
        </w:rPr>
        <w:sectPr>
          <w:pgSz w:w="11906" w:h="16838"/>
          <w:pgMar w:top="2098" w:right="1588" w:bottom="1701" w:left="1588" w:header="851" w:footer="1418" w:gutter="0"/>
          <w:cols w:space="425" w:num="1"/>
          <w:docGrid w:type="lines" w:linePitch="312" w:charSpace="0"/>
        </w:sectPr>
      </w:pPr>
    </w:p>
    <w:p w14:paraId="5FEAF638">
      <w:pPr>
        <w:pStyle w:val="12"/>
        <w:ind w:left="0" w:leftChars="0" w:firstLine="0" w:firstLineChars="0"/>
        <w:rPr>
          <w:rFonts w:hint="default" w:ascii="Times New Roman" w:hAnsi="Times New Roman" w:eastAsia="方正仿宋_GBK" w:cs="Times New Roman"/>
          <w:b w:val="0"/>
          <w:bCs/>
          <w:spacing w:val="10"/>
          <w:sz w:val="32"/>
          <w:szCs w:val="32"/>
          <w:lang w:val="en-US"/>
        </w:rPr>
      </w:pPr>
      <w:r>
        <w:rPr>
          <w:rFonts w:hint="default" w:ascii="Times New Roman" w:hAnsi="Times New Roman" w:eastAsia="方正仿宋_GBK" w:cs="Times New Roman"/>
          <w:b w:val="0"/>
          <w:bCs/>
          <w:snapToGrid w:val="0"/>
          <w:kern w:val="0"/>
          <w:sz w:val="32"/>
          <w:szCs w:val="32"/>
          <w:lang w:val="en-US" w:eastAsia="zh-CN" w:bidi="ar-SA"/>
        </w:rPr>
        <w:t>附件</w:t>
      </w:r>
    </w:p>
    <w:p w14:paraId="0E5ABB9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仿宋_GBK" w:cs="Times New Roman"/>
          <w:spacing w:val="10"/>
          <w:sz w:val="32"/>
          <w:szCs w:val="32"/>
          <w:lang w:eastAsia="zh-CN"/>
        </w:rPr>
      </w:pPr>
      <w:r>
        <w:rPr>
          <w:rFonts w:hint="default" w:ascii="Times New Roman" w:hAnsi="Times New Roman" w:eastAsia="方正小标宋_GBK" w:cs="Times New Roman"/>
          <w:sz w:val="44"/>
          <w:szCs w:val="44"/>
          <w:lang w:val="en-US" w:eastAsia="zh-CN"/>
        </w:rPr>
        <w:t>秦淮区生态文明建设重点工程一览表</w:t>
      </w:r>
    </w:p>
    <w:tbl>
      <w:tblPr>
        <w:tblStyle w:val="13"/>
        <w:tblW w:w="13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2682"/>
        <w:gridCol w:w="4258"/>
        <w:gridCol w:w="1276"/>
        <w:gridCol w:w="1139"/>
        <w:gridCol w:w="1276"/>
        <w:gridCol w:w="1701"/>
      </w:tblGrid>
      <w:tr w14:paraId="3ED4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blHeader/>
          <w:jc w:val="center"/>
        </w:trPr>
        <w:tc>
          <w:tcPr>
            <w:tcW w:w="709" w:type="dxa"/>
            <w:vAlign w:val="center"/>
          </w:tcPr>
          <w:p w14:paraId="073E9968">
            <w:pPr>
              <w:widowControl/>
              <w:spacing w:line="240" w:lineRule="auto"/>
              <w:ind w:firstLine="0" w:firstLineChars="0"/>
              <w:jc w:val="center"/>
              <w:rPr>
                <w:rFonts w:hint="default" w:ascii="Times New Roman" w:hAnsi="Times New Roman" w:eastAsia="仿宋" w:cs="Times New Roman"/>
                <w:b/>
                <w:bCs/>
                <w:kern w:val="0"/>
                <w:sz w:val="21"/>
                <w:szCs w:val="21"/>
                <w:highlight w:val="none"/>
              </w:rPr>
            </w:pPr>
            <w:r>
              <w:rPr>
                <w:rFonts w:hint="default" w:ascii="Times New Roman" w:hAnsi="Times New Roman" w:eastAsia="仿宋" w:cs="Times New Roman"/>
                <w:b/>
                <w:bCs/>
                <w:kern w:val="0"/>
                <w:sz w:val="21"/>
                <w:szCs w:val="21"/>
                <w:highlight w:val="none"/>
              </w:rPr>
              <w:t>类别</w:t>
            </w:r>
          </w:p>
        </w:tc>
        <w:tc>
          <w:tcPr>
            <w:tcW w:w="851" w:type="dxa"/>
            <w:vAlign w:val="center"/>
          </w:tcPr>
          <w:p w14:paraId="2F965667">
            <w:pPr>
              <w:widowControl/>
              <w:spacing w:line="240" w:lineRule="auto"/>
              <w:ind w:firstLine="0" w:firstLineChars="0"/>
              <w:jc w:val="center"/>
              <w:rPr>
                <w:rFonts w:hint="default" w:ascii="Times New Roman" w:hAnsi="Times New Roman" w:eastAsia="仿宋" w:cs="Times New Roman"/>
                <w:b/>
                <w:bCs/>
                <w:kern w:val="0"/>
                <w:sz w:val="21"/>
                <w:szCs w:val="21"/>
                <w:highlight w:val="none"/>
              </w:rPr>
            </w:pPr>
            <w:r>
              <w:rPr>
                <w:rFonts w:hint="default" w:ascii="Times New Roman" w:hAnsi="Times New Roman" w:eastAsia="仿宋" w:cs="Times New Roman"/>
                <w:b/>
                <w:bCs/>
                <w:kern w:val="0"/>
                <w:sz w:val="21"/>
                <w:szCs w:val="21"/>
                <w:highlight w:val="none"/>
              </w:rPr>
              <w:t>序号</w:t>
            </w:r>
          </w:p>
        </w:tc>
        <w:tc>
          <w:tcPr>
            <w:tcW w:w="2682" w:type="dxa"/>
            <w:vAlign w:val="center"/>
          </w:tcPr>
          <w:p w14:paraId="442C45F9">
            <w:pPr>
              <w:widowControl/>
              <w:spacing w:line="240" w:lineRule="auto"/>
              <w:ind w:firstLine="0" w:firstLineChars="0"/>
              <w:jc w:val="center"/>
              <w:rPr>
                <w:rFonts w:hint="default" w:ascii="Times New Roman" w:hAnsi="Times New Roman" w:eastAsia="仿宋" w:cs="Times New Roman"/>
                <w:b/>
                <w:bCs/>
                <w:kern w:val="0"/>
                <w:sz w:val="21"/>
                <w:szCs w:val="21"/>
                <w:highlight w:val="none"/>
              </w:rPr>
            </w:pPr>
            <w:r>
              <w:rPr>
                <w:rFonts w:hint="default" w:ascii="Times New Roman" w:hAnsi="Times New Roman" w:eastAsia="仿宋" w:cs="Times New Roman"/>
                <w:b/>
                <w:bCs/>
                <w:kern w:val="0"/>
                <w:sz w:val="21"/>
                <w:szCs w:val="21"/>
                <w:highlight w:val="none"/>
              </w:rPr>
              <w:t>项目名称</w:t>
            </w:r>
          </w:p>
        </w:tc>
        <w:tc>
          <w:tcPr>
            <w:tcW w:w="4258" w:type="dxa"/>
            <w:vAlign w:val="center"/>
          </w:tcPr>
          <w:p w14:paraId="33A7EE04">
            <w:pPr>
              <w:widowControl/>
              <w:spacing w:line="240" w:lineRule="auto"/>
              <w:ind w:firstLine="0" w:firstLineChars="0"/>
              <w:jc w:val="center"/>
              <w:rPr>
                <w:rFonts w:hint="default" w:ascii="Times New Roman" w:hAnsi="Times New Roman" w:eastAsia="仿宋" w:cs="Times New Roman"/>
                <w:b/>
                <w:bCs/>
                <w:kern w:val="0"/>
                <w:sz w:val="21"/>
                <w:szCs w:val="21"/>
                <w:highlight w:val="none"/>
              </w:rPr>
            </w:pPr>
            <w:r>
              <w:rPr>
                <w:rFonts w:hint="default" w:ascii="Times New Roman" w:hAnsi="Times New Roman" w:eastAsia="仿宋" w:cs="Times New Roman"/>
                <w:b/>
                <w:bCs/>
                <w:kern w:val="0"/>
                <w:sz w:val="21"/>
                <w:szCs w:val="21"/>
                <w:highlight w:val="none"/>
              </w:rPr>
              <w:t>建设内容与规模</w:t>
            </w:r>
          </w:p>
        </w:tc>
        <w:tc>
          <w:tcPr>
            <w:tcW w:w="1276" w:type="dxa"/>
            <w:vAlign w:val="center"/>
          </w:tcPr>
          <w:p w14:paraId="49533853">
            <w:pPr>
              <w:widowControl/>
              <w:spacing w:line="240" w:lineRule="auto"/>
              <w:ind w:firstLine="0" w:firstLineChars="0"/>
              <w:jc w:val="center"/>
              <w:rPr>
                <w:rFonts w:hint="default" w:ascii="Times New Roman" w:hAnsi="Times New Roman" w:eastAsia="仿宋" w:cs="Times New Roman"/>
                <w:b/>
                <w:bCs/>
                <w:kern w:val="0"/>
                <w:sz w:val="21"/>
                <w:szCs w:val="21"/>
                <w:highlight w:val="none"/>
              </w:rPr>
            </w:pPr>
            <w:r>
              <w:rPr>
                <w:rFonts w:hint="default" w:ascii="Times New Roman" w:hAnsi="Times New Roman" w:eastAsia="仿宋" w:cs="Times New Roman"/>
                <w:b/>
                <w:bCs/>
                <w:kern w:val="0"/>
                <w:sz w:val="21"/>
                <w:szCs w:val="21"/>
                <w:highlight w:val="none"/>
              </w:rPr>
              <w:t>计划投资额（万元）</w:t>
            </w:r>
          </w:p>
        </w:tc>
        <w:tc>
          <w:tcPr>
            <w:tcW w:w="1139" w:type="dxa"/>
            <w:vAlign w:val="center"/>
          </w:tcPr>
          <w:p w14:paraId="004FD232">
            <w:pPr>
              <w:widowControl/>
              <w:spacing w:line="240" w:lineRule="auto"/>
              <w:ind w:firstLine="0" w:firstLineChars="0"/>
              <w:jc w:val="center"/>
              <w:rPr>
                <w:rFonts w:hint="default" w:ascii="Times New Roman" w:hAnsi="Times New Roman" w:eastAsia="仿宋" w:cs="Times New Roman"/>
                <w:b/>
                <w:bCs/>
                <w:kern w:val="0"/>
                <w:sz w:val="21"/>
                <w:szCs w:val="21"/>
                <w:highlight w:val="none"/>
              </w:rPr>
            </w:pPr>
            <w:r>
              <w:rPr>
                <w:rFonts w:hint="default" w:ascii="Times New Roman" w:hAnsi="Times New Roman" w:eastAsia="仿宋" w:cs="Times New Roman"/>
                <w:b/>
                <w:bCs/>
                <w:kern w:val="0"/>
                <w:sz w:val="21"/>
                <w:szCs w:val="21"/>
                <w:highlight w:val="none"/>
              </w:rPr>
              <w:t>投资来源</w:t>
            </w:r>
          </w:p>
        </w:tc>
        <w:tc>
          <w:tcPr>
            <w:tcW w:w="1276" w:type="dxa"/>
            <w:vAlign w:val="center"/>
          </w:tcPr>
          <w:p w14:paraId="5600B85D">
            <w:pPr>
              <w:widowControl/>
              <w:spacing w:line="240" w:lineRule="auto"/>
              <w:ind w:firstLine="0" w:firstLineChars="0"/>
              <w:jc w:val="center"/>
              <w:rPr>
                <w:rFonts w:hint="default" w:ascii="Times New Roman" w:hAnsi="Times New Roman" w:eastAsia="仿宋" w:cs="Times New Roman"/>
                <w:b/>
                <w:bCs/>
                <w:kern w:val="0"/>
                <w:sz w:val="21"/>
                <w:szCs w:val="21"/>
                <w:highlight w:val="none"/>
              </w:rPr>
            </w:pPr>
            <w:r>
              <w:rPr>
                <w:rFonts w:hint="default" w:ascii="Times New Roman" w:hAnsi="Times New Roman" w:eastAsia="仿宋" w:cs="Times New Roman"/>
                <w:b/>
                <w:bCs/>
                <w:kern w:val="0"/>
                <w:sz w:val="21"/>
                <w:szCs w:val="21"/>
                <w:highlight w:val="none"/>
              </w:rPr>
              <w:t>实施年限</w:t>
            </w:r>
          </w:p>
        </w:tc>
        <w:tc>
          <w:tcPr>
            <w:tcW w:w="1701" w:type="dxa"/>
            <w:vAlign w:val="center"/>
          </w:tcPr>
          <w:p w14:paraId="58C4E0CC">
            <w:pPr>
              <w:widowControl/>
              <w:spacing w:line="240" w:lineRule="auto"/>
              <w:ind w:firstLine="0" w:firstLineChars="0"/>
              <w:jc w:val="center"/>
              <w:rPr>
                <w:rFonts w:hint="default" w:ascii="Times New Roman" w:hAnsi="Times New Roman" w:eastAsia="仿宋" w:cs="Times New Roman"/>
                <w:b/>
                <w:bCs/>
                <w:kern w:val="0"/>
                <w:sz w:val="21"/>
                <w:szCs w:val="21"/>
                <w:highlight w:val="none"/>
              </w:rPr>
            </w:pPr>
            <w:r>
              <w:rPr>
                <w:rFonts w:hint="default" w:ascii="Times New Roman" w:hAnsi="Times New Roman" w:eastAsia="仿宋" w:cs="Times New Roman"/>
                <w:b/>
                <w:bCs/>
                <w:kern w:val="0"/>
                <w:sz w:val="21"/>
                <w:szCs w:val="21"/>
                <w:highlight w:val="none"/>
              </w:rPr>
              <w:t>牵头单位</w:t>
            </w:r>
          </w:p>
        </w:tc>
      </w:tr>
      <w:tr w14:paraId="2C55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restart"/>
            <w:vAlign w:val="center"/>
          </w:tcPr>
          <w:p w14:paraId="7E95CAB3">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目标责任</w:t>
            </w:r>
          </w:p>
        </w:tc>
        <w:tc>
          <w:tcPr>
            <w:tcW w:w="851" w:type="dxa"/>
            <w:vAlign w:val="center"/>
          </w:tcPr>
          <w:p w14:paraId="7618F790">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1</w:t>
            </w:r>
          </w:p>
        </w:tc>
        <w:tc>
          <w:tcPr>
            <w:tcW w:w="2682" w:type="dxa"/>
            <w:vAlign w:val="center"/>
          </w:tcPr>
          <w:p w14:paraId="2DA20071">
            <w:pPr>
              <w:widowControl/>
              <w:snapToGrid w:val="0"/>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完善生态文明绩效评价考核体系</w:t>
            </w:r>
          </w:p>
        </w:tc>
        <w:tc>
          <w:tcPr>
            <w:tcW w:w="4258" w:type="dxa"/>
            <w:vAlign w:val="center"/>
          </w:tcPr>
          <w:p w14:paraId="1F7A3540">
            <w:pPr>
              <w:widowControl/>
              <w:snapToGrid w:val="0"/>
              <w:spacing w:line="240"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优化秦淮区生态文明建设绩效评价考核（高质量发展考核）办法，适当增加生态文明相关的考核项目的权重，有效落实领导干部生态文明建设责任制</w:t>
            </w:r>
          </w:p>
        </w:tc>
        <w:tc>
          <w:tcPr>
            <w:tcW w:w="1276" w:type="dxa"/>
            <w:vAlign w:val="center"/>
          </w:tcPr>
          <w:p w14:paraId="5F207698">
            <w:pPr>
              <w:widowControl/>
              <w:snapToGrid w:val="0"/>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w:t>
            </w:r>
          </w:p>
        </w:tc>
        <w:tc>
          <w:tcPr>
            <w:tcW w:w="1139" w:type="dxa"/>
            <w:vAlign w:val="center"/>
          </w:tcPr>
          <w:p w14:paraId="25007448">
            <w:pPr>
              <w:widowControl/>
              <w:snapToGrid w:val="0"/>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政府投资</w:t>
            </w:r>
          </w:p>
        </w:tc>
        <w:tc>
          <w:tcPr>
            <w:tcW w:w="1276" w:type="dxa"/>
            <w:vAlign w:val="center"/>
          </w:tcPr>
          <w:p w14:paraId="6E7F3086">
            <w:pPr>
              <w:widowControl/>
              <w:snapToGrid w:val="0"/>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2021-2030</w:t>
            </w:r>
          </w:p>
        </w:tc>
        <w:tc>
          <w:tcPr>
            <w:tcW w:w="1701" w:type="dxa"/>
            <w:vAlign w:val="center"/>
          </w:tcPr>
          <w:p w14:paraId="75583E1E">
            <w:pPr>
              <w:widowControl/>
              <w:snapToGrid w:val="0"/>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区委组织部</w:t>
            </w:r>
          </w:p>
        </w:tc>
      </w:tr>
      <w:tr w14:paraId="4AA6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14:paraId="7A36E875">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7F6D4373">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w:t>
            </w:r>
          </w:p>
        </w:tc>
        <w:tc>
          <w:tcPr>
            <w:tcW w:w="2682" w:type="dxa"/>
            <w:vAlign w:val="center"/>
          </w:tcPr>
          <w:p w14:paraId="4AB9D426">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推进自然资源资产离任审计</w:t>
            </w:r>
          </w:p>
        </w:tc>
        <w:tc>
          <w:tcPr>
            <w:tcW w:w="4258" w:type="dxa"/>
            <w:vAlign w:val="center"/>
          </w:tcPr>
          <w:p w14:paraId="59893E1B">
            <w:pPr>
              <w:widowControl/>
              <w:spacing w:line="240"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按照《南京市领导干部自然资源资产离任审计实施办法（试行）》要求，开展区内领导干部自然资源资产离任审计，强化审计评价、审计责任界定和审计结果运用，</w:t>
            </w:r>
            <w:r>
              <w:rPr>
                <w:rFonts w:hint="default" w:ascii="Times New Roman" w:hAnsi="Times New Roman" w:eastAsia="仿宋" w:cs="Times New Roman"/>
                <w:kern w:val="0"/>
                <w:sz w:val="21"/>
                <w:szCs w:val="21"/>
                <w:highlight w:val="none"/>
                <w:lang w:eastAsia="zh-CN"/>
              </w:rPr>
              <w:t>加强</w:t>
            </w:r>
            <w:r>
              <w:rPr>
                <w:rFonts w:hint="default" w:ascii="Times New Roman" w:hAnsi="Times New Roman" w:eastAsia="仿宋" w:cs="Times New Roman"/>
                <w:kern w:val="0"/>
                <w:sz w:val="21"/>
                <w:szCs w:val="21"/>
                <w:highlight w:val="none"/>
              </w:rPr>
              <w:t>领导干部责任落实</w:t>
            </w:r>
          </w:p>
        </w:tc>
        <w:tc>
          <w:tcPr>
            <w:tcW w:w="1276" w:type="dxa"/>
            <w:vAlign w:val="center"/>
          </w:tcPr>
          <w:p w14:paraId="63A323DB">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w:t>
            </w:r>
          </w:p>
        </w:tc>
        <w:tc>
          <w:tcPr>
            <w:tcW w:w="1139" w:type="dxa"/>
            <w:vAlign w:val="center"/>
          </w:tcPr>
          <w:p w14:paraId="05B6B4CE">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政府投资</w:t>
            </w:r>
          </w:p>
        </w:tc>
        <w:tc>
          <w:tcPr>
            <w:tcW w:w="1276" w:type="dxa"/>
            <w:vAlign w:val="center"/>
          </w:tcPr>
          <w:p w14:paraId="59740E1B">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2021-2030</w:t>
            </w:r>
          </w:p>
        </w:tc>
        <w:tc>
          <w:tcPr>
            <w:tcW w:w="1701" w:type="dxa"/>
            <w:vAlign w:val="center"/>
          </w:tcPr>
          <w:p w14:paraId="0B2CB8DA">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区审计局</w:t>
            </w:r>
          </w:p>
        </w:tc>
      </w:tr>
      <w:tr w14:paraId="6B9B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14:paraId="54BCED3D">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7AE9BD5B">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3</w:t>
            </w:r>
          </w:p>
        </w:tc>
        <w:tc>
          <w:tcPr>
            <w:tcW w:w="2682" w:type="dxa"/>
            <w:vAlign w:val="center"/>
          </w:tcPr>
          <w:p w14:paraId="3E02E670">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建立党政领导干部生态环境损害责任追究制度</w:t>
            </w:r>
          </w:p>
        </w:tc>
        <w:tc>
          <w:tcPr>
            <w:tcW w:w="4258" w:type="dxa"/>
            <w:vAlign w:val="center"/>
          </w:tcPr>
          <w:p w14:paraId="46AB7E8F">
            <w:pPr>
              <w:widowControl/>
              <w:spacing w:line="240"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协助建立党政领导干部生态环境损害责任追究制度，在全区范围内对违背科学发展要求、在生态环境和资源保护方面造成严重破坏负有责任的相关部门有关领导成员严格追责</w:t>
            </w:r>
          </w:p>
        </w:tc>
        <w:tc>
          <w:tcPr>
            <w:tcW w:w="1276" w:type="dxa"/>
            <w:vAlign w:val="center"/>
          </w:tcPr>
          <w:p w14:paraId="36C90178">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w:t>
            </w:r>
          </w:p>
        </w:tc>
        <w:tc>
          <w:tcPr>
            <w:tcW w:w="1139" w:type="dxa"/>
            <w:vAlign w:val="center"/>
          </w:tcPr>
          <w:p w14:paraId="29758A09">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政府投资</w:t>
            </w:r>
          </w:p>
        </w:tc>
        <w:tc>
          <w:tcPr>
            <w:tcW w:w="1276" w:type="dxa"/>
            <w:vAlign w:val="center"/>
          </w:tcPr>
          <w:p w14:paraId="02A21665">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2021-2030</w:t>
            </w:r>
          </w:p>
        </w:tc>
        <w:tc>
          <w:tcPr>
            <w:tcW w:w="1701" w:type="dxa"/>
            <w:vAlign w:val="center"/>
          </w:tcPr>
          <w:p w14:paraId="522E69B5">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秦淮生态环境局</w:t>
            </w:r>
          </w:p>
        </w:tc>
      </w:tr>
      <w:tr w14:paraId="30F8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09" w:type="dxa"/>
            <w:vMerge w:val="continue"/>
            <w:vAlign w:val="center"/>
          </w:tcPr>
          <w:p w14:paraId="213FF5BB">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50D3B754">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合计</w:t>
            </w:r>
          </w:p>
        </w:tc>
        <w:tc>
          <w:tcPr>
            <w:tcW w:w="10631" w:type="dxa"/>
            <w:gridSpan w:val="5"/>
            <w:vAlign w:val="center"/>
          </w:tcPr>
          <w:p w14:paraId="674E0DB0">
            <w:pPr>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w:t>
            </w:r>
          </w:p>
        </w:tc>
        <w:tc>
          <w:tcPr>
            <w:tcW w:w="1701" w:type="dxa"/>
            <w:vAlign w:val="center"/>
          </w:tcPr>
          <w:p w14:paraId="565308FC">
            <w:pPr>
              <w:spacing w:line="240" w:lineRule="auto"/>
              <w:ind w:firstLine="0" w:firstLineChars="0"/>
              <w:jc w:val="center"/>
              <w:rPr>
                <w:rFonts w:hint="default" w:ascii="Times New Roman" w:hAnsi="Times New Roman" w:eastAsia="仿宋" w:cs="Times New Roman"/>
                <w:kern w:val="0"/>
                <w:sz w:val="21"/>
                <w:szCs w:val="21"/>
                <w:highlight w:val="none"/>
              </w:rPr>
            </w:pPr>
          </w:p>
        </w:tc>
      </w:tr>
      <w:tr w14:paraId="6B66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restart"/>
            <w:vAlign w:val="center"/>
          </w:tcPr>
          <w:p w14:paraId="4D21CDE1">
            <w:pPr>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生态安全</w:t>
            </w:r>
          </w:p>
        </w:tc>
        <w:tc>
          <w:tcPr>
            <w:tcW w:w="851" w:type="dxa"/>
            <w:vAlign w:val="center"/>
          </w:tcPr>
          <w:p w14:paraId="0606A86D">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1</w:t>
            </w:r>
          </w:p>
        </w:tc>
        <w:tc>
          <w:tcPr>
            <w:tcW w:w="2682" w:type="dxa"/>
            <w:vAlign w:val="center"/>
          </w:tcPr>
          <w:p w14:paraId="204C30A4">
            <w:pPr>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VOCs治理控制工程</w:t>
            </w:r>
          </w:p>
        </w:tc>
        <w:tc>
          <w:tcPr>
            <w:tcW w:w="4258" w:type="dxa"/>
            <w:vAlign w:val="center"/>
          </w:tcPr>
          <w:p w14:paraId="3EB2AE89">
            <w:pPr>
              <w:spacing w:line="240"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以源头控制、结构优化、综合治理、总量控制为原则，通过结构调整、原料替代、过程管理、末端治理等污染控制措施，开展VOCs减排工作，重点治理汽车修理、喷涂、涂料使用等领域的挥发性有机物污染</w:t>
            </w:r>
            <w:r>
              <w:rPr>
                <w:rFonts w:hint="default" w:ascii="Times New Roman" w:hAnsi="Times New Roman" w:eastAsia="仿宋" w:cs="Times New Roman"/>
                <w:kern w:val="0"/>
                <w:sz w:val="21"/>
                <w:szCs w:val="21"/>
                <w:highlight w:val="none"/>
                <w:lang w:eastAsia="zh-CN"/>
              </w:rPr>
              <w:t>，</w:t>
            </w:r>
            <w:r>
              <w:rPr>
                <w:rFonts w:hint="default" w:ascii="Times New Roman" w:hAnsi="Times New Roman" w:eastAsia="仿宋" w:cs="Times New Roman"/>
                <w:kern w:val="0"/>
                <w:sz w:val="21"/>
                <w:szCs w:val="21"/>
                <w:highlight w:val="none"/>
              </w:rPr>
              <w:t>并联网污染防治智能化平台</w:t>
            </w:r>
          </w:p>
        </w:tc>
        <w:tc>
          <w:tcPr>
            <w:tcW w:w="1276" w:type="dxa"/>
            <w:vAlign w:val="center"/>
          </w:tcPr>
          <w:p w14:paraId="13E6CC2C">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350</w:t>
            </w:r>
          </w:p>
        </w:tc>
        <w:tc>
          <w:tcPr>
            <w:tcW w:w="1139" w:type="dxa"/>
            <w:vAlign w:val="center"/>
          </w:tcPr>
          <w:p w14:paraId="5FFE00F9">
            <w:pPr>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政府投资</w:t>
            </w:r>
          </w:p>
        </w:tc>
        <w:tc>
          <w:tcPr>
            <w:tcW w:w="1276" w:type="dxa"/>
            <w:vAlign w:val="center"/>
          </w:tcPr>
          <w:p w14:paraId="173C25E2">
            <w:pPr>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2021-2025</w:t>
            </w:r>
          </w:p>
        </w:tc>
        <w:tc>
          <w:tcPr>
            <w:tcW w:w="1701" w:type="dxa"/>
            <w:vAlign w:val="center"/>
          </w:tcPr>
          <w:p w14:paraId="23971C4A">
            <w:pPr>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秦淮生态环境局</w:t>
            </w:r>
          </w:p>
        </w:tc>
      </w:tr>
      <w:tr w14:paraId="2252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14:paraId="52C2FD6D">
            <w:pPr>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32BC407B">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w:t>
            </w:r>
          </w:p>
        </w:tc>
        <w:tc>
          <w:tcPr>
            <w:tcW w:w="2682" w:type="dxa"/>
            <w:vAlign w:val="center"/>
          </w:tcPr>
          <w:p w14:paraId="37CE87BF">
            <w:pPr>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餐饮油烟在线监测</w:t>
            </w:r>
          </w:p>
        </w:tc>
        <w:tc>
          <w:tcPr>
            <w:tcW w:w="4258" w:type="dxa"/>
            <w:vAlign w:val="center"/>
          </w:tcPr>
          <w:p w14:paraId="422379BB">
            <w:pPr>
              <w:spacing w:line="240"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实施油烟在线监控，实现区内所有餐饮油烟净化装置与区污染防治智能化平台联网</w:t>
            </w:r>
          </w:p>
        </w:tc>
        <w:tc>
          <w:tcPr>
            <w:tcW w:w="1276" w:type="dxa"/>
            <w:vAlign w:val="center"/>
          </w:tcPr>
          <w:p w14:paraId="24C5B6B4">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1260</w:t>
            </w:r>
          </w:p>
        </w:tc>
        <w:tc>
          <w:tcPr>
            <w:tcW w:w="1139" w:type="dxa"/>
            <w:vAlign w:val="center"/>
          </w:tcPr>
          <w:p w14:paraId="50639CE3">
            <w:pPr>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政府投资</w:t>
            </w:r>
          </w:p>
        </w:tc>
        <w:tc>
          <w:tcPr>
            <w:tcW w:w="1276" w:type="dxa"/>
            <w:vAlign w:val="center"/>
          </w:tcPr>
          <w:p w14:paraId="2485E5A7">
            <w:pPr>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2021-2025</w:t>
            </w:r>
          </w:p>
        </w:tc>
        <w:tc>
          <w:tcPr>
            <w:tcW w:w="1701" w:type="dxa"/>
            <w:vAlign w:val="center"/>
          </w:tcPr>
          <w:p w14:paraId="7BADF867">
            <w:pPr>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秦淮生态环境局</w:t>
            </w:r>
          </w:p>
        </w:tc>
      </w:tr>
      <w:tr w14:paraId="0C33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09" w:type="dxa"/>
            <w:vMerge w:val="continue"/>
            <w:vAlign w:val="center"/>
          </w:tcPr>
          <w:p w14:paraId="48687E4E">
            <w:pPr>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188A63C5">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3</w:t>
            </w:r>
          </w:p>
        </w:tc>
        <w:tc>
          <w:tcPr>
            <w:tcW w:w="2682" w:type="dxa"/>
            <w:vAlign w:val="center"/>
          </w:tcPr>
          <w:p w14:paraId="175F4C1E">
            <w:pPr>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 xml:space="preserve">移动源排放治理工程 </w:t>
            </w:r>
          </w:p>
        </w:tc>
        <w:tc>
          <w:tcPr>
            <w:tcW w:w="4258" w:type="dxa"/>
            <w:vAlign w:val="center"/>
          </w:tcPr>
          <w:p w14:paraId="4A35D6D6">
            <w:pPr>
              <w:spacing w:line="240"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（1）完成省、市下达的国三标准营运柴油货车淘汰任务</w:t>
            </w:r>
          </w:p>
          <w:p w14:paraId="13FE8619">
            <w:pPr>
              <w:spacing w:line="240"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（2）加强油品质量管理</w:t>
            </w:r>
            <w:r>
              <w:rPr>
                <w:rFonts w:hint="default" w:ascii="Times New Roman" w:hAnsi="Times New Roman" w:eastAsia="仿宋" w:cs="Times New Roman"/>
                <w:kern w:val="0"/>
                <w:sz w:val="21"/>
                <w:szCs w:val="21"/>
                <w:highlight w:val="none"/>
                <w:lang w:eastAsia="zh-CN"/>
              </w:rPr>
              <w:t>，</w:t>
            </w:r>
            <w:r>
              <w:rPr>
                <w:rFonts w:hint="default" w:ascii="Times New Roman" w:hAnsi="Times New Roman" w:eastAsia="仿宋" w:cs="Times New Roman"/>
                <w:kern w:val="0"/>
                <w:sz w:val="21"/>
                <w:szCs w:val="21"/>
                <w:highlight w:val="none"/>
              </w:rPr>
              <w:t>禁止不符合标准的油品进入市场，根据省统一部署做好油品升级工作</w:t>
            </w:r>
          </w:p>
        </w:tc>
        <w:tc>
          <w:tcPr>
            <w:tcW w:w="1276" w:type="dxa"/>
            <w:vAlign w:val="center"/>
          </w:tcPr>
          <w:p w14:paraId="22FBE77E">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700</w:t>
            </w:r>
          </w:p>
        </w:tc>
        <w:tc>
          <w:tcPr>
            <w:tcW w:w="1139" w:type="dxa"/>
            <w:vAlign w:val="center"/>
          </w:tcPr>
          <w:p w14:paraId="3C8B7C26">
            <w:pPr>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政府投资</w:t>
            </w:r>
          </w:p>
        </w:tc>
        <w:tc>
          <w:tcPr>
            <w:tcW w:w="1276" w:type="dxa"/>
            <w:vAlign w:val="center"/>
          </w:tcPr>
          <w:p w14:paraId="50E30BCD">
            <w:pPr>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2021-2025</w:t>
            </w:r>
          </w:p>
        </w:tc>
        <w:tc>
          <w:tcPr>
            <w:tcW w:w="1701" w:type="dxa"/>
            <w:vAlign w:val="center"/>
          </w:tcPr>
          <w:p w14:paraId="44F3144F">
            <w:pPr>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区攻坚办</w:t>
            </w:r>
            <w:r>
              <w:rPr>
                <w:rFonts w:hint="default" w:ascii="Times New Roman" w:hAnsi="Times New Roman" w:eastAsia="仿宋" w:cs="Times New Roman"/>
                <w:kern w:val="0"/>
                <w:sz w:val="21"/>
                <w:szCs w:val="21"/>
                <w:highlight w:val="none"/>
                <w:lang w:eastAsia="zh-CN"/>
                <w14:ligatures w14:val="standardContextual"/>
              </w:rPr>
              <w:t>、</w:t>
            </w:r>
            <w:r>
              <w:rPr>
                <w:rFonts w:hint="default" w:ascii="Times New Roman" w:hAnsi="Times New Roman" w:eastAsia="仿宋" w:cs="Times New Roman"/>
                <w:kern w:val="0"/>
                <w:sz w:val="21"/>
                <w:szCs w:val="21"/>
                <w:highlight w:val="none"/>
                <w14:ligatures w14:val="standardContextual"/>
              </w:rPr>
              <w:t>交警</w:t>
            </w:r>
            <w:r>
              <w:rPr>
                <w:rFonts w:hint="default" w:ascii="Times New Roman" w:hAnsi="Times New Roman" w:eastAsia="仿宋" w:cs="Times New Roman"/>
                <w:kern w:val="0"/>
                <w:sz w:val="21"/>
                <w:szCs w:val="21"/>
                <w:highlight w:val="none"/>
                <w:lang w:eastAsia="zh-CN"/>
                <w14:ligatures w14:val="standardContextual"/>
              </w:rPr>
              <w:t>三</w:t>
            </w:r>
            <w:r>
              <w:rPr>
                <w:rFonts w:hint="default" w:ascii="Times New Roman" w:hAnsi="Times New Roman" w:eastAsia="仿宋" w:cs="Times New Roman"/>
                <w:kern w:val="0"/>
                <w:sz w:val="21"/>
                <w:szCs w:val="21"/>
                <w:highlight w:val="none"/>
                <w14:ligatures w14:val="standardContextual"/>
              </w:rPr>
              <w:t>大队、区市场监管局</w:t>
            </w:r>
          </w:p>
        </w:tc>
      </w:tr>
      <w:tr w14:paraId="10CA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14:paraId="5F4A434D">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6C2EB78E">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4</w:t>
            </w:r>
          </w:p>
        </w:tc>
        <w:tc>
          <w:tcPr>
            <w:tcW w:w="2682" w:type="dxa"/>
            <w:vAlign w:val="center"/>
          </w:tcPr>
          <w:p w14:paraId="4FA4C2A4">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外秦淮河沿线（秦淮区）重点泵站前池、象房村高水高排涵整治工程</w:t>
            </w:r>
          </w:p>
        </w:tc>
        <w:tc>
          <w:tcPr>
            <w:tcW w:w="4258" w:type="dxa"/>
            <w:vAlign w:val="center"/>
          </w:tcPr>
          <w:p w14:paraId="78B7E9EA">
            <w:pPr>
              <w:widowControl/>
              <w:spacing w:line="240"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sz w:val="21"/>
                <w:szCs w:val="21"/>
                <w:highlight w:val="none"/>
                <w14:ligatures w14:val="standardContextual"/>
              </w:rPr>
              <w:t>对外秦淮河沿线重点泵站前池进行整治，</w:t>
            </w:r>
            <w:r>
              <w:rPr>
                <w:rFonts w:hint="default" w:ascii="Times New Roman" w:hAnsi="Times New Roman" w:eastAsia="仿宋" w:cs="Times New Roman"/>
                <w:sz w:val="21"/>
                <w:szCs w:val="21"/>
                <w:highlight w:val="none"/>
                <w:lang w:eastAsia="zh-CN"/>
                <w14:ligatures w14:val="standardContextual"/>
              </w:rPr>
              <w:t>包括</w:t>
            </w:r>
            <w:r>
              <w:rPr>
                <w:rFonts w:hint="default" w:ascii="Times New Roman" w:hAnsi="Times New Roman" w:eastAsia="仿宋" w:cs="Times New Roman"/>
                <w:sz w:val="21"/>
                <w:szCs w:val="21"/>
                <w:highlight w:val="none"/>
                <w14:ligatures w14:val="standardContextual"/>
              </w:rPr>
              <w:t>秦虹泵站、南玉带河泵站等前池水环境改善，清淤、加装一体化净化设备，实现氨氮、总磷稳定达标；实施象房村高水高排涵清淤疏浚、结构加固等工程</w:t>
            </w:r>
          </w:p>
        </w:tc>
        <w:tc>
          <w:tcPr>
            <w:tcW w:w="1276" w:type="dxa"/>
            <w:vAlign w:val="center"/>
          </w:tcPr>
          <w:p w14:paraId="14820E2F">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874</w:t>
            </w:r>
          </w:p>
        </w:tc>
        <w:tc>
          <w:tcPr>
            <w:tcW w:w="1139" w:type="dxa"/>
            <w:vAlign w:val="center"/>
          </w:tcPr>
          <w:p w14:paraId="7566412C">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政府投资</w:t>
            </w:r>
          </w:p>
        </w:tc>
        <w:tc>
          <w:tcPr>
            <w:tcW w:w="1276" w:type="dxa"/>
            <w:vAlign w:val="center"/>
          </w:tcPr>
          <w:p w14:paraId="0540B6ED">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2023-2024</w:t>
            </w:r>
          </w:p>
        </w:tc>
        <w:tc>
          <w:tcPr>
            <w:tcW w:w="1701" w:type="dxa"/>
            <w:vAlign w:val="center"/>
          </w:tcPr>
          <w:p w14:paraId="0031FD8F">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区水务局</w:t>
            </w:r>
          </w:p>
        </w:tc>
      </w:tr>
      <w:tr w14:paraId="05FB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14:paraId="03DD6B7E">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08F65A99">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5</w:t>
            </w:r>
          </w:p>
        </w:tc>
        <w:tc>
          <w:tcPr>
            <w:tcW w:w="2682" w:type="dxa"/>
            <w:vAlign w:val="center"/>
          </w:tcPr>
          <w:p w14:paraId="7F52A382">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运粮河（运粮河大桥-入河口）综合整治工程</w:t>
            </w:r>
          </w:p>
        </w:tc>
        <w:tc>
          <w:tcPr>
            <w:tcW w:w="4258" w:type="dxa"/>
            <w:vAlign w:val="center"/>
          </w:tcPr>
          <w:p w14:paraId="21C70B82">
            <w:pPr>
              <w:widowControl/>
              <w:spacing w:line="240"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运粮河大桥-运粮河入河口，约1.7公里，堤防除险加固、栏杆消险、岸坡整理、补充绿化等综合整治</w:t>
            </w:r>
          </w:p>
        </w:tc>
        <w:tc>
          <w:tcPr>
            <w:tcW w:w="1276" w:type="dxa"/>
            <w:vAlign w:val="center"/>
          </w:tcPr>
          <w:p w14:paraId="24A562B5">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2050</w:t>
            </w:r>
          </w:p>
        </w:tc>
        <w:tc>
          <w:tcPr>
            <w:tcW w:w="1139" w:type="dxa"/>
            <w:vAlign w:val="center"/>
          </w:tcPr>
          <w:p w14:paraId="09C7BBAE">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政府投资</w:t>
            </w:r>
          </w:p>
        </w:tc>
        <w:tc>
          <w:tcPr>
            <w:tcW w:w="1276" w:type="dxa"/>
            <w:vAlign w:val="center"/>
          </w:tcPr>
          <w:p w14:paraId="589FE4BD">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2023-2024</w:t>
            </w:r>
          </w:p>
        </w:tc>
        <w:tc>
          <w:tcPr>
            <w:tcW w:w="1701" w:type="dxa"/>
            <w:vAlign w:val="center"/>
          </w:tcPr>
          <w:p w14:paraId="56658B93">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区水务局</w:t>
            </w:r>
          </w:p>
        </w:tc>
      </w:tr>
      <w:tr w14:paraId="3423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14:paraId="77831244">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6B3DF9D0">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6</w:t>
            </w:r>
          </w:p>
        </w:tc>
        <w:tc>
          <w:tcPr>
            <w:tcW w:w="2682" w:type="dxa"/>
            <w:vAlign w:val="center"/>
          </w:tcPr>
          <w:p w14:paraId="1BE5B4F6">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江心洲污水收集系统（秦淮区许家巷、实辉巷）污水管道修复改造工程</w:t>
            </w:r>
          </w:p>
        </w:tc>
        <w:tc>
          <w:tcPr>
            <w:tcW w:w="4258" w:type="dxa"/>
            <w:vAlign w:val="center"/>
          </w:tcPr>
          <w:p w14:paraId="2662CC45">
            <w:pPr>
              <w:widowControl/>
              <w:spacing w:line="240"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根据排查结果，开展江心洲污水收集系统问题管网修复，本项目修复中华路-中山南路、实辉巷缺陷问题污水管道</w:t>
            </w:r>
          </w:p>
        </w:tc>
        <w:tc>
          <w:tcPr>
            <w:tcW w:w="1276" w:type="dxa"/>
            <w:vAlign w:val="center"/>
          </w:tcPr>
          <w:p w14:paraId="2A35A727">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1270</w:t>
            </w:r>
          </w:p>
        </w:tc>
        <w:tc>
          <w:tcPr>
            <w:tcW w:w="1139" w:type="dxa"/>
            <w:vAlign w:val="center"/>
          </w:tcPr>
          <w:p w14:paraId="03DF6A22">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政府投资</w:t>
            </w:r>
          </w:p>
        </w:tc>
        <w:tc>
          <w:tcPr>
            <w:tcW w:w="1276" w:type="dxa"/>
            <w:vAlign w:val="center"/>
          </w:tcPr>
          <w:p w14:paraId="68C66CDA">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2023-2024</w:t>
            </w:r>
          </w:p>
        </w:tc>
        <w:tc>
          <w:tcPr>
            <w:tcW w:w="1701" w:type="dxa"/>
            <w:vAlign w:val="center"/>
          </w:tcPr>
          <w:p w14:paraId="3B1B8AAB">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区水务局</w:t>
            </w:r>
          </w:p>
        </w:tc>
      </w:tr>
      <w:tr w14:paraId="6FD2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14:paraId="71981CF8">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2F8B7F68">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7</w:t>
            </w:r>
          </w:p>
        </w:tc>
        <w:tc>
          <w:tcPr>
            <w:tcW w:w="2682" w:type="dxa"/>
            <w:vAlign w:val="center"/>
          </w:tcPr>
          <w:p w14:paraId="34A8426F">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江心洲污水收集系统（秦淮区文思巷）污水管道修复改造工程</w:t>
            </w:r>
          </w:p>
        </w:tc>
        <w:tc>
          <w:tcPr>
            <w:tcW w:w="4258" w:type="dxa"/>
            <w:vAlign w:val="center"/>
          </w:tcPr>
          <w:p w14:paraId="37DD98BB">
            <w:pPr>
              <w:widowControl/>
              <w:spacing w:line="240"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根据排查结果，开展江心洲污水收集系统问题管网修复，本项目修复白下路-建康路段缺陷问题污水管道</w:t>
            </w:r>
          </w:p>
        </w:tc>
        <w:tc>
          <w:tcPr>
            <w:tcW w:w="1276" w:type="dxa"/>
            <w:vAlign w:val="center"/>
          </w:tcPr>
          <w:p w14:paraId="6E1E9D0C">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1054</w:t>
            </w:r>
          </w:p>
        </w:tc>
        <w:tc>
          <w:tcPr>
            <w:tcW w:w="1139" w:type="dxa"/>
            <w:vAlign w:val="center"/>
          </w:tcPr>
          <w:p w14:paraId="19A91CA8">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政府投资</w:t>
            </w:r>
          </w:p>
        </w:tc>
        <w:tc>
          <w:tcPr>
            <w:tcW w:w="1276" w:type="dxa"/>
            <w:vAlign w:val="center"/>
          </w:tcPr>
          <w:p w14:paraId="11782356">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2023-2024</w:t>
            </w:r>
          </w:p>
        </w:tc>
        <w:tc>
          <w:tcPr>
            <w:tcW w:w="1701" w:type="dxa"/>
            <w:vAlign w:val="center"/>
          </w:tcPr>
          <w:p w14:paraId="4F68724C">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区水务局</w:t>
            </w:r>
          </w:p>
        </w:tc>
      </w:tr>
      <w:tr w14:paraId="6E4D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09" w:type="dxa"/>
            <w:vMerge w:val="continue"/>
            <w:vAlign w:val="center"/>
          </w:tcPr>
          <w:p w14:paraId="2B9C23BE">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0D6DAA06">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8</w:t>
            </w:r>
          </w:p>
        </w:tc>
        <w:tc>
          <w:tcPr>
            <w:tcW w:w="2682" w:type="dxa"/>
            <w:vAlign w:val="center"/>
          </w:tcPr>
          <w:p w14:paraId="7D62DBCA">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秦淮区糖坊廊等三个片区雨污水管网清疏修缮工程</w:t>
            </w:r>
          </w:p>
        </w:tc>
        <w:tc>
          <w:tcPr>
            <w:tcW w:w="4258" w:type="dxa"/>
            <w:vAlign w:val="center"/>
          </w:tcPr>
          <w:p w14:paraId="233B09A3">
            <w:pPr>
              <w:widowControl/>
              <w:spacing w:line="240"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 xml:space="preserve">对糖坊廊、安品街、评事街等3个棚户区实施截流改造，完善污水收集系统 </w:t>
            </w:r>
          </w:p>
        </w:tc>
        <w:tc>
          <w:tcPr>
            <w:tcW w:w="1276" w:type="dxa"/>
            <w:vAlign w:val="center"/>
          </w:tcPr>
          <w:p w14:paraId="4CE6565D">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950</w:t>
            </w:r>
          </w:p>
        </w:tc>
        <w:tc>
          <w:tcPr>
            <w:tcW w:w="1139" w:type="dxa"/>
            <w:vAlign w:val="center"/>
          </w:tcPr>
          <w:p w14:paraId="1CB4677C">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政府投资</w:t>
            </w:r>
          </w:p>
        </w:tc>
        <w:tc>
          <w:tcPr>
            <w:tcW w:w="1276" w:type="dxa"/>
            <w:vAlign w:val="center"/>
          </w:tcPr>
          <w:p w14:paraId="087A5C0D">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2023-2024</w:t>
            </w:r>
          </w:p>
        </w:tc>
        <w:tc>
          <w:tcPr>
            <w:tcW w:w="1701" w:type="dxa"/>
            <w:vAlign w:val="center"/>
          </w:tcPr>
          <w:p w14:paraId="23331017">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区水务局</w:t>
            </w:r>
          </w:p>
        </w:tc>
      </w:tr>
      <w:tr w14:paraId="0A50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14:paraId="31AFC181">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2948124A">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9</w:t>
            </w:r>
          </w:p>
        </w:tc>
        <w:tc>
          <w:tcPr>
            <w:tcW w:w="2682" w:type="dxa"/>
            <w:vAlign w:val="center"/>
          </w:tcPr>
          <w:p w14:paraId="334F679E">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秦淮区北片区雨污水清疏修缮工程</w:t>
            </w:r>
          </w:p>
        </w:tc>
        <w:tc>
          <w:tcPr>
            <w:tcW w:w="4258" w:type="dxa"/>
            <w:vAlign w:val="center"/>
          </w:tcPr>
          <w:p w14:paraId="04FC29A7">
            <w:pPr>
              <w:widowControl/>
              <w:spacing w:line="240"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对明御河流域御河苑、宏福苑等28个片区雨污水管网进行清疏修缮，约70.43公顷，整改错混接点位，对截流设施进行优化改造</w:t>
            </w:r>
          </w:p>
        </w:tc>
        <w:tc>
          <w:tcPr>
            <w:tcW w:w="1276" w:type="dxa"/>
            <w:vAlign w:val="center"/>
          </w:tcPr>
          <w:p w14:paraId="25F393B9">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3200</w:t>
            </w:r>
          </w:p>
        </w:tc>
        <w:tc>
          <w:tcPr>
            <w:tcW w:w="1139" w:type="dxa"/>
            <w:vAlign w:val="center"/>
          </w:tcPr>
          <w:p w14:paraId="6A2D9D5E">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政府投资</w:t>
            </w:r>
          </w:p>
        </w:tc>
        <w:tc>
          <w:tcPr>
            <w:tcW w:w="1276" w:type="dxa"/>
            <w:vAlign w:val="center"/>
          </w:tcPr>
          <w:p w14:paraId="467EDF1F">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2024-2025</w:t>
            </w:r>
          </w:p>
        </w:tc>
        <w:tc>
          <w:tcPr>
            <w:tcW w:w="1701" w:type="dxa"/>
            <w:vAlign w:val="center"/>
          </w:tcPr>
          <w:p w14:paraId="50EF7582">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区水务局</w:t>
            </w:r>
          </w:p>
        </w:tc>
      </w:tr>
      <w:tr w14:paraId="7E20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09" w:type="dxa"/>
            <w:vMerge w:val="continue"/>
            <w:vAlign w:val="center"/>
          </w:tcPr>
          <w:p w14:paraId="75B52CBD">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1E3EF7E9">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10</w:t>
            </w:r>
          </w:p>
        </w:tc>
        <w:tc>
          <w:tcPr>
            <w:tcW w:w="2682" w:type="dxa"/>
            <w:vAlign w:val="center"/>
          </w:tcPr>
          <w:p w14:paraId="62968FC4">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秦淮区中片区雨污水清疏修缮工程</w:t>
            </w:r>
          </w:p>
        </w:tc>
        <w:tc>
          <w:tcPr>
            <w:tcW w:w="4258" w:type="dxa"/>
            <w:vAlign w:val="center"/>
          </w:tcPr>
          <w:p w14:paraId="300F03D0">
            <w:pPr>
              <w:widowControl/>
              <w:spacing w:line="240"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对内秦淮河南段、中段流域有福家苑、武定门北巷等10个片区雨污水管网进行清疏修缮，约21.65公顷，整改错混接点位，对截流设施进行优化改造</w:t>
            </w:r>
          </w:p>
        </w:tc>
        <w:tc>
          <w:tcPr>
            <w:tcW w:w="1276" w:type="dxa"/>
            <w:vAlign w:val="center"/>
          </w:tcPr>
          <w:p w14:paraId="4C443981">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1200</w:t>
            </w:r>
          </w:p>
        </w:tc>
        <w:tc>
          <w:tcPr>
            <w:tcW w:w="1139" w:type="dxa"/>
            <w:vAlign w:val="center"/>
          </w:tcPr>
          <w:p w14:paraId="48AE5547">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政府投资</w:t>
            </w:r>
          </w:p>
        </w:tc>
        <w:tc>
          <w:tcPr>
            <w:tcW w:w="1276" w:type="dxa"/>
            <w:vAlign w:val="center"/>
          </w:tcPr>
          <w:p w14:paraId="4F6590F2">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2024-2025</w:t>
            </w:r>
          </w:p>
        </w:tc>
        <w:tc>
          <w:tcPr>
            <w:tcW w:w="1701" w:type="dxa"/>
            <w:vAlign w:val="center"/>
          </w:tcPr>
          <w:p w14:paraId="1D331A8B">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区水务局</w:t>
            </w:r>
          </w:p>
        </w:tc>
      </w:tr>
      <w:tr w14:paraId="2A0B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09" w:type="dxa"/>
            <w:vMerge w:val="continue"/>
            <w:vAlign w:val="center"/>
          </w:tcPr>
          <w:p w14:paraId="33ABBF0C">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595C948E">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11</w:t>
            </w:r>
          </w:p>
        </w:tc>
        <w:tc>
          <w:tcPr>
            <w:tcW w:w="2682" w:type="dxa"/>
            <w:vAlign w:val="center"/>
          </w:tcPr>
          <w:p w14:paraId="2F15B289">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江心洲污水收集系统秦淮区西大阳沟（大阳沟-解放南路）污水管道建设工程</w:t>
            </w:r>
          </w:p>
        </w:tc>
        <w:tc>
          <w:tcPr>
            <w:tcW w:w="4258" w:type="dxa"/>
            <w:vAlign w:val="center"/>
          </w:tcPr>
          <w:p w14:paraId="18366727">
            <w:pPr>
              <w:widowControl/>
              <w:spacing w:line="240"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西大阳沟（大阳沟-解放南路），开挖敷设DN400污水管道约0.3千米；同步回迁DN600雨水管道约0.097千米，翻建DN200雨水连接管约0.1千米</w:t>
            </w:r>
          </w:p>
        </w:tc>
        <w:tc>
          <w:tcPr>
            <w:tcW w:w="1276" w:type="dxa"/>
            <w:vAlign w:val="center"/>
          </w:tcPr>
          <w:p w14:paraId="4DEC9B1F">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454</w:t>
            </w:r>
          </w:p>
        </w:tc>
        <w:tc>
          <w:tcPr>
            <w:tcW w:w="1139" w:type="dxa"/>
            <w:vAlign w:val="center"/>
          </w:tcPr>
          <w:p w14:paraId="3888BF93">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政府投资</w:t>
            </w:r>
          </w:p>
        </w:tc>
        <w:tc>
          <w:tcPr>
            <w:tcW w:w="1276" w:type="dxa"/>
            <w:vAlign w:val="center"/>
          </w:tcPr>
          <w:p w14:paraId="38F61E83">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2024-2025</w:t>
            </w:r>
          </w:p>
        </w:tc>
        <w:tc>
          <w:tcPr>
            <w:tcW w:w="1701" w:type="dxa"/>
            <w:vAlign w:val="center"/>
          </w:tcPr>
          <w:p w14:paraId="48FDEDEF">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区水务局</w:t>
            </w:r>
          </w:p>
        </w:tc>
      </w:tr>
      <w:tr w14:paraId="1DBD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14:paraId="0D408CA3">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2D4AE452">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12</w:t>
            </w:r>
          </w:p>
        </w:tc>
        <w:tc>
          <w:tcPr>
            <w:tcW w:w="2682" w:type="dxa"/>
            <w:vAlign w:val="center"/>
          </w:tcPr>
          <w:p w14:paraId="43FBBFBB">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江心洲污水收集系统秦淮区西方巷污水管道修复改造工程</w:t>
            </w:r>
          </w:p>
        </w:tc>
        <w:tc>
          <w:tcPr>
            <w:tcW w:w="4258" w:type="dxa"/>
            <w:vAlign w:val="center"/>
          </w:tcPr>
          <w:p w14:paraId="2805F33E">
            <w:pPr>
              <w:widowControl/>
              <w:spacing w:line="240"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翻建西方巷段DN300污水球墨铸铁管道约0.4千米，恢复DN300雨水连接管约0.13千米、回迁DN600雨水球墨铸铁管道约0.1千米</w:t>
            </w:r>
          </w:p>
        </w:tc>
        <w:tc>
          <w:tcPr>
            <w:tcW w:w="1276" w:type="dxa"/>
            <w:vAlign w:val="center"/>
          </w:tcPr>
          <w:p w14:paraId="020B48AD">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800</w:t>
            </w:r>
          </w:p>
        </w:tc>
        <w:tc>
          <w:tcPr>
            <w:tcW w:w="1139" w:type="dxa"/>
            <w:vAlign w:val="center"/>
          </w:tcPr>
          <w:p w14:paraId="116BDE7D">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政府投资</w:t>
            </w:r>
          </w:p>
        </w:tc>
        <w:tc>
          <w:tcPr>
            <w:tcW w:w="1276" w:type="dxa"/>
            <w:vAlign w:val="center"/>
          </w:tcPr>
          <w:p w14:paraId="0C2CE4CA">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2024-2025</w:t>
            </w:r>
          </w:p>
        </w:tc>
        <w:tc>
          <w:tcPr>
            <w:tcW w:w="1701" w:type="dxa"/>
            <w:vAlign w:val="center"/>
          </w:tcPr>
          <w:p w14:paraId="4DFC973B">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区水务局</w:t>
            </w:r>
          </w:p>
        </w:tc>
      </w:tr>
      <w:tr w14:paraId="5385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709" w:type="dxa"/>
            <w:vMerge w:val="continue"/>
            <w:vAlign w:val="center"/>
          </w:tcPr>
          <w:p w14:paraId="043C3085">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5DBCF7C1">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13</w:t>
            </w:r>
          </w:p>
        </w:tc>
        <w:tc>
          <w:tcPr>
            <w:tcW w:w="2682" w:type="dxa"/>
            <w:vAlign w:val="center"/>
          </w:tcPr>
          <w:p w14:paraId="58E9FC34">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内秦淮河中段流域雨水排口截流优化改造工程</w:t>
            </w:r>
          </w:p>
        </w:tc>
        <w:tc>
          <w:tcPr>
            <w:tcW w:w="4258" w:type="dxa"/>
            <w:vAlign w:val="center"/>
          </w:tcPr>
          <w:p w14:paraId="05A2F6E1">
            <w:pPr>
              <w:widowControl/>
              <w:spacing w:line="240"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对内秦淮河中段流域张公桥东南侧、文津桥、仓巷桥、鼎新路桥、笪桥、鸽子桥、中山南路桥北排口等雨水排口截流优化改造，溯源排查、管网修复等，雨水有效释放</w:t>
            </w:r>
          </w:p>
        </w:tc>
        <w:tc>
          <w:tcPr>
            <w:tcW w:w="1276" w:type="dxa"/>
            <w:vAlign w:val="center"/>
          </w:tcPr>
          <w:p w14:paraId="7B95F45E">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3051</w:t>
            </w:r>
          </w:p>
        </w:tc>
        <w:tc>
          <w:tcPr>
            <w:tcW w:w="1139" w:type="dxa"/>
            <w:vAlign w:val="center"/>
          </w:tcPr>
          <w:p w14:paraId="5606ACEC">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政府投资</w:t>
            </w:r>
          </w:p>
        </w:tc>
        <w:tc>
          <w:tcPr>
            <w:tcW w:w="1276" w:type="dxa"/>
            <w:vAlign w:val="center"/>
          </w:tcPr>
          <w:p w14:paraId="671C9CEF">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2024-2025</w:t>
            </w:r>
          </w:p>
        </w:tc>
        <w:tc>
          <w:tcPr>
            <w:tcW w:w="1701" w:type="dxa"/>
            <w:vAlign w:val="center"/>
          </w:tcPr>
          <w:p w14:paraId="552A3E2F">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区水务局</w:t>
            </w:r>
          </w:p>
        </w:tc>
      </w:tr>
      <w:tr w14:paraId="60B8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09" w:type="dxa"/>
            <w:vMerge w:val="continue"/>
            <w:vAlign w:val="center"/>
          </w:tcPr>
          <w:p w14:paraId="6B921C46">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2631E709">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14</w:t>
            </w:r>
          </w:p>
        </w:tc>
        <w:tc>
          <w:tcPr>
            <w:tcW w:w="2682" w:type="dxa"/>
            <w:vAlign w:val="center"/>
          </w:tcPr>
          <w:p w14:paraId="55CCCF38">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东风河水环境综合治理工程</w:t>
            </w:r>
          </w:p>
        </w:tc>
        <w:tc>
          <w:tcPr>
            <w:tcW w:w="4258" w:type="dxa"/>
            <w:vAlign w:val="center"/>
          </w:tcPr>
          <w:p w14:paraId="1EDB81C8">
            <w:pPr>
              <w:widowControl/>
              <w:spacing w:line="240"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实施排口溯源、排口截流设施改造、水质提升、河道清淤疏浚、岸线整治等</w:t>
            </w:r>
          </w:p>
        </w:tc>
        <w:tc>
          <w:tcPr>
            <w:tcW w:w="1276" w:type="dxa"/>
            <w:vAlign w:val="center"/>
          </w:tcPr>
          <w:p w14:paraId="5F88FB51">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900</w:t>
            </w:r>
          </w:p>
        </w:tc>
        <w:tc>
          <w:tcPr>
            <w:tcW w:w="1139" w:type="dxa"/>
            <w:vAlign w:val="center"/>
          </w:tcPr>
          <w:p w14:paraId="352E6C34">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政府投资</w:t>
            </w:r>
          </w:p>
        </w:tc>
        <w:tc>
          <w:tcPr>
            <w:tcW w:w="1276" w:type="dxa"/>
            <w:vAlign w:val="center"/>
          </w:tcPr>
          <w:p w14:paraId="5926C242">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2024</w:t>
            </w:r>
          </w:p>
        </w:tc>
        <w:tc>
          <w:tcPr>
            <w:tcW w:w="1701" w:type="dxa"/>
            <w:vAlign w:val="center"/>
          </w:tcPr>
          <w:p w14:paraId="2FCA26AE">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14:ligatures w14:val="standardContextual"/>
              </w:rPr>
              <w:t>区水务局</w:t>
            </w:r>
          </w:p>
        </w:tc>
      </w:tr>
      <w:tr w14:paraId="348B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09" w:type="dxa"/>
            <w:vMerge w:val="continue"/>
            <w:vAlign w:val="center"/>
          </w:tcPr>
          <w:p w14:paraId="28C12A46">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6BA7CC94">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15</w:t>
            </w:r>
          </w:p>
        </w:tc>
        <w:tc>
          <w:tcPr>
            <w:tcW w:w="2682" w:type="dxa"/>
            <w:vAlign w:val="center"/>
          </w:tcPr>
          <w:p w14:paraId="2293CCB4">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土壤污染防治工程</w:t>
            </w:r>
          </w:p>
        </w:tc>
        <w:tc>
          <w:tcPr>
            <w:tcW w:w="4258" w:type="dxa"/>
            <w:vAlign w:val="center"/>
          </w:tcPr>
          <w:p w14:paraId="604055AD">
            <w:pPr>
              <w:widowControl/>
              <w:spacing w:line="240"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严格建设用地准入，对疑似污染地块进行土壤环境调查评估，强化污染地块再开发利用活动联动监管</w:t>
            </w:r>
          </w:p>
        </w:tc>
        <w:tc>
          <w:tcPr>
            <w:tcW w:w="1276" w:type="dxa"/>
            <w:vAlign w:val="center"/>
          </w:tcPr>
          <w:p w14:paraId="323215C2">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2100</w:t>
            </w:r>
          </w:p>
        </w:tc>
        <w:tc>
          <w:tcPr>
            <w:tcW w:w="1139" w:type="dxa"/>
            <w:vAlign w:val="center"/>
          </w:tcPr>
          <w:p w14:paraId="235ABBC5">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政府投资</w:t>
            </w:r>
          </w:p>
        </w:tc>
        <w:tc>
          <w:tcPr>
            <w:tcW w:w="1276" w:type="dxa"/>
            <w:vAlign w:val="center"/>
          </w:tcPr>
          <w:p w14:paraId="16EAE207">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2024-2030</w:t>
            </w:r>
          </w:p>
        </w:tc>
        <w:tc>
          <w:tcPr>
            <w:tcW w:w="1701" w:type="dxa"/>
            <w:vAlign w:val="center"/>
          </w:tcPr>
          <w:p w14:paraId="22EA5A48">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秦淮生态环境局、秦淮</w:t>
            </w:r>
            <w:r>
              <w:rPr>
                <w:rFonts w:hint="default" w:ascii="Times New Roman" w:hAnsi="Times New Roman" w:eastAsia="仿宋" w:cs="Times New Roman"/>
                <w:kern w:val="0"/>
                <w:sz w:val="21"/>
                <w:szCs w:val="21"/>
                <w:highlight w:val="none"/>
                <w:lang w:eastAsia="zh-CN"/>
              </w:rPr>
              <w:t>规资</w:t>
            </w:r>
            <w:r>
              <w:rPr>
                <w:rFonts w:hint="default" w:ascii="Times New Roman" w:hAnsi="Times New Roman" w:eastAsia="仿宋" w:cs="Times New Roman"/>
                <w:kern w:val="0"/>
                <w:sz w:val="21"/>
                <w:szCs w:val="21"/>
                <w:highlight w:val="none"/>
              </w:rPr>
              <w:t>分局</w:t>
            </w:r>
          </w:p>
        </w:tc>
      </w:tr>
      <w:tr w14:paraId="424A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14:paraId="33840E84">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4A6123C0">
            <w:pPr>
              <w:widowControl/>
              <w:spacing w:line="260" w:lineRule="exact"/>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合计</w:t>
            </w:r>
          </w:p>
        </w:tc>
        <w:tc>
          <w:tcPr>
            <w:tcW w:w="10631" w:type="dxa"/>
            <w:gridSpan w:val="5"/>
            <w:vAlign w:val="center"/>
          </w:tcPr>
          <w:p w14:paraId="5373AB80">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20213</w:t>
            </w:r>
          </w:p>
        </w:tc>
        <w:tc>
          <w:tcPr>
            <w:tcW w:w="1701" w:type="dxa"/>
            <w:vAlign w:val="center"/>
          </w:tcPr>
          <w:p w14:paraId="09301C54">
            <w:pPr>
              <w:spacing w:line="240" w:lineRule="auto"/>
              <w:ind w:firstLine="0" w:firstLineChars="0"/>
              <w:jc w:val="center"/>
              <w:rPr>
                <w:rFonts w:hint="default" w:ascii="Times New Roman" w:hAnsi="Times New Roman" w:eastAsia="仿宋" w:cs="Times New Roman"/>
                <w:kern w:val="0"/>
                <w:sz w:val="21"/>
                <w:szCs w:val="21"/>
                <w:highlight w:val="none"/>
              </w:rPr>
            </w:pPr>
          </w:p>
        </w:tc>
      </w:tr>
      <w:tr w14:paraId="5E8D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restart"/>
            <w:vAlign w:val="center"/>
          </w:tcPr>
          <w:p w14:paraId="0B4C456B">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生态经济</w:t>
            </w:r>
          </w:p>
        </w:tc>
        <w:tc>
          <w:tcPr>
            <w:tcW w:w="851" w:type="dxa"/>
            <w:vAlign w:val="center"/>
          </w:tcPr>
          <w:p w14:paraId="76C8C421">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1</w:t>
            </w:r>
          </w:p>
        </w:tc>
        <w:tc>
          <w:tcPr>
            <w:tcW w:w="2682" w:type="dxa"/>
            <w:vAlign w:val="center"/>
          </w:tcPr>
          <w:p w14:paraId="3AEE875F">
            <w:pPr>
              <w:widowControl/>
              <w:spacing w:line="260" w:lineRule="exact"/>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白下高新新型都市工业园</w:t>
            </w:r>
          </w:p>
        </w:tc>
        <w:tc>
          <w:tcPr>
            <w:tcW w:w="4258" w:type="dxa"/>
            <w:vAlign w:val="center"/>
          </w:tcPr>
          <w:p w14:paraId="47D196EF">
            <w:pPr>
              <w:widowControl/>
              <w:spacing w:line="240"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占地面积约4.41万平方米，总建筑面积约19.88万平方米，其中地上建筑面积约13.65万平方米，地下建筑面积约6.23万平方米。拟建研发办公及新型都市工业厂房</w:t>
            </w:r>
          </w:p>
        </w:tc>
        <w:tc>
          <w:tcPr>
            <w:tcW w:w="1276" w:type="dxa"/>
            <w:vAlign w:val="center"/>
          </w:tcPr>
          <w:p w14:paraId="55D7FF27">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250000</w:t>
            </w:r>
          </w:p>
        </w:tc>
        <w:tc>
          <w:tcPr>
            <w:tcW w:w="1139" w:type="dxa"/>
            <w:vAlign w:val="center"/>
          </w:tcPr>
          <w:p w14:paraId="33BF1069">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政府投资</w:t>
            </w:r>
          </w:p>
          <w:p w14:paraId="65E1C424">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（国企自筹）</w:t>
            </w:r>
          </w:p>
        </w:tc>
        <w:tc>
          <w:tcPr>
            <w:tcW w:w="1276" w:type="dxa"/>
            <w:vAlign w:val="center"/>
          </w:tcPr>
          <w:p w14:paraId="305FB8E8">
            <w:pPr>
              <w:widowControl/>
              <w:spacing w:line="240" w:lineRule="auto"/>
              <w:ind w:firstLine="0" w:firstLineChars="0"/>
              <w:jc w:val="center"/>
              <w:rPr>
                <w:rFonts w:hint="default" w:ascii="Times New Roman" w:hAnsi="Times New Roman" w:eastAsia="仿宋" w:cs="Times New Roman"/>
                <w:kern w:val="0"/>
                <w:sz w:val="21"/>
                <w:szCs w:val="21"/>
                <w:highlight w:val="none"/>
                <w:lang w:val="en-US" w:eastAsia="zh-CN"/>
              </w:rPr>
            </w:pPr>
            <w:r>
              <w:rPr>
                <w:rFonts w:hint="default" w:ascii="Times New Roman" w:hAnsi="Times New Roman" w:eastAsia="仿宋" w:cs="Times New Roman"/>
                <w:kern w:val="0"/>
                <w:sz w:val="21"/>
                <w:szCs w:val="21"/>
                <w:highlight w:val="none"/>
              </w:rPr>
              <w:t>2021-202</w:t>
            </w:r>
            <w:r>
              <w:rPr>
                <w:rFonts w:hint="default" w:ascii="Times New Roman" w:hAnsi="Times New Roman" w:eastAsia="仿宋" w:cs="Times New Roman"/>
                <w:kern w:val="0"/>
                <w:sz w:val="21"/>
                <w:szCs w:val="21"/>
                <w:highlight w:val="none"/>
                <w:lang w:val="en-US" w:eastAsia="zh-CN"/>
              </w:rPr>
              <w:t>5</w:t>
            </w:r>
          </w:p>
        </w:tc>
        <w:tc>
          <w:tcPr>
            <w:tcW w:w="1701" w:type="dxa"/>
            <w:vAlign w:val="center"/>
          </w:tcPr>
          <w:p w14:paraId="4DD0D43D">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高新区管委会</w:t>
            </w:r>
          </w:p>
        </w:tc>
      </w:tr>
      <w:tr w14:paraId="4469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14:paraId="1C0F0348">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4562D6B2">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w:t>
            </w:r>
          </w:p>
        </w:tc>
        <w:tc>
          <w:tcPr>
            <w:tcW w:w="2682" w:type="dxa"/>
            <w:vAlign w:val="center"/>
          </w:tcPr>
          <w:p w14:paraId="7AD56556">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南京中芬合作交流中心</w:t>
            </w:r>
          </w:p>
        </w:tc>
        <w:tc>
          <w:tcPr>
            <w:tcW w:w="4258" w:type="dxa"/>
            <w:vAlign w:val="center"/>
          </w:tcPr>
          <w:p w14:paraId="5C1A2283">
            <w:pPr>
              <w:widowControl/>
              <w:spacing w:line="240"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占地面积约4.7万平方米，总建筑面积约21.68万平方米。拟建设南部新城智慧城市管控中心，打造东南沿海片区唯一的低碳生态技术集成运用和集中展示的标杆示范项目，形成集聚度高、辐射力强、影响力广的低碳产业集聚区和产业交流平台</w:t>
            </w:r>
          </w:p>
        </w:tc>
        <w:tc>
          <w:tcPr>
            <w:tcW w:w="1276" w:type="dxa"/>
            <w:vAlign w:val="center"/>
          </w:tcPr>
          <w:p w14:paraId="710132A7">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354200</w:t>
            </w:r>
          </w:p>
        </w:tc>
        <w:tc>
          <w:tcPr>
            <w:tcW w:w="1139" w:type="dxa"/>
            <w:vAlign w:val="center"/>
          </w:tcPr>
          <w:p w14:paraId="3FAEC4CC">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政府投资</w:t>
            </w:r>
          </w:p>
          <w:p w14:paraId="37EB2BD3">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（国企自筹）</w:t>
            </w:r>
          </w:p>
        </w:tc>
        <w:tc>
          <w:tcPr>
            <w:tcW w:w="1276" w:type="dxa"/>
            <w:vAlign w:val="center"/>
          </w:tcPr>
          <w:p w14:paraId="1F230BFA">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2020-2024</w:t>
            </w:r>
          </w:p>
        </w:tc>
        <w:tc>
          <w:tcPr>
            <w:tcW w:w="1701" w:type="dxa"/>
            <w:vAlign w:val="center"/>
          </w:tcPr>
          <w:p w14:paraId="4B6C9943">
            <w:pPr>
              <w:widowControl/>
              <w:spacing w:line="240" w:lineRule="auto"/>
              <w:ind w:firstLine="0" w:firstLineChars="0"/>
              <w:jc w:val="center"/>
              <w:rPr>
                <w:rFonts w:hint="default" w:ascii="Times New Roman" w:hAnsi="Times New Roman" w:eastAsia="仿宋" w:cs="Times New Roman"/>
                <w:kern w:val="0"/>
                <w:sz w:val="21"/>
                <w:szCs w:val="21"/>
                <w:highlight w:val="none"/>
                <w:lang w:eastAsia="zh-CN"/>
              </w:rPr>
            </w:pPr>
            <w:r>
              <w:rPr>
                <w:rFonts w:hint="default" w:ascii="Times New Roman" w:hAnsi="Times New Roman" w:eastAsia="仿宋" w:cs="Times New Roman"/>
                <w:kern w:val="0"/>
                <w:sz w:val="21"/>
                <w:szCs w:val="21"/>
                <w:highlight w:val="none"/>
                <w:lang w:eastAsia="zh-CN"/>
              </w:rPr>
              <w:t>南部新城管委会计划审计处、新城服务办、红花街道</w:t>
            </w:r>
          </w:p>
        </w:tc>
      </w:tr>
      <w:tr w14:paraId="6128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709" w:type="dxa"/>
            <w:vMerge w:val="continue"/>
            <w:vAlign w:val="center"/>
          </w:tcPr>
          <w:p w14:paraId="03AFECF9">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516C43CA">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3</w:t>
            </w:r>
          </w:p>
        </w:tc>
        <w:tc>
          <w:tcPr>
            <w:tcW w:w="2682" w:type="dxa"/>
            <w:vAlign w:val="center"/>
          </w:tcPr>
          <w:p w14:paraId="68F4DE89">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大地新型建材科技研发中心</w:t>
            </w:r>
          </w:p>
        </w:tc>
        <w:tc>
          <w:tcPr>
            <w:tcW w:w="4258" w:type="dxa"/>
            <w:vAlign w:val="center"/>
          </w:tcPr>
          <w:p w14:paraId="2CEA56F7">
            <w:pPr>
              <w:widowControl/>
              <w:spacing w:line="240"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占地面积约0.75万平方米，总建筑面积约2.9万平方米。拟建研发基地，作为大地建设新型建材科技研发平台，开展建筑预制装配产业化研发</w:t>
            </w:r>
          </w:p>
        </w:tc>
        <w:tc>
          <w:tcPr>
            <w:tcW w:w="1276" w:type="dxa"/>
            <w:vAlign w:val="center"/>
          </w:tcPr>
          <w:p w14:paraId="18DCAA3E">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51000</w:t>
            </w:r>
          </w:p>
        </w:tc>
        <w:tc>
          <w:tcPr>
            <w:tcW w:w="1139" w:type="dxa"/>
            <w:vAlign w:val="center"/>
          </w:tcPr>
          <w:p w14:paraId="717443BE">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社会投资</w:t>
            </w:r>
          </w:p>
        </w:tc>
        <w:tc>
          <w:tcPr>
            <w:tcW w:w="1276" w:type="dxa"/>
            <w:vAlign w:val="center"/>
          </w:tcPr>
          <w:p w14:paraId="603A7BBB">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2021-2025</w:t>
            </w:r>
          </w:p>
        </w:tc>
        <w:tc>
          <w:tcPr>
            <w:tcW w:w="1701" w:type="dxa"/>
            <w:vAlign w:val="center"/>
          </w:tcPr>
          <w:p w14:paraId="134AF989">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高新区管委会</w:t>
            </w:r>
            <w:r>
              <w:rPr>
                <w:rFonts w:hint="default" w:ascii="Times New Roman" w:hAnsi="Times New Roman" w:eastAsia="仿宋" w:cs="Times New Roman"/>
                <w:kern w:val="0"/>
                <w:sz w:val="21"/>
                <w:szCs w:val="21"/>
                <w:highlight w:val="none"/>
                <w:lang w:eastAsia="zh-CN"/>
              </w:rPr>
              <w:t>、</w:t>
            </w:r>
            <w:r>
              <w:rPr>
                <w:rFonts w:hint="default" w:ascii="Times New Roman" w:hAnsi="Times New Roman" w:eastAsia="仿宋" w:cs="Times New Roman"/>
                <w:kern w:val="0"/>
                <w:sz w:val="21"/>
                <w:szCs w:val="21"/>
                <w:highlight w:val="none"/>
              </w:rPr>
              <w:t>中华门街道</w:t>
            </w:r>
          </w:p>
        </w:tc>
      </w:tr>
      <w:tr w14:paraId="08AE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709" w:type="dxa"/>
            <w:vMerge w:val="continue"/>
            <w:vAlign w:val="center"/>
          </w:tcPr>
          <w:p w14:paraId="6BCC7D27">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7007CB02">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4</w:t>
            </w:r>
          </w:p>
        </w:tc>
        <w:tc>
          <w:tcPr>
            <w:tcW w:w="2682" w:type="dxa"/>
            <w:vAlign w:val="center"/>
          </w:tcPr>
          <w:p w14:paraId="4AE31DB6">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白下高新区智能交通产业园（核心B地块）</w:t>
            </w:r>
          </w:p>
        </w:tc>
        <w:tc>
          <w:tcPr>
            <w:tcW w:w="4258" w:type="dxa"/>
            <w:vAlign w:val="center"/>
          </w:tcPr>
          <w:p w14:paraId="40A35AB3">
            <w:pPr>
              <w:widowControl/>
              <w:spacing w:line="240"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占地面积约2.65万平方米，总建筑面积约21万平方米，其中地上建筑面积约13.77万平方米，地下建筑面积约7.23万平方米。打造全省乃至长三角地区知名的智能交通产业集聚区</w:t>
            </w:r>
          </w:p>
        </w:tc>
        <w:tc>
          <w:tcPr>
            <w:tcW w:w="1276" w:type="dxa"/>
            <w:vAlign w:val="center"/>
          </w:tcPr>
          <w:p w14:paraId="017CF038">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195000</w:t>
            </w:r>
          </w:p>
        </w:tc>
        <w:tc>
          <w:tcPr>
            <w:tcW w:w="1139" w:type="dxa"/>
            <w:vAlign w:val="center"/>
          </w:tcPr>
          <w:p w14:paraId="6CB7911B">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政府投资</w:t>
            </w:r>
          </w:p>
          <w:p w14:paraId="1A37BFE8">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（国企自筹）</w:t>
            </w:r>
          </w:p>
        </w:tc>
        <w:tc>
          <w:tcPr>
            <w:tcW w:w="1276" w:type="dxa"/>
            <w:vAlign w:val="center"/>
          </w:tcPr>
          <w:p w14:paraId="43568A0C">
            <w:pPr>
              <w:widowControl/>
              <w:spacing w:line="240" w:lineRule="auto"/>
              <w:ind w:firstLine="0" w:firstLineChars="0"/>
              <w:jc w:val="center"/>
              <w:rPr>
                <w:rFonts w:hint="default" w:ascii="Times New Roman" w:hAnsi="Times New Roman" w:eastAsia="仿宋" w:cs="Times New Roman"/>
                <w:kern w:val="0"/>
                <w:sz w:val="21"/>
                <w:szCs w:val="21"/>
                <w:highlight w:val="none"/>
                <w:lang w:val="en-US" w:eastAsia="zh-CN"/>
              </w:rPr>
            </w:pPr>
            <w:r>
              <w:rPr>
                <w:rFonts w:hint="default" w:ascii="Times New Roman" w:hAnsi="Times New Roman" w:eastAsia="仿宋" w:cs="Times New Roman"/>
                <w:kern w:val="0"/>
                <w:sz w:val="21"/>
                <w:szCs w:val="21"/>
                <w:highlight w:val="none"/>
              </w:rPr>
              <w:t>2020-202</w:t>
            </w:r>
            <w:r>
              <w:rPr>
                <w:rFonts w:hint="default" w:ascii="Times New Roman" w:hAnsi="Times New Roman" w:eastAsia="仿宋" w:cs="Times New Roman"/>
                <w:kern w:val="0"/>
                <w:sz w:val="21"/>
                <w:szCs w:val="21"/>
                <w:highlight w:val="none"/>
                <w:lang w:val="en-US" w:eastAsia="zh-CN"/>
              </w:rPr>
              <w:t>5</w:t>
            </w:r>
          </w:p>
        </w:tc>
        <w:tc>
          <w:tcPr>
            <w:tcW w:w="1701" w:type="dxa"/>
            <w:vAlign w:val="center"/>
          </w:tcPr>
          <w:p w14:paraId="3E2ABD44">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高新区管委会</w:t>
            </w:r>
          </w:p>
        </w:tc>
      </w:tr>
      <w:tr w14:paraId="4107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14:paraId="7C0DBFC7">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06AFB226">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5</w:t>
            </w:r>
          </w:p>
        </w:tc>
        <w:tc>
          <w:tcPr>
            <w:tcW w:w="2682" w:type="dxa"/>
            <w:vAlign w:val="center"/>
          </w:tcPr>
          <w:p w14:paraId="6E87D429">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西五华里休闲文化街区</w:t>
            </w:r>
          </w:p>
        </w:tc>
        <w:tc>
          <w:tcPr>
            <w:tcW w:w="4258" w:type="dxa"/>
            <w:vAlign w:val="center"/>
          </w:tcPr>
          <w:p w14:paraId="30EFF810">
            <w:pPr>
              <w:widowControl/>
              <w:spacing w:line="240"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占地面积约5.69万平方米，总建筑面积约11.4万平方米，其中改造修缮面积约0.74万平方米，新建建筑面积约10.66万平方米。拟打造传统风貌与现代商业相融合的街区</w:t>
            </w:r>
          </w:p>
        </w:tc>
        <w:tc>
          <w:tcPr>
            <w:tcW w:w="1276" w:type="dxa"/>
            <w:vAlign w:val="center"/>
          </w:tcPr>
          <w:p w14:paraId="7DFCB6F6">
            <w:pPr>
              <w:widowControl/>
              <w:spacing w:line="240" w:lineRule="auto"/>
              <w:ind w:firstLine="0" w:firstLineChars="0"/>
              <w:jc w:val="center"/>
              <w:rPr>
                <w:rFonts w:hint="default" w:ascii="Times New Roman" w:hAnsi="Times New Roman" w:eastAsia="仿宋" w:cs="Times New Roman"/>
                <w:kern w:val="0"/>
                <w:sz w:val="21"/>
                <w:szCs w:val="21"/>
                <w:highlight w:val="none"/>
                <w:lang w:val="en-US" w:eastAsia="zh-CN"/>
              </w:rPr>
            </w:pPr>
            <w:r>
              <w:rPr>
                <w:rFonts w:hint="default" w:ascii="Times New Roman" w:hAnsi="Times New Roman" w:eastAsia="仿宋" w:cs="Times New Roman"/>
                <w:kern w:val="0"/>
                <w:sz w:val="21"/>
                <w:szCs w:val="21"/>
                <w:highlight w:val="none"/>
              </w:rPr>
              <w:t>4589</w:t>
            </w:r>
            <w:r>
              <w:rPr>
                <w:rFonts w:hint="default" w:ascii="Times New Roman" w:hAnsi="Times New Roman" w:eastAsia="仿宋" w:cs="Times New Roman"/>
                <w:kern w:val="0"/>
                <w:sz w:val="21"/>
                <w:szCs w:val="21"/>
                <w:highlight w:val="none"/>
                <w:lang w:val="en-US" w:eastAsia="zh-CN"/>
              </w:rPr>
              <w:t>00</w:t>
            </w:r>
          </w:p>
        </w:tc>
        <w:tc>
          <w:tcPr>
            <w:tcW w:w="1139" w:type="dxa"/>
            <w:vAlign w:val="center"/>
          </w:tcPr>
          <w:p w14:paraId="45776040">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政府投资</w:t>
            </w:r>
          </w:p>
          <w:p w14:paraId="34049951">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（国企自筹）</w:t>
            </w:r>
          </w:p>
        </w:tc>
        <w:tc>
          <w:tcPr>
            <w:tcW w:w="1276" w:type="dxa"/>
            <w:vAlign w:val="center"/>
          </w:tcPr>
          <w:p w14:paraId="7B8C0CDC">
            <w:pPr>
              <w:widowControl/>
              <w:spacing w:line="240" w:lineRule="auto"/>
              <w:ind w:firstLine="0" w:firstLineChars="0"/>
              <w:jc w:val="center"/>
              <w:rPr>
                <w:rFonts w:hint="default" w:ascii="Times New Roman" w:hAnsi="Times New Roman" w:eastAsia="仿宋" w:cs="Times New Roman"/>
                <w:kern w:val="0"/>
                <w:sz w:val="21"/>
                <w:szCs w:val="21"/>
                <w:highlight w:val="none"/>
                <w:lang w:val="en-US" w:eastAsia="zh-CN"/>
              </w:rPr>
            </w:pPr>
            <w:r>
              <w:rPr>
                <w:rFonts w:hint="default" w:ascii="Times New Roman" w:hAnsi="Times New Roman" w:eastAsia="仿宋" w:cs="Times New Roman"/>
                <w:kern w:val="0"/>
                <w:sz w:val="21"/>
                <w:szCs w:val="21"/>
                <w:highlight w:val="none"/>
              </w:rPr>
              <w:t>202</w:t>
            </w:r>
            <w:r>
              <w:rPr>
                <w:rFonts w:hint="default" w:ascii="Times New Roman" w:hAnsi="Times New Roman" w:eastAsia="仿宋" w:cs="Times New Roman"/>
                <w:kern w:val="0"/>
                <w:sz w:val="21"/>
                <w:szCs w:val="21"/>
                <w:highlight w:val="none"/>
                <w:lang w:val="en-US" w:eastAsia="zh-CN"/>
              </w:rPr>
              <w:t>2</w:t>
            </w:r>
            <w:r>
              <w:rPr>
                <w:rFonts w:hint="default" w:ascii="Times New Roman" w:hAnsi="Times New Roman" w:eastAsia="仿宋" w:cs="Times New Roman"/>
                <w:kern w:val="0"/>
                <w:sz w:val="21"/>
                <w:szCs w:val="21"/>
                <w:highlight w:val="none"/>
              </w:rPr>
              <w:t>-202</w:t>
            </w:r>
            <w:r>
              <w:rPr>
                <w:rFonts w:hint="default" w:ascii="Times New Roman" w:hAnsi="Times New Roman" w:eastAsia="仿宋" w:cs="Times New Roman"/>
                <w:kern w:val="0"/>
                <w:sz w:val="21"/>
                <w:szCs w:val="21"/>
                <w:highlight w:val="none"/>
                <w:lang w:val="en-US" w:eastAsia="zh-CN"/>
              </w:rPr>
              <w:t>7</w:t>
            </w:r>
          </w:p>
        </w:tc>
        <w:tc>
          <w:tcPr>
            <w:tcW w:w="1701" w:type="dxa"/>
            <w:vAlign w:val="center"/>
          </w:tcPr>
          <w:p w14:paraId="6C0BA7CD">
            <w:pPr>
              <w:widowControl/>
              <w:spacing w:line="240" w:lineRule="auto"/>
              <w:ind w:firstLine="0" w:firstLineChars="0"/>
              <w:jc w:val="center"/>
              <w:rPr>
                <w:rFonts w:hint="default" w:ascii="Times New Roman" w:hAnsi="Times New Roman" w:eastAsia="仿宋" w:cs="Times New Roman"/>
                <w:kern w:val="0"/>
                <w:sz w:val="21"/>
                <w:szCs w:val="21"/>
                <w:highlight w:val="none"/>
                <w:lang w:eastAsia="zh-CN"/>
              </w:rPr>
            </w:pPr>
            <w:r>
              <w:rPr>
                <w:rFonts w:hint="default" w:ascii="Times New Roman" w:hAnsi="Times New Roman" w:eastAsia="仿宋" w:cs="Times New Roman"/>
                <w:kern w:val="0"/>
                <w:sz w:val="21"/>
                <w:szCs w:val="21"/>
                <w:highlight w:val="none"/>
                <w:lang w:eastAsia="zh-CN"/>
              </w:rPr>
              <w:t>风光带管委会、</w:t>
            </w:r>
            <w:r>
              <w:rPr>
                <w:rFonts w:hint="default" w:ascii="Times New Roman" w:hAnsi="Times New Roman" w:eastAsia="仿宋" w:cs="Times New Roman"/>
                <w:kern w:val="0"/>
                <w:sz w:val="21"/>
                <w:szCs w:val="21"/>
                <w:highlight w:val="none"/>
              </w:rPr>
              <w:t>双塘街道</w:t>
            </w:r>
            <w:r>
              <w:rPr>
                <w:rFonts w:hint="default" w:ascii="Times New Roman" w:hAnsi="Times New Roman" w:eastAsia="仿宋" w:cs="Times New Roman"/>
                <w:kern w:val="0"/>
                <w:sz w:val="21"/>
                <w:szCs w:val="21"/>
                <w:highlight w:val="none"/>
                <w:lang w:eastAsia="zh-CN"/>
              </w:rPr>
              <w:t>、壹城集团</w:t>
            </w:r>
          </w:p>
        </w:tc>
      </w:tr>
      <w:tr w14:paraId="6219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09" w:type="dxa"/>
            <w:vMerge w:val="continue"/>
            <w:vAlign w:val="center"/>
          </w:tcPr>
          <w:p w14:paraId="270A0299">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18D62972">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6</w:t>
            </w:r>
          </w:p>
        </w:tc>
        <w:tc>
          <w:tcPr>
            <w:tcW w:w="2682" w:type="dxa"/>
            <w:vAlign w:val="center"/>
          </w:tcPr>
          <w:p w14:paraId="19247B6E">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门西数字生活街区</w:t>
            </w:r>
          </w:p>
        </w:tc>
        <w:tc>
          <w:tcPr>
            <w:tcW w:w="4258" w:type="dxa"/>
            <w:vAlign w:val="center"/>
          </w:tcPr>
          <w:p w14:paraId="3881AFAD">
            <w:pPr>
              <w:widowControl/>
              <w:spacing w:line="240"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占地面积约8万平方米，新建建筑面积约16万平方米。拟根据秦淮“城市硅巷”建设目标与功能定位，打造旅游文化景区、产业园区、城市街区“三区融合”，形成南京“文化+科技”创新发展新地标</w:t>
            </w:r>
          </w:p>
        </w:tc>
        <w:tc>
          <w:tcPr>
            <w:tcW w:w="1276" w:type="dxa"/>
            <w:vAlign w:val="center"/>
          </w:tcPr>
          <w:p w14:paraId="695F6C5B">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230000</w:t>
            </w:r>
          </w:p>
        </w:tc>
        <w:tc>
          <w:tcPr>
            <w:tcW w:w="1139" w:type="dxa"/>
            <w:vAlign w:val="center"/>
          </w:tcPr>
          <w:p w14:paraId="724030F9">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政府投资</w:t>
            </w:r>
          </w:p>
          <w:p w14:paraId="46C48E3E">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（国企自筹）</w:t>
            </w:r>
          </w:p>
        </w:tc>
        <w:tc>
          <w:tcPr>
            <w:tcW w:w="1276" w:type="dxa"/>
            <w:vAlign w:val="center"/>
          </w:tcPr>
          <w:p w14:paraId="7B60F0D7">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2021-2024</w:t>
            </w:r>
          </w:p>
        </w:tc>
        <w:tc>
          <w:tcPr>
            <w:tcW w:w="1701" w:type="dxa"/>
            <w:vAlign w:val="center"/>
          </w:tcPr>
          <w:p w14:paraId="12C287FC">
            <w:pPr>
              <w:widowControl/>
              <w:spacing w:line="240" w:lineRule="auto"/>
              <w:ind w:firstLine="0" w:firstLineChars="0"/>
              <w:jc w:val="center"/>
              <w:rPr>
                <w:rFonts w:hint="default" w:ascii="Times New Roman" w:hAnsi="Times New Roman" w:eastAsia="仿宋" w:cs="Times New Roman"/>
                <w:kern w:val="0"/>
                <w:sz w:val="21"/>
                <w:szCs w:val="21"/>
                <w:highlight w:val="none"/>
                <w:lang w:eastAsia="zh-CN"/>
              </w:rPr>
            </w:pPr>
            <w:r>
              <w:rPr>
                <w:rFonts w:hint="default" w:ascii="Times New Roman" w:hAnsi="Times New Roman" w:eastAsia="仿宋" w:cs="Times New Roman"/>
                <w:kern w:val="0"/>
                <w:sz w:val="21"/>
                <w:szCs w:val="21"/>
                <w:highlight w:val="none"/>
                <w:lang w:eastAsia="zh-CN"/>
              </w:rPr>
              <w:t>风光带管委会、双塘街道、老城南集团</w:t>
            </w:r>
          </w:p>
        </w:tc>
      </w:tr>
      <w:tr w14:paraId="368B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709" w:type="dxa"/>
            <w:vMerge w:val="continue"/>
            <w:vAlign w:val="center"/>
          </w:tcPr>
          <w:p w14:paraId="5F1B7996">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6E2F7C70">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7</w:t>
            </w:r>
          </w:p>
        </w:tc>
        <w:tc>
          <w:tcPr>
            <w:tcW w:w="2682" w:type="dxa"/>
            <w:vAlign w:val="center"/>
          </w:tcPr>
          <w:p w14:paraId="50D97D8A">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西湖里·创艺街坊</w:t>
            </w:r>
          </w:p>
        </w:tc>
        <w:tc>
          <w:tcPr>
            <w:tcW w:w="4258" w:type="dxa"/>
            <w:vAlign w:val="center"/>
          </w:tcPr>
          <w:p w14:paraId="43B2D26C">
            <w:pPr>
              <w:widowControl/>
              <w:spacing w:line="240"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占地面积约4.69万平方米。拟对地块内的历史建筑、风貌建筑和其他建筑进行修缮、整治、改造，打造门东片区商、旅、文融合发展的文化创意街区</w:t>
            </w:r>
          </w:p>
        </w:tc>
        <w:tc>
          <w:tcPr>
            <w:tcW w:w="1276" w:type="dxa"/>
            <w:vAlign w:val="center"/>
          </w:tcPr>
          <w:p w14:paraId="5D422C64">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211800</w:t>
            </w:r>
          </w:p>
        </w:tc>
        <w:tc>
          <w:tcPr>
            <w:tcW w:w="1139" w:type="dxa"/>
            <w:vAlign w:val="center"/>
          </w:tcPr>
          <w:p w14:paraId="5ABF3B6D">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政府投资</w:t>
            </w:r>
          </w:p>
          <w:p w14:paraId="0C40267A">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（国企自筹）</w:t>
            </w:r>
          </w:p>
        </w:tc>
        <w:tc>
          <w:tcPr>
            <w:tcW w:w="1276" w:type="dxa"/>
            <w:vAlign w:val="center"/>
          </w:tcPr>
          <w:p w14:paraId="423C8476">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2018-2025</w:t>
            </w:r>
          </w:p>
        </w:tc>
        <w:tc>
          <w:tcPr>
            <w:tcW w:w="1701" w:type="dxa"/>
            <w:vAlign w:val="center"/>
          </w:tcPr>
          <w:p w14:paraId="38667A7D">
            <w:pPr>
              <w:widowControl/>
              <w:spacing w:line="240" w:lineRule="auto"/>
              <w:ind w:firstLine="0" w:firstLineChars="0"/>
              <w:jc w:val="center"/>
              <w:rPr>
                <w:rFonts w:hint="default" w:ascii="Times New Roman" w:hAnsi="Times New Roman" w:eastAsia="仿宋" w:cs="Times New Roman"/>
                <w:kern w:val="0"/>
                <w:sz w:val="21"/>
                <w:szCs w:val="21"/>
                <w:highlight w:val="none"/>
                <w:lang w:eastAsia="zh-CN"/>
              </w:rPr>
            </w:pPr>
            <w:r>
              <w:rPr>
                <w:rFonts w:hint="default" w:ascii="Times New Roman" w:hAnsi="Times New Roman" w:eastAsia="仿宋" w:cs="Times New Roman"/>
                <w:kern w:val="0"/>
                <w:sz w:val="21"/>
                <w:szCs w:val="21"/>
                <w:highlight w:val="none"/>
              </w:rPr>
              <w:t>风光带管委会、夫子庙街道</w:t>
            </w:r>
            <w:r>
              <w:rPr>
                <w:rFonts w:hint="default" w:ascii="Times New Roman" w:hAnsi="Times New Roman" w:eastAsia="仿宋" w:cs="Times New Roman"/>
                <w:kern w:val="0"/>
                <w:sz w:val="21"/>
                <w:szCs w:val="21"/>
                <w:highlight w:val="none"/>
                <w:lang w:eastAsia="zh-CN"/>
              </w:rPr>
              <w:t>、历保集团</w:t>
            </w:r>
          </w:p>
        </w:tc>
      </w:tr>
      <w:tr w14:paraId="1961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14:paraId="54C69DBC">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240A0494">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8</w:t>
            </w:r>
          </w:p>
        </w:tc>
        <w:tc>
          <w:tcPr>
            <w:tcW w:w="2682" w:type="dxa"/>
            <w:vAlign w:val="center"/>
          </w:tcPr>
          <w:p w14:paraId="045627EE">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节水型小区、机关、学校、园区等创建，构建节水型社会综合示范区</w:t>
            </w:r>
          </w:p>
        </w:tc>
        <w:tc>
          <w:tcPr>
            <w:tcW w:w="4258" w:type="dxa"/>
            <w:vAlign w:val="center"/>
          </w:tcPr>
          <w:p w14:paraId="26228814">
            <w:pPr>
              <w:widowControl/>
              <w:spacing w:line="240"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深化节水型社会建设，积极开展各类型节水示范创建活动</w:t>
            </w:r>
          </w:p>
        </w:tc>
        <w:tc>
          <w:tcPr>
            <w:tcW w:w="1276" w:type="dxa"/>
            <w:vAlign w:val="center"/>
          </w:tcPr>
          <w:p w14:paraId="3395A0BB">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200</w:t>
            </w:r>
          </w:p>
        </w:tc>
        <w:tc>
          <w:tcPr>
            <w:tcW w:w="1139" w:type="dxa"/>
            <w:vAlign w:val="center"/>
          </w:tcPr>
          <w:p w14:paraId="5348EFB5">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政府投资</w:t>
            </w:r>
          </w:p>
        </w:tc>
        <w:tc>
          <w:tcPr>
            <w:tcW w:w="1276" w:type="dxa"/>
            <w:vAlign w:val="center"/>
          </w:tcPr>
          <w:p w14:paraId="168BB73F">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2024-2030</w:t>
            </w:r>
          </w:p>
        </w:tc>
        <w:tc>
          <w:tcPr>
            <w:tcW w:w="1701" w:type="dxa"/>
            <w:vAlign w:val="center"/>
          </w:tcPr>
          <w:p w14:paraId="6900627E">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区水务局、</w:t>
            </w:r>
            <w:r>
              <w:rPr>
                <w:rFonts w:hint="default" w:ascii="Times New Roman" w:hAnsi="Times New Roman" w:eastAsia="仿宋" w:cs="Times New Roman"/>
                <w:kern w:val="0"/>
                <w:sz w:val="21"/>
                <w:szCs w:val="21"/>
                <w:highlight w:val="none"/>
                <w:lang w:eastAsia="zh-CN"/>
              </w:rPr>
              <w:t>区</w:t>
            </w:r>
            <w:r>
              <w:rPr>
                <w:rFonts w:hint="default" w:ascii="Times New Roman" w:hAnsi="Times New Roman" w:eastAsia="仿宋" w:cs="Times New Roman"/>
                <w:kern w:val="0"/>
                <w:sz w:val="21"/>
                <w:szCs w:val="21"/>
                <w:highlight w:val="none"/>
              </w:rPr>
              <w:t>政府办（机关事务管理中心）、区教育局、</w:t>
            </w:r>
            <w:r>
              <w:rPr>
                <w:rFonts w:hint="default" w:ascii="Times New Roman" w:hAnsi="Times New Roman" w:eastAsia="仿宋" w:cs="Times New Roman"/>
                <w:kern w:val="0"/>
                <w:sz w:val="21"/>
                <w:szCs w:val="21"/>
                <w:highlight w:val="none"/>
                <w:lang w:eastAsia="zh-CN"/>
              </w:rPr>
              <w:t>相关</w:t>
            </w:r>
            <w:r>
              <w:rPr>
                <w:rFonts w:hint="default" w:ascii="Times New Roman" w:hAnsi="Times New Roman" w:eastAsia="仿宋" w:cs="Times New Roman"/>
                <w:kern w:val="0"/>
                <w:sz w:val="21"/>
                <w:szCs w:val="21"/>
                <w:highlight w:val="none"/>
              </w:rPr>
              <w:t>园区</w:t>
            </w:r>
            <w:r>
              <w:rPr>
                <w:rFonts w:hint="default" w:ascii="Times New Roman" w:hAnsi="Times New Roman" w:eastAsia="仿宋" w:cs="Times New Roman"/>
                <w:kern w:val="0"/>
                <w:sz w:val="21"/>
                <w:szCs w:val="21"/>
                <w:highlight w:val="none"/>
                <w:lang w:eastAsia="zh-CN"/>
              </w:rPr>
              <w:t>和</w:t>
            </w:r>
            <w:r>
              <w:rPr>
                <w:rFonts w:hint="default" w:ascii="Times New Roman" w:hAnsi="Times New Roman" w:eastAsia="仿宋" w:cs="Times New Roman"/>
                <w:kern w:val="0"/>
                <w:sz w:val="21"/>
                <w:szCs w:val="21"/>
                <w:highlight w:val="none"/>
              </w:rPr>
              <w:t>管委会等</w:t>
            </w:r>
          </w:p>
        </w:tc>
      </w:tr>
      <w:tr w14:paraId="22BF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09" w:type="dxa"/>
            <w:vMerge w:val="continue"/>
            <w:vAlign w:val="center"/>
          </w:tcPr>
          <w:p w14:paraId="33563CB8">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2C9C641B">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9</w:t>
            </w:r>
          </w:p>
        </w:tc>
        <w:tc>
          <w:tcPr>
            <w:tcW w:w="2682" w:type="dxa"/>
            <w:vAlign w:val="center"/>
          </w:tcPr>
          <w:p w14:paraId="4272965D">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工业企业节水改造工程</w:t>
            </w:r>
          </w:p>
        </w:tc>
        <w:tc>
          <w:tcPr>
            <w:tcW w:w="4258" w:type="dxa"/>
            <w:vAlign w:val="center"/>
          </w:tcPr>
          <w:p w14:paraId="65488729">
            <w:pPr>
              <w:widowControl/>
              <w:spacing w:line="240"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依托节水型园区、节水型企业创建，积极推进全区工业企业节水改造</w:t>
            </w:r>
          </w:p>
        </w:tc>
        <w:tc>
          <w:tcPr>
            <w:tcW w:w="1276" w:type="dxa"/>
            <w:vAlign w:val="center"/>
          </w:tcPr>
          <w:p w14:paraId="2241E370">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w:t>
            </w:r>
          </w:p>
        </w:tc>
        <w:tc>
          <w:tcPr>
            <w:tcW w:w="1139" w:type="dxa"/>
            <w:vAlign w:val="center"/>
          </w:tcPr>
          <w:p w14:paraId="45419ED0">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企业自筹</w:t>
            </w:r>
          </w:p>
        </w:tc>
        <w:tc>
          <w:tcPr>
            <w:tcW w:w="1276" w:type="dxa"/>
            <w:vAlign w:val="center"/>
          </w:tcPr>
          <w:p w14:paraId="3D62C68C">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2024-2030</w:t>
            </w:r>
          </w:p>
        </w:tc>
        <w:tc>
          <w:tcPr>
            <w:tcW w:w="1701" w:type="dxa"/>
            <w:vAlign w:val="center"/>
          </w:tcPr>
          <w:p w14:paraId="162C8ABB">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区发改委、</w:t>
            </w:r>
            <w:r>
              <w:rPr>
                <w:rFonts w:hint="default" w:ascii="Times New Roman" w:hAnsi="Times New Roman" w:eastAsia="仿宋" w:cs="Times New Roman"/>
                <w:kern w:val="0"/>
                <w:sz w:val="21"/>
                <w:szCs w:val="21"/>
                <w:highlight w:val="none"/>
                <w:lang w:eastAsia="zh-CN"/>
              </w:rPr>
              <w:t>相关</w:t>
            </w:r>
            <w:r>
              <w:rPr>
                <w:rFonts w:hint="default" w:ascii="Times New Roman" w:hAnsi="Times New Roman" w:eastAsia="仿宋" w:cs="Times New Roman"/>
                <w:kern w:val="0"/>
                <w:sz w:val="21"/>
                <w:szCs w:val="21"/>
                <w:highlight w:val="none"/>
              </w:rPr>
              <w:t>园区</w:t>
            </w:r>
            <w:r>
              <w:rPr>
                <w:rFonts w:hint="default" w:ascii="Times New Roman" w:hAnsi="Times New Roman" w:eastAsia="仿宋" w:cs="Times New Roman"/>
                <w:kern w:val="0"/>
                <w:sz w:val="21"/>
                <w:szCs w:val="21"/>
                <w:highlight w:val="none"/>
                <w:lang w:eastAsia="zh-CN"/>
              </w:rPr>
              <w:t>和</w:t>
            </w:r>
            <w:r>
              <w:rPr>
                <w:rFonts w:hint="default" w:ascii="Times New Roman" w:hAnsi="Times New Roman" w:eastAsia="仿宋" w:cs="Times New Roman"/>
                <w:kern w:val="0"/>
                <w:sz w:val="21"/>
                <w:szCs w:val="21"/>
                <w:highlight w:val="none"/>
              </w:rPr>
              <w:t>管委会</w:t>
            </w:r>
          </w:p>
        </w:tc>
      </w:tr>
      <w:tr w14:paraId="1CEC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14:paraId="1A30662D">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29265813">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合计</w:t>
            </w:r>
          </w:p>
        </w:tc>
        <w:tc>
          <w:tcPr>
            <w:tcW w:w="10631" w:type="dxa"/>
            <w:gridSpan w:val="5"/>
            <w:vAlign w:val="center"/>
          </w:tcPr>
          <w:p w14:paraId="7E38401F">
            <w:pPr>
              <w:widowControl/>
              <w:spacing w:line="240" w:lineRule="auto"/>
              <w:ind w:firstLine="0" w:firstLineChars="0"/>
              <w:jc w:val="center"/>
              <w:rPr>
                <w:rFonts w:hint="default" w:ascii="Times New Roman" w:hAnsi="Times New Roman" w:eastAsia="仿宋" w:cs="Times New Roman"/>
                <w:kern w:val="0"/>
                <w:sz w:val="21"/>
                <w:szCs w:val="21"/>
                <w:highlight w:val="none"/>
                <w:lang w:val="en-US" w:eastAsia="zh-CN"/>
              </w:rPr>
            </w:pPr>
            <w:r>
              <w:rPr>
                <w:rFonts w:hint="default" w:ascii="Times New Roman" w:hAnsi="Times New Roman" w:eastAsia="仿宋" w:cs="Times New Roman"/>
                <w:kern w:val="0"/>
                <w:sz w:val="21"/>
                <w:szCs w:val="21"/>
                <w:highlight w:val="none"/>
              </w:rPr>
              <w:t>1</w:t>
            </w:r>
            <w:r>
              <w:rPr>
                <w:rFonts w:hint="default" w:ascii="Times New Roman" w:hAnsi="Times New Roman" w:eastAsia="仿宋" w:cs="Times New Roman"/>
                <w:kern w:val="0"/>
                <w:sz w:val="21"/>
                <w:szCs w:val="21"/>
                <w:highlight w:val="none"/>
                <w:lang w:val="en-US" w:eastAsia="zh-CN"/>
              </w:rPr>
              <w:t>751100</w:t>
            </w:r>
          </w:p>
        </w:tc>
        <w:tc>
          <w:tcPr>
            <w:tcW w:w="1701" w:type="dxa"/>
            <w:vAlign w:val="center"/>
          </w:tcPr>
          <w:p w14:paraId="0E073C73">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r>
      <w:tr w14:paraId="1B8C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09" w:type="dxa"/>
            <w:vMerge w:val="restart"/>
            <w:vAlign w:val="center"/>
          </w:tcPr>
          <w:p w14:paraId="55A4554A">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生态文化</w:t>
            </w:r>
          </w:p>
        </w:tc>
        <w:tc>
          <w:tcPr>
            <w:tcW w:w="851" w:type="dxa"/>
            <w:vAlign w:val="center"/>
          </w:tcPr>
          <w:p w14:paraId="257DB511">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1</w:t>
            </w:r>
          </w:p>
        </w:tc>
        <w:tc>
          <w:tcPr>
            <w:tcW w:w="2682" w:type="dxa"/>
            <w:vAlign w:val="center"/>
          </w:tcPr>
          <w:p w14:paraId="3860DAB8">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宣教与全民行动项目</w:t>
            </w:r>
          </w:p>
        </w:tc>
        <w:tc>
          <w:tcPr>
            <w:tcW w:w="4258" w:type="dxa"/>
            <w:vAlign w:val="center"/>
          </w:tcPr>
          <w:p w14:paraId="2C3A8453">
            <w:pPr>
              <w:widowControl/>
              <w:spacing w:line="240"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开展节约机关、绿色家庭、绿色学校、绿色社区等创建行动，推进环境保护宣传教育进学校、进家庭、进社区、进企业、进机关，引导全民践行江苏省生态文明公约，倡导绿色生活方式</w:t>
            </w:r>
          </w:p>
        </w:tc>
        <w:tc>
          <w:tcPr>
            <w:tcW w:w="1276" w:type="dxa"/>
            <w:vAlign w:val="center"/>
          </w:tcPr>
          <w:p w14:paraId="6D8EA92F">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200</w:t>
            </w:r>
          </w:p>
        </w:tc>
        <w:tc>
          <w:tcPr>
            <w:tcW w:w="1139" w:type="dxa"/>
            <w:vAlign w:val="center"/>
          </w:tcPr>
          <w:p w14:paraId="7370C4B5">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政府投资</w:t>
            </w:r>
          </w:p>
        </w:tc>
        <w:tc>
          <w:tcPr>
            <w:tcW w:w="1276" w:type="dxa"/>
            <w:vAlign w:val="center"/>
          </w:tcPr>
          <w:p w14:paraId="52895832">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2024-2030</w:t>
            </w:r>
          </w:p>
        </w:tc>
        <w:tc>
          <w:tcPr>
            <w:tcW w:w="1701" w:type="dxa"/>
            <w:vAlign w:val="center"/>
          </w:tcPr>
          <w:p w14:paraId="255F2463">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lang w:eastAsia="zh-CN"/>
              </w:rPr>
              <w:t>区</w:t>
            </w:r>
            <w:r>
              <w:rPr>
                <w:rFonts w:hint="default" w:ascii="Times New Roman" w:hAnsi="Times New Roman" w:eastAsia="仿宋" w:cs="Times New Roman"/>
                <w:kern w:val="0"/>
                <w:sz w:val="21"/>
                <w:szCs w:val="21"/>
                <w:highlight w:val="none"/>
              </w:rPr>
              <w:t>政府办（机关事务管理中心）、秦淮生态环境局、区教育局、各相关街道</w:t>
            </w:r>
          </w:p>
        </w:tc>
      </w:tr>
      <w:tr w14:paraId="568E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14:paraId="4458F19A">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58D73F41">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w:t>
            </w:r>
          </w:p>
        </w:tc>
        <w:tc>
          <w:tcPr>
            <w:tcW w:w="2682" w:type="dxa"/>
            <w:vAlign w:val="center"/>
          </w:tcPr>
          <w:p w14:paraId="0D2D5A97">
            <w:pPr>
              <w:widowControl/>
              <w:spacing w:line="240" w:lineRule="auto"/>
              <w:ind w:firstLine="0" w:firstLineChars="0"/>
              <w:jc w:val="center"/>
              <w:textAlignment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生态文明示范载体建设</w:t>
            </w:r>
          </w:p>
        </w:tc>
        <w:tc>
          <w:tcPr>
            <w:tcW w:w="4258" w:type="dxa"/>
            <w:vAlign w:val="center"/>
          </w:tcPr>
          <w:p w14:paraId="7225BDAB">
            <w:pPr>
              <w:widowControl/>
              <w:spacing w:line="240" w:lineRule="auto"/>
              <w:ind w:firstLine="0" w:firstLineChars="0"/>
              <w:textAlignment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推进“绿色社区”“绿色学校”“绿色工厂”“绿色机关”等绿色创建和“生态文明建设示范乡镇”“生态文明建设示范村”等生态文明示范细胞创建工程</w:t>
            </w:r>
          </w:p>
        </w:tc>
        <w:tc>
          <w:tcPr>
            <w:tcW w:w="1276" w:type="dxa"/>
            <w:vAlign w:val="center"/>
          </w:tcPr>
          <w:p w14:paraId="2CE0616A">
            <w:pPr>
              <w:widowControl/>
              <w:spacing w:line="240" w:lineRule="auto"/>
              <w:ind w:firstLine="0" w:firstLineChars="0"/>
              <w:jc w:val="center"/>
              <w:textAlignment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w:t>
            </w:r>
          </w:p>
        </w:tc>
        <w:tc>
          <w:tcPr>
            <w:tcW w:w="1139" w:type="dxa"/>
            <w:vAlign w:val="center"/>
          </w:tcPr>
          <w:p w14:paraId="20A68E1A">
            <w:pPr>
              <w:widowControl/>
              <w:spacing w:line="240" w:lineRule="auto"/>
              <w:ind w:firstLine="0" w:firstLineChars="0"/>
              <w:jc w:val="center"/>
              <w:textAlignment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政府投资</w:t>
            </w:r>
          </w:p>
        </w:tc>
        <w:tc>
          <w:tcPr>
            <w:tcW w:w="1276" w:type="dxa"/>
            <w:vAlign w:val="center"/>
          </w:tcPr>
          <w:p w14:paraId="706BBCFC">
            <w:pPr>
              <w:widowControl/>
              <w:spacing w:line="240" w:lineRule="auto"/>
              <w:ind w:firstLine="0" w:firstLineChars="0"/>
              <w:jc w:val="center"/>
              <w:textAlignment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2024-2030</w:t>
            </w:r>
          </w:p>
        </w:tc>
        <w:tc>
          <w:tcPr>
            <w:tcW w:w="1701" w:type="dxa"/>
            <w:vAlign w:val="center"/>
          </w:tcPr>
          <w:p w14:paraId="7E133120">
            <w:pPr>
              <w:widowControl/>
              <w:spacing w:line="240" w:lineRule="auto"/>
              <w:ind w:firstLine="0" w:firstLineChars="0"/>
              <w:textAlignment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秦淮生态环境局、区教育局、区发改委、各相关街道</w:t>
            </w:r>
          </w:p>
        </w:tc>
      </w:tr>
      <w:tr w14:paraId="1648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709" w:type="dxa"/>
            <w:vMerge w:val="continue"/>
            <w:vAlign w:val="center"/>
          </w:tcPr>
          <w:p w14:paraId="7B6355E6">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499D0266">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3</w:t>
            </w:r>
          </w:p>
        </w:tc>
        <w:tc>
          <w:tcPr>
            <w:tcW w:w="2682" w:type="dxa"/>
            <w:vAlign w:val="center"/>
          </w:tcPr>
          <w:p w14:paraId="7BAEF612">
            <w:pPr>
              <w:widowControl/>
              <w:spacing w:line="240" w:lineRule="auto"/>
              <w:ind w:firstLine="0" w:firstLineChars="0"/>
              <w:jc w:val="center"/>
              <w:textAlignment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生态文明建设成果展</w:t>
            </w:r>
          </w:p>
        </w:tc>
        <w:tc>
          <w:tcPr>
            <w:tcW w:w="4258" w:type="dxa"/>
            <w:vAlign w:val="center"/>
          </w:tcPr>
          <w:p w14:paraId="3010798D">
            <w:pPr>
              <w:widowControl/>
              <w:spacing w:line="240" w:lineRule="auto"/>
              <w:ind w:firstLine="0" w:firstLineChars="0"/>
              <w:textAlignment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依托“六五环境日”主题宣传活动，每两年举办一次生态文明建设成果展，普及生态文明相关知识，宣传生态文明建设最新理念，图文并茂地反映全区生态文明建设成果</w:t>
            </w:r>
          </w:p>
        </w:tc>
        <w:tc>
          <w:tcPr>
            <w:tcW w:w="1276" w:type="dxa"/>
            <w:vAlign w:val="center"/>
          </w:tcPr>
          <w:p w14:paraId="4BEC36B0">
            <w:pPr>
              <w:widowControl/>
              <w:spacing w:line="240" w:lineRule="auto"/>
              <w:ind w:firstLine="0" w:firstLineChars="0"/>
              <w:jc w:val="center"/>
              <w:textAlignment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60</w:t>
            </w:r>
          </w:p>
        </w:tc>
        <w:tc>
          <w:tcPr>
            <w:tcW w:w="1139" w:type="dxa"/>
            <w:vAlign w:val="center"/>
          </w:tcPr>
          <w:p w14:paraId="59319E74">
            <w:pPr>
              <w:widowControl/>
              <w:spacing w:line="240" w:lineRule="auto"/>
              <w:ind w:firstLine="0" w:firstLineChars="0"/>
              <w:jc w:val="center"/>
              <w:textAlignment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政府投资</w:t>
            </w:r>
          </w:p>
        </w:tc>
        <w:tc>
          <w:tcPr>
            <w:tcW w:w="1276" w:type="dxa"/>
            <w:vAlign w:val="center"/>
          </w:tcPr>
          <w:p w14:paraId="18E9C9F9">
            <w:pPr>
              <w:widowControl/>
              <w:spacing w:line="240" w:lineRule="auto"/>
              <w:ind w:firstLine="0" w:firstLineChars="0"/>
              <w:jc w:val="center"/>
              <w:textAlignment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2024-2030</w:t>
            </w:r>
          </w:p>
        </w:tc>
        <w:tc>
          <w:tcPr>
            <w:tcW w:w="1701" w:type="dxa"/>
            <w:vAlign w:val="center"/>
          </w:tcPr>
          <w:p w14:paraId="29572BFB">
            <w:pPr>
              <w:widowControl/>
              <w:spacing w:line="240" w:lineRule="auto"/>
              <w:ind w:firstLine="0" w:firstLineChars="0"/>
              <w:jc w:val="center"/>
              <w:textAlignment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秦淮生态环境局、区委宣传部</w:t>
            </w:r>
          </w:p>
        </w:tc>
      </w:tr>
      <w:tr w14:paraId="54DF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vAlign w:val="center"/>
          </w:tcPr>
          <w:p w14:paraId="655E3A7A">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290D5317">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4</w:t>
            </w:r>
          </w:p>
        </w:tc>
        <w:tc>
          <w:tcPr>
            <w:tcW w:w="2682" w:type="dxa"/>
            <w:vAlign w:val="center"/>
          </w:tcPr>
          <w:p w14:paraId="084614B4">
            <w:pPr>
              <w:spacing w:line="0" w:lineRule="atLeast"/>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sz w:val="21"/>
                <w:szCs w:val="21"/>
                <w:highlight w:val="none"/>
              </w:rPr>
              <w:t>生态文明建设示范区创建指标调查项目</w:t>
            </w:r>
          </w:p>
        </w:tc>
        <w:tc>
          <w:tcPr>
            <w:tcW w:w="4258" w:type="dxa"/>
            <w:vAlign w:val="center"/>
          </w:tcPr>
          <w:p w14:paraId="7B2819E0">
            <w:pPr>
              <w:spacing w:line="0" w:lineRule="atLeast"/>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sz w:val="21"/>
                <w:szCs w:val="21"/>
                <w:highlight w:val="none"/>
              </w:rPr>
              <w:t>由市统计局统一组织，每年在全区范围内对公众生态环境质量满意度开展符合指标统计要求的大样本数摸底调查</w:t>
            </w:r>
          </w:p>
        </w:tc>
        <w:tc>
          <w:tcPr>
            <w:tcW w:w="1276" w:type="dxa"/>
            <w:vAlign w:val="center"/>
          </w:tcPr>
          <w:p w14:paraId="29AC8937">
            <w:pPr>
              <w:spacing w:line="0" w:lineRule="atLeast"/>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sz w:val="21"/>
                <w:szCs w:val="21"/>
                <w:highlight w:val="none"/>
              </w:rPr>
              <w:t>—</w:t>
            </w:r>
          </w:p>
        </w:tc>
        <w:tc>
          <w:tcPr>
            <w:tcW w:w="1139" w:type="dxa"/>
            <w:vAlign w:val="center"/>
          </w:tcPr>
          <w:p w14:paraId="73E4205C">
            <w:pPr>
              <w:spacing w:line="0" w:lineRule="atLeast"/>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政府投资</w:t>
            </w:r>
          </w:p>
        </w:tc>
        <w:tc>
          <w:tcPr>
            <w:tcW w:w="1276" w:type="dxa"/>
            <w:vAlign w:val="center"/>
          </w:tcPr>
          <w:p w14:paraId="36652FD0">
            <w:pPr>
              <w:spacing w:line="0" w:lineRule="atLeast"/>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sz w:val="21"/>
                <w:szCs w:val="21"/>
                <w:highlight w:val="none"/>
              </w:rPr>
              <w:t>2024-2030</w:t>
            </w:r>
          </w:p>
        </w:tc>
        <w:tc>
          <w:tcPr>
            <w:tcW w:w="1701" w:type="dxa"/>
            <w:vAlign w:val="center"/>
          </w:tcPr>
          <w:p w14:paraId="696480A2">
            <w:pPr>
              <w:spacing w:line="0" w:lineRule="atLeast"/>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sz w:val="21"/>
                <w:szCs w:val="21"/>
                <w:highlight w:val="none"/>
                <w:lang w:eastAsia="zh-CN"/>
              </w:rPr>
              <w:t>市</w:t>
            </w:r>
            <w:r>
              <w:rPr>
                <w:rFonts w:hint="default" w:ascii="Times New Roman" w:hAnsi="Times New Roman" w:eastAsia="仿宋" w:cs="Times New Roman"/>
                <w:sz w:val="21"/>
                <w:szCs w:val="21"/>
                <w:highlight w:val="none"/>
              </w:rPr>
              <w:t>统计局</w:t>
            </w:r>
          </w:p>
        </w:tc>
      </w:tr>
      <w:tr w14:paraId="1086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709" w:type="dxa"/>
            <w:vMerge w:val="continue"/>
            <w:vAlign w:val="center"/>
          </w:tcPr>
          <w:p w14:paraId="3B84F31E">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2813147A">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5</w:t>
            </w:r>
          </w:p>
        </w:tc>
        <w:tc>
          <w:tcPr>
            <w:tcW w:w="2682" w:type="dxa"/>
            <w:vAlign w:val="center"/>
          </w:tcPr>
          <w:p w14:paraId="5C3B6D79">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周处读书台“山水人文苑”</w:t>
            </w:r>
          </w:p>
        </w:tc>
        <w:tc>
          <w:tcPr>
            <w:tcW w:w="4258" w:type="dxa"/>
            <w:vAlign w:val="center"/>
          </w:tcPr>
          <w:p w14:paraId="5F30C422">
            <w:pPr>
              <w:widowControl/>
              <w:spacing w:line="240"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占地面积约2万平方米，新建建筑面积约1万平方米。拟对地块内的文保单位、其他保留建筑采取多种方式进行修缮、整治、改造，建设景观游园、社区服务中心、文化展示用房等</w:t>
            </w:r>
          </w:p>
        </w:tc>
        <w:tc>
          <w:tcPr>
            <w:tcW w:w="1276" w:type="dxa"/>
            <w:vAlign w:val="center"/>
          </w:tcPr>
          <w:p w14:paraId="22E1138A">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155600</w:t>
            </w:r>
          </w:p>
        </w:tc>
        <w:tc>
          <w:tcPr>
            <w:tcW w:w="1139" w:type="dxa"/>
            <w:vAlign w:val="center"/>
          </w:tcPr>
          <w:p w14:paraId="7E21527F">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政府投资</w:t>
            </w:r>
          </w:p>
          <w:p w14:paraId="5A14F908">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（国企自筹）</w:t>
            </w:r>
          </w:p>
        </w:tc>
        <w:tc>
          <w:tcPr>
            <w:tcW w:w="1276" w:type="dxa"/>
            <w:vAlign w:val="center"/>
          </w:tcPr>
          <w:p w14:paraId="7451164C">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2021-2024</w:t>
            </w:r>
          </w:p>
        </w:tc>
        <w:tc>
          <w:tcPr>
            <w:tcW w:w="1701" w:type="dxa"/>
            <w:vAlign w:val="center"/>
          </w:tcPr>
          <w:p w14:paraId="6501FBEF">
            <w:pPr>
              <w:widowControl/>
              <w:spacing w:line="240" w:lineRule="auto"/>
              <w:ind w:firstLine="0" w:firstLineChars="0"/>
              <w:jc w:val="center"/>
              <w:rPr>
                <w:rFonts w:hint="default" w:ascii="Times New Roman" w:hAnsi="Times New Roman" w:eastAsia="仿宋" w:cs="Times New Roman"/>
                <w:kern w:val="0"/>
                <w:sz w:val="21"/>
                <w:szCs w:val="21"/>
                <w:highlight w:val="none"/>
                <w:lang w:eastAsia="zh-CN"/>
              </w:rPr>
            </w:pPr>
            <w:r>
              <w:rPr>
                <w:rFonts w:hint="default" w:ascii="Times New Roman" w:hAnsi="Times New Roman" w:eastAsia="仿宋" w:cs="Times New Roman"/>
                <w:kern w:val="0"/>
                <w:sz w:val="21"/>
                <w:szCs w:val="21"/>
                <w:highlight w:val="none"/>
              </w:rPr>
              <w:t>风光带管委会</w:t>
            </w:r>
            <w:r>
              <w:rPr>
                <w:rFonts w:hint="default" w:ascii="Times New Roman" w:hAnsi="Times New Roman" w:eastAsia="仿宋" w:cs="Times New Roman"/>
                <w:kern w:val="0"/>
                <w:sz w:val="21"/>
                <w:szCs w:val="21"/>
                <w:highlight w:val="none"/>
                <w:lang w:eastAsia="zh-CN"/>
              </w:rPr>
              <w:t>、</w:t>
            </w:r>
          </w:p>
          <w:p w14:paraId="588B199D">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夫子庙街道</w:t>
            </w:r>
            <w:r>
              <w:rPr>
                <w:rFonts w:hint="default" w:ascii="Times New Roman" w:hAnsi="Times New Roman" w:eastAsia="仿宋" w:cs="Times New Roman"/>
                <w:kern w:val="0"/>
                <w:sz w:val="21"/>
                <w:szCs w:val="21"/>
                <w:highlight w:val="none"/>
                <w:lang w:eastAsia="zh-CN"/>
              </w:rPr>
              <w:t>、</w:t>
            </w:r>
            <w:r>
              <w:rPr>
                <w:rFonts w:hint="default" w:ascii="Times New Roman" w:hAnsi="Times New Roman" w:eastAsia="仿宋" w:cs="Times New Roman"/>
                <w:kern w:val="0"/>
                <w:sz w:val="21"/>
                <w:szCs w:val="21"/>
                <w:highlight w:val="none"/>
              </w:rPr>
              <w:t>历保集团</w:t>
            </w:r>
            <w:r>
              <w:rPr>
                <w:rFonts w:hint="default" w:ascii="Times New Roman" w:hAnsi="Times New Roman" w:eastAsia="仿宋" w:cs="Times New Roman"/>
                <w:kern w:val="0"/>
                <w:sz w:val="21"/>
                <w:szCs w:val="21"/>
                <w:highlight w:val="none"/>
                <w:lang w:eastAsia="zh-CN"/>
              </w:rPr>
              <w:t>、</w:t>
            </w:r>
            <w:r>
              <w:rPr>
                <w:rFonts w:hint="default" w:ascii="Times New Roman" w:hAnsi="Times New Roman" w:eastAsia="仿宋" w:cs="Times New Roman"/>
                <w:kern w:val="0"/>
                <w:sz w:val="21"/>
                <w:szCs w:val="21"/>
                <w:highlight w:val="none"/>
              </w:rPr>
              <w:t>老城南集团</w:t>
            </w:r>
          </w:p>
        </w:tc>
      </w:tr>
      <w:tr w14:paraId="734E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14:paraId="3512481D">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4670C5FA">
            <w:pPr>
              <w:widowControl/>
              <w:spacing w:line="240" w:lineRule="auto"/>
              <w:ind w:firstLine="0" w:firstLineChars="0"/>
              <w:jc w:val="center"/>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合计</w:t>
            </w:r>
          </w:p>
        </w:tc>
        <w:tc>
          <w:tcPr>
            <w:tcW w:w="10631" w:type="dxa"/>
            <w:gridSpan w:val="5"/>
            <w:vAlign w:val="center"/>
          </w:tcPr>
          <w:p w14:paraId="2DB96DAC">
            <w:pPr>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lang w:val="en-US" w:eastAsia="zh-CN"/>
              </w:rPr>
              <w:t>155</w:t>
            </w:r>
            <w:r>
              <w:rPr>
                <w:rFonts w:hint="default" w:ascii="Times New Roman" w:hAnsi="Times New Roman" w:eastAsia="仿宋" w:cs="Times New Roman"/>
                <w:kern w:val="0"/>
                <w:sz w:val="21"/>
                <w:szCs w:val="21"/>
                <w:highlight w:val="none"/>
              </w:rPr>
              <w:t>860</w:t>
            </w:r>
          </w:p>
        </w:tc>
        <w:tc>
          <w:tcPr>
            <w:tcW w:w="1701" w:type="dxa"/>
            <w:vAlign w:val="center"/>
          </w:tcPr>
          <w:p w14:paraId="341EAEA8">
            <w:pPr>
              <w:spacing w:line="240" w:lineRule="auto"/>
              <w:ind w:firstLine="0" w:firstLineChars="0"/>
              <w:jc w:val="center"/>
              <w:rPr>
                <w:rFonts w:hint="default" w:ascii="Times New Roman" w:hAnsi="Times New Roman" w:eastAsia="仿宋" w:cs="Times New Roman"/>
                <w:kern w:val="0"/>
                <w:sz w:val="21"/>
                <w:szCs w:val="21"/>
                <w:highlight w:val="none"/>
              </w:rPr>
            </w:pPr>
          </w:p>
        </w:tc>
      </w:tr>
      <w:tr w14:paraId="59CB7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jc w:val="center"/>
        </w:trPr>
        <w:tc>
          <w:tcPr>
            <w:tcW w:w="709" w:type="dxa"/>
            <w:vMerge w:val="restart"/>
            <w:vAlign w:val="center"/>
          </w:tcPr>
          <w:p w14:paraId="111FD49F">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生态制度</w:t>
            </w:r>
          </w:p>
        </w:tc>
        <w:tc>
          <w:tcPr>
            <w:tcW w:w="851" w:type="dxa"/>
            <w:vAlign w:val="center"/>
          </w:tcPr>
          <w:p w14:paraId="09E5C86B">
            <w:pPr>
              <w:widowControl/>
              <w:spacing w:line="240" w:lineRule="auto"/>
              <w:ind w:firstLine="0" w:firstLineChars="0"/>
              <w:jc w:val="center"/>
              <w:textAlignment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1</w:t>
            </w:r>
          </w:p>
        </w:tc>
        <w:tc>
          <w:tcPr>
            <w:tcW w:w="2682" w:type="dxa"/>
            <w:vAlign w:val="center"/>
          </w:tcPr>
          <w:p w14:paraId="6D5F5770">
            <w:pPr>
              <w:widowControl/>
              <w:spacing w:line="276" w:lineRule="auto"/>
              <w:ind w:firstLine="420" w:firstLineChars="20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环境治理能力提升</w:t>
            </w:r>
          </w:p>
        </w:tc>
        <w:tc>
          <w:tcPr>
            <w:tcW w:w="4258" w:type="dxa"/>
            <w:vAlign w:val="center"/>
          </w:tcPr>
          <w:p w14:paraId="2535FCF5">
            <w:pPr>
              <w:widowControl/>
              <w:spacing w:line="276"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（1）</w:t>
            </w:r>
            <w:r>
              <w:rPr>
                <w:rFonts w:hint="default" w:ascii="Times New Roman" w:hAnsi="Times New Roman" w:eastAsia="仿宋" w:cs="Times New Roman"/>
                <w:kern w:val="0"/>
                <w:sz w:val="21"/>
                <w:szCs w:val="21"/>
                <w:highlight w:val="none"/>
                <w14:ligatures w14:val="standardContextual"/>
              </w:rPr>
              <w:t>完善区污染防治智能化指挥中心建设</w:t>
            </w:r>
            <w:r>
              <w:rPr>
                <w:rFonts w:hint="default" w:ascii="Times New Roman" w:hAnsi="Times New Roman" w:eastAsia="仿宋" w:cs="Times New Roman"/>
                <w:kern w:val="0"/>
                <w:sz w:val="21"/>
                <w:szCs w:val="21"/>
                <w:highlight w:val="none"/>
              </w:rPr>
              <w:t>。生态环境部门与发改、建设</w:t>
            </w:r>
            <w:r>
              <w:rPr>
                <w:rFonts w:hint="default" w:ascii="Times New Roman" w:hAnsi="Times New Roman" w:eastAsia="仿宋" w:cs="Times New Roman"/>
                <w:kern w:val="0"/>
                <w:sz w:val="21"/>
                <w:szCs w:val="21"/>
                <w:highlight w:val="none"/>
                <w:lang w:eastAsia="zh-CN"/>
              </w:rPr>
              <w:t>、</w:t>
            </w:r>
            <w:r>
              <w:rPr>
                <w:rFonts w:hint="default" w:ascii="Times New Roman" w:hAnsi="Times New Roman" w:eastAsia="仿宋" w:cs="Times New Roman"/>
                <w:kern w:val="0"/>
                <w:sz w:val="21"/>
                <w:szCs w:val="21"/>
                <w:highlight w:val="none"/>
              </w:rPr>
              <w:t>房产</w:t>
            </w:r>
            <w:r>
              <w:rPr>
                <w:rFonts w:hint="default" w:ascii="Times New Roman" w:hAnsi="Times New Roman" w:eastAsia="仿宋" w:cs="Times New Roman"/>
                <w:kern w:val="0"/>
                <w:sz w:val="21"/>
                <w:szCs w:val="21"/>
                <w:highlight w:val="none"/>
                <w:lang w:eastAsia="zh-CN"/>
              </w:rPr>
              <w:t>、</w:t>
            </w:r>
            <w:r>
              <w:rPr>
                <w:rFonts w:hint="default" w:ascii="Times New Roman" w:hAnsi="Times New Roman" w:eastAsia="仿宋" w:cs="Times New Roman"/>
                <w:kern w:val="0"/>
                <w:sz w:val="21"/>
                <w:szCs w:val="21"/>
                <w:highlight w:val="none"/>
              </w:rPr>
              <w:t>交通、商务等部门获取的环境质量、污染源、生态状况监测数据有效集成、互联共享，构建生态环境监测大数据平台</w:t>
            </w:r>
          </w:p>
          <w:p w14:paraId="4A3B7581">
            <w:pPr>
              <w:widowControl/>
              <w:spacing w:line="276"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（2）智慧水务平台建设相关工程</w:t>
            </w:r>
          </w:p>
        </w:tc>
        <w:tc>
          <w:tcPr>
            <w:tcW w:w="1276" w:type="dxa"/>
            <w:vAlign w:val="center"/>
          </w:tcPr>
          <w:p w14:paraId="4D551FFA">
            <w:pPr>
              <w:widowControl/>
              <w:spacing w:line="276"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1500</w:t>
            </w:r>
          </w:p>
        </w:tc>
        <w:tc>
          <w:tcPr>
            <w:tcW w:w="1139" w:type="dxa"/>
            <w:vAlign w:val="center"/>
          </w:tcPr>
          <w:p w14:paraId="40789500">
            <w:pPr>
              <w:widowControl/>
              <w:spacing w:line="276" w:lineRule="auto"/>
              <w:ind w:firstLine="0" w:firstLineChars="0"/>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政府投资</w:t>
            </w:r>
          </w:p>
        </w:tc>
        <w:tc>
          <w:tcPr>
            <w:tcW w:w="1276" w:type="dxa"/>
            <w:vAlign w:val="center"/>
          </w:tcPr>
          <w:p w14:paraId="32BC8378">
            <w:pPr>
              <w:widowControl/>
              <w:spacing w:line="276"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2021-2025</w:t>
            </w:r>
          </w:p>
        </w:tc>
        <w:tc>
          <w:tcPr>
            <w:tcW w:w="1701" w:type="dxa"/>
            <w:vAlign w:val="center"/>
          </w:tcPr>
          <w:p w14:paraId="4ADB145C">
            <w:pPr>
              <w:widowControl/>
              <w:spacing w:line="276"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秦淮生态环境局、区水务局、其他相关部门</w:t>
            </w:r>
          </w:p>
        </w:tc>
      </w:tr>
      <w:tr w14:paraId="6D61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09" w:type="dxa"/>
            <w:vMerge w:val="continue"/>
            <w:vAlign w:val="center"/>
          </w:tcPr>
          <w:p w14:paraId="42B7D54E">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25551CEE">
            <w:pPr>
              <w:widowControl/>
              <w:spacing w:line="240" w:lineRule="auto"/>
              <w:ind w:firstLine="0" w:firstLineChars="0"/>
              <w:jc w:val="center"/>
              <w:textAlignment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w:t>
            </w:r>
          </w:p>
        </w:tc>
        <w:tc>
          <w:tcPr>
            <w:tcW w:w="2682" w:type="dxa"/>
            <w:vAlign w:val="center"/>
          </w:tcPr>
          <w:p w14:paraId="0C9FFE66">
            <w:pPr>
              <w:widowControl/>
              <w:spacing w:line="240" w:lineRule="auto"/>
              <w:ind w:firstLine="0" w:firstLineChars="0"/>
              <w:jc w:val="center"/>
              <w:textAlignment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完善环境信息公开制度</w:t>
            </w:r>
          </w:p>
        </w:tc>
        <w:tc>
          <w:tcPr>
            <w:tcW w:w="4258" w:type="dxa"/>
            <w:vAlign w:val="center"/>
          </w:tcPr>
          <w:p w14:paraId="44A1C256">
            <w:pPr>
              <w:widowControl/>
              <w:spacing w:line="240" w:lineRule="auto"/>
              <w:ind w:firstLine="0" w:firstLineChars="0"/>
              <w:textAlignment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完善环境信息公开制度，做到政府生态环境信息和企业生态环境信息应公开尽公开</w:t>
            </w:r>
          </w:p>
        </w:tc>
        <w:tc>
          <w:tcPr>
            <w:tcW w:w="1276" w:type="dxa"/>
            <w:vAlign w:val="center"/>
          </w:tcPr>
          <w:p w14:paraId="18A9CD0D">
            <w:pPr>
              <w:widowControl/>
              <w:spacing w:line="240" w:lineRule="auto"/>
              <w:ind w:firstLine="0" w:firstLineChars="0"/>
              <w:jc w:val="center"/>
              <w:textAlignment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w:t>
            </w:r>
          </w:p>
        </w:tc>
        <w:tc>
          <w:tcPr>
            <w:tcW w:w="1139" w:type="dxa"/>
            <w:vAlign w:val="center"/>
          </w:tcPr>
          <w:p w14:paraId="584E3867">
            <w:pPr>
              <w:spacing w:line="276"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政府投资</w:t>
            </w:r>
          </w:p>
        </w:tc>
        <w:tc>
          <w:tcPr>
            <w:tcW w:w="1276" w:type="dxa"/>
            <w:vAlign w:val="center"/>
          </w:tcPr>
          <w:p w14:paraId="441CE695">
            <w:pPr>
              <w:spacing w:line="276"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2024-2030</w:t>
            </w:r>
          </w:p>
        </w:tc>
        <w:tc>
          <w:tcPr>
            <w:tcW w:w="1701" w:type="dxa"/>
            <w:vAlign w:val="center"/>
          </w:tcPr>
          <w:p w14:paraId="741FEA03">
            <w:pPr>
              <w:widowControl/>
              <w:spacing w:line="240" w:lineRule="auto"/>
              <w:ind w:firstLine="0" w:firstLineChars="0"/>
              <w:jc w:val="center"/>
              <w:textAlignment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区政府</w:t>
            </w:r>
            <w:r>
              <w:rPr>
                <w:rFonts w:hint="default" w:ascii="Times New Roman" w:hAnsi="Times New Roman" w:eastAsia="仿宋" w:cs="Times New Roman"/>
                <w:kern w:val="0"/>
                <w:sz w:val="21"/>
                <w:szCs w:val="21"/>
                <w:highlight w:val="none"/>
                <w:lang w:eastAsia="zh-CN"/>
              </w:rPr>
              <w:t>办</w:t>
            </w:r>
            <w:r>
              <w:rPr>
                <w:rFonts w:hint="default" w:ascii="Times New Roman" w:hAnsi="Times New Roman" w:eastAsia="仿宋" w:cs="Times New Roman"/>
                <w:kern w:val="0"/>
                <w:sz w:val="21"/>
                <w:szCs w:val="21"/>
                <w:highlight w:val="none"/>
              </w:rPr>
              <w:t>、秦淮生态环境局</w:t>
            </w:r>
          </w:p>
        </w:tc>
      </w:tr>
      <w:tr w14:paraId="2591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14:paraId="479FFAC3">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75726EA4">
            <w:pPr>
              <w:widowControl/>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合计</w:t>
            </w:r>
          </w:p>
        </w:tc>
        <w:tc>
          <w:tcPr>
            <w:tcW w:w="10631" w:type="dxa"/>
            <w:gridSpan w:val="5"/>
            <w:vAlign w:val="center"/>
          </w:tcPr>
          <w:p w14:paraId="55666E27">
            <w:pPr>
              <w:spacing w:line="240" w:lineRule="auto"/>
              <w:ind w:firstLine="0" w:firstLineChars="0"/>
              <w:jc w:val="center"/>
              <w:rPr>
                <w:rFonts w:hint="default" w:ascii="Times New Roman" w:hAnsi="Times New Roman" w:eastAsia="仿宋" w:cs="Times New Roman"/>
                <w:kern w:val="0"/>
                <w:sz w:val="21"/>
                <w:szCs w:val="21"/>
                <w:highlight w:val="none"/>
              </w:rPr>
            </w:pPr>
            <w:r>
              <w:rPr>
                <w:rFonts w:hint="default" w:ascii="Times New Roman" w:hAnsi="Times New Roman" w:eastAsia="仿宋" w:cs="Times New Roman"/>
                <w:kern w:val="0"/>
                <w:sz w:val="21"/>
                <w:szCs w:val="21"/>
                <w:highlight w:val="none"/>
              </w:rPr>
              <w:t>1500</w:t>
            </w:r>
          </w:p>
        </w:tc>
        <w:tc>
          <w:tcPr>
            <w:tcW w:w="1701" w:type="dxa"/>
            <w:vAlign w:val="center"/>
          </w:tcPr>
          <w:p w14:paraId="3ED7627F">
            <w:pPr>
              <w:spacing w:line="240" w:lineRule="auto"/>
              <w:ind w:firstLine="0" w:firstLineChars="0"/>
              <w:jc w:val="center"/>
              <w:rPr>
                <w:rFonts w:hint="default" w:ascii="Times New Roman" w:hAnsi="Times New Roman" w:eastAsia="仿宋" w:cs="Times New Roman"/>
                <w:kern w:val="0"/>
                <w:sz w:val="21"/>
                <w:szCs w:val="21"/>
                <w:highlight w:val="none"/>
              </w:rPr>
            </w:pPr>
          </w:p>
        </w:tc>
      </w:tr>
      <w:tr w14:paraId="493F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Align w:val="center"/>
          </w:tcPr>
          <w:p w14:paraId="75C6F41F">
            <w:pPr>
              <w:widowControl/>
              <w:spacing w:line="240" w:lineRule="auto"/>
              <w:ind w:firstLine="0" w:firstLineChars="0"/>
              <w:jc w:val="center"/>
              <w:rPr>
                <w:rFonts w:hint="default" w:ascii="Times New Roman" w:hAnsi="Times New Roman" w:eastAsia="仿宋" w:cs="Times New Roman"/>
                <w:kern w:val="0"/>
                <w:sz w:val="21"/>
                <w:szCs w:val="21"/>
                <w:highlight w:val="none"/>
              </w:rPr>
            </w:pPr>
          </w:p>
        </w:tc>
        <w:tc>
          <w:tcPr>
            <w:tcW w:w="851" w:type="dxa"/>
            <w:vAlign w:val="center"/>
          </w:tcPr>
          <w:p w14:paraId="75CFD8D5">
            <w:pPr>
              <w:widowControl/>
              <w:spacing w:line="240" w:lineRule="auto"/>
              <w:ind w:firstLine="0" w:firstLineChars="0"/>
              <w:jc w:val="center"/>
              <w:rPr>
                <w:rFonts w:hint="default" w:ascii="Times New Roman" w:hAnsi="Times New Roman" w:eastAsia="仿宋" w:cs="Times New Roman"/>
                <w:b/>
                <w:bCs/>
                <w:kern w:val="0"/>
                <w:sz w:val="21"/>
                <w:szCs w:val="21"/>
                <w:highlight w:val="none"/>
              </w:rPr>
            </w:pPr>
            <w:r>
              <w:rPr>
                <w:rFonts w:hint="default" w:ascii="Times New Roman" w:hAnsi="Times New Roman" w:eastAsia="仿宋" w:cs="Times New Roman"/>
                <w:b/>
                <w:bCs/>
                <w:kern w:val="0"/>
                <w:sz w:val="21"/>
                <w:szCs w:val="21"/>
                <w:highlight w:val="none"/>
              </w:rPr>
              <w:t>总计</w:t>
            </w:r>
          </w:p>
        </w:tc>
        <w:tc>
          <w:tcPr>
            <w:tcW w:w="10631" w:type="dxa"/>
            <w:gridSpan w:val="5"/>
            <w:vAlign w:val="center"/>
          </w:tcPr>
          <w:p w14:paraId="0458E165">
            <w:pPr>
              <w:spacing w:line="240" w:lineRule="auto"/>
              <w:ind w:firstLine="0" w:firstLineChars="0"/>
              <w:jc w:val="center"/>
              <w:rPr>
                <w:rFonts w:hint="default" w:ascii="Times New Roman" w:hAnsi="Times New Roman" w:eastAsia="仿宋" w:cs="Times New Roman"/>
                <w:kern w:val="0"/>
                <w:sz w:val="21"/>
                <w:szCs w:val="21"/>
                <w:highlight w:val="none"/>
                <w:lang w:val="en-US" w:eastAsia="zh-CN"/>
              </w:rPr>
            </w:pPr>
            <w:r>
              <w:rPr>
                <w:rFonts w:hint="default" w:ascii="Times New Roman" w:hAnsi="Times New Roman" w:eastAsia="仿宋" w:cs="Times New Roman"/>
                <w:kern w:val="0"/>
                <w:sz w:val="21"/>
                <w:szCs w:val="21"/>
                <w:highlight w:val="none"/>
              </w:rPr>
              <w:t>1</w:t>
            </w:r>
            <w:r>
              <w:rPr>
                <w:rFonts w:hint="default" w:ascii="Times New Roman" w:hAnsi="Times New Roman" w:eastAsia="仿宋" w:cs="Times New Roman"/>
                <w:kern w:val="0"/>
                <w:sz w:val="21"/>
                <w:szCs w:val="21"/>
                <w:highlight w:val="none"/>
                <w:lang w:val="en-US" w:eastAsia="zh-CN"/>
              </w:rPr>
              <w:t>928673</w:t>
            </w:r>
          </w:p>
        </w:tc>
        <w:tc>
          <w:tcPr>
            <w:tcW w:w="1701" w:type="dxa"/>
            <w:vAlign w:val="center"/>
          </w:tcPr>
          <w:p w14:paraId="3CF08184">
            <w:pPr>
              <w:spacing w:line="240" w:lineRule="auto"/>
              <w:ind w:firstLine="0" w:firstLineChars="0"/>
              <w:jc w:val="center"/>
              <w:rPr>
                <w:rFonts w:hint="default" w:ascii="Times New Roman" w:hAnsi="Times New Roman" w:eastAsia="仿宋" w:cs="Times New Roman"/>
                <w:kern w:val="0"/>
                <w:sz w:val="21"/>
                <w:szCs w:val="21"/>
                <w:highlight w:val="none"/>
              </w:rPr>
            </w:pPr>
          </w:p>
        </w:tc>
      </w:tr>
    </w:tbl>
    <w:p w14:paraId="43227208">
      <w:pPr>
        <w:pStyle w:val="12"/>
        <w:ind w:left="0" w:leftChars="0" w:firstLine="0" w:firstLineChars="0"/>
        <w:rPr>
          <w:rFonts w:hint="default" w:ascii="Times New Roman" w:hAnsi="Times New Roman" w:eastAsia="方正仿宋_GBK" w:cs="Times New Roman"/>
          <w:spacing w:val="10"/>
          <w:sz w:val="32"/>
          <w:szCs w:val="32"/>
        </w:rPr>
      </w:pPr>
    </w:p>
    <w:p w14:paraId="25824525">
      <w:pPr>
        <w:pStyle w:val="12"/>
        <w:rPr>
          <w:rFonts w:hint="default" w:ascii="Times New Roman" w:hAnsi="Times New Roman" w:eastAsia="方正仿宋_GBK" w:cs="Times New Roman"/>
          <w:spacing w:val="10"/>
          <w:sz w:val="32"/>
          <w:szCs w:val="32"/>
        </w:rPr>
        <w:sectPr>
          <w:pgSz w:w="16838" w:h="11906" w:orient="landscape"/>
          <w:pgMar w:top="1588" w:right="2098" w:bottom="1588" w:left="1701" w:header="851" w:footer="1418" w:gutter="0"/>
          <w:cols w:space="425" w:num="1"/>
          <w:docGrid w:type="lines" w:linePitch="312" w:charSpace="0"/>
        </w:sectPr>
      </w:pPr>
    </w:p>
    <w:p w14:paraId="1E83BEF7">
      <w:pPr>
        <w:pStyle w:val="12"/>
        <w:rPr>
          <w:rFonts w:hint="default" w:ascii="Times New Roman" w:hAnsi="Times New Roman" w:eastAsia="方正仿宋_GBK" w:cs="Times New Roman"/>
          <w:spacing w:val="10"/>
          <w:sz w:val="32"/>
          <w:szCs w:val="32"/>
        </w:rPr>
      </w:pPr>
    </w:p>
    <w:p w14:paraId="34F326F7">
      <w:pPr>
        <w:pStyle w:val="12"/>
        <w:rPr>
          <w:rFonts w:hint="default" w:ascii="Times New Roman" w:hAnsi="Times New Roman" w:eastAsia="方正仿宋_GBK" w:cs="Times New Roman"/>
          <w:spacing w:val="10"/>
          <w:sz w:val="32"/>
          <w:szCs w:val="32"/>
        </w:rPr>
      </w:pPr>
    </w:p>
    <w:p w14:paraId="2BB83BFA">
      <w:pPr>
        <w:pStyle w:val="12"/>
        <w:rPr>
          <w:rFonts w:hint="default" w:ascii="Times New Roman" w:hAnsi="Times New Roman" w:eastAsia="方正仿宋_GBK" w:cs="Times New Roman"/>
          <w:spacing w:val="10"/>
          <w:sz w:val="32"/>
          <w:szCs w:val="32"/>
        </w:rPr>
      </w:pPr>
    </w:p>
    <w:p w14:paraId="13E65901">
      <w:pPr>
        <w:pStyle w:val="12"/>
        <w:rPr>
          <w:rFonts w:hint="default" w:ascii="Times New Roman" w:hAnsi="Times New Roman" w:eastAsia="方正仿宋_GBK" w:cs="Times New Roman"/>
          <w:spacing w:val="10"/>
          <w:sz w:val="32"/>
          <w:szCs w:val="32"/>
        </w:rPr>
      </w:pPr>
    </w:p>
    <w:p w14:paraId="6F7088D6">
      <w:pPr>
        <w:pStyle w:val="12"/>
        <w:rPr>
          <w:rFonts w:hint="default" w:ascii="Times New Roman" w:hAnsi="Times New Roman" w:eastAsia="方正仿宋_GBK" w:cs="Times New Roman"/>
          <w:spacing w:val="10"/>
          <w:sz w:val="32"/>
          <w:szCs w:val="32"/>
        </w:rPr>
      </w:pPr>
    </w:p>
    <w:p w14:paraId="462631A9">
      <w:pPr>
        <w:pStyle w:val="12"/>
        <w:rPr>
          <w:rFonts w:hint="default" w:ascii="Times New Roman" w:hAnsi="Times New Roman" w:eastAsia="方正仿宋_GBK" w:cs="Times New Roman"/>
          <w:spacing w:val="10"/>
          <w:sz w:val="32"/>
          <w:szCs w:val="32"/>
        </w:rPr>
      </w:pPr>
    </w:p>
    <w:p w14:paraId="506236C4">
      <w:pPr>
        <w:pStyle w:val="12"/>
        <w:rPr>
          <w:rFonts w:hint="default" w:ascii="Times New Roman" w:hAnsi="Times New Roman" w:eastAsia="方正仿宋_GBK" w:cs="Times New Roman"/>
          <w:spacing w:val="10"/>
          <w:sz w:val="32"/>
          <w:szCs w:val="32"/>
        </w:rPr>
      </w:pPr>
    </w:p>
    <w:p w14:paraId="074AF4BB">
      <w:pPr>
        <w:pStyle w:val="12"/>
        <w:rPr>
          <w:rFonts w:hint="default" w:ascii="Times New Roman" w:hAnsi="Times New Roman" w:eastAsia="方正仿宋_GBK" w:cs="Times New Roman"/>
          <w:spacing w:val="10"/>
          <w:sz w:val="32"/>
          <w:szCs w:val="32"/>
        </w:rPr>
      </w:pPr>
    </w:p>
    <w:p w14:paraId="3B70756F">
      <w:pPr>
        <w:pStyle w:val="12"/>
        <w:rPr>
          <w:rFonts w:hint="default" w:ascii="Times New Roman" w:hAnsi="Times New Roman" w:eastAsia="方正仿宋_GBK" w:cs="Times New Roman"/>
          <w:spacing w:val="10"/>
          <w:sz w:val="32"/>
          <w:szCs w:val="32"/>
        </w:rPr>
      </w:pPr>
    </w:p>
    <w:p w14:paraId="5409A2FF">
      <w:pPr>
        <w:pStyle w:val="12"/>
        <w:rPr>
          <w:rFonts w:hint="default" w:ascii="Times New Roman" w:hAnsi="Times New Roman" w:eastAsia="方正仿宋_GBK" w:cs="Times New Roman"/>
          <w:spacing w:val="10"/>
          <w:sz w:val="32"/>
          <w:szCs w:val="32"/>
        </w:rPr>
      </w:pPr>
    </w:p>
    <w:p w14:paraId="14ACDD32">
      <w:pPr>
        <w:pStyle w:val="12"/>
        <w:rPr>
          <w:rFonts w:hint="default" w:ascii="Times New Roman" w:hAnsi="Times New Roman" w:eastAsia="方正仿宋_GBK" w:cs="Times New Roman"/>
          <w:spacing w:val="10"/>
          <w:sz w:val="32"/>
          <w:szCs w:val="32"/>
        </w:rPr>
      </w:pPr>
    </w:p>
    <w:p w14:paraId="4FC20343">
      <w:pPr>
        <w:pStyle w:val="12"/>
        <w:rPr>
          <w:rFonts w:hint="default" w:ascii="Times New Roman" w:hAnsi="Times New Roman" w:eastAsia="方正仿宋_GBK" w:cs="Times New Roman"/>
          <w:spacing w:val="10"/>
          <w:sz w:val="32"/>
          <w:szCs w:val="32"/>
        </w:rPr>
      </w:pPr>
    </w:p>
    <w:p w14:paraId="3C664873">
      <w:pPr>
        <w:pStyle w:val="12"/>
        <w:rPr>
          <w:rFonts w:hint="default" w:ascii="Times New Roman" w:hAnsi="Times New Roman" w:eastAsia="方正仿宋_GBK" w:cs="Times New Roman"/>
          <w:spacing w:val="10"/>
          <w:sz w:val="32"/>
          <w:szCs w:val="32"/>
        </w:rPr>
      </w:pPr>
    </w:p>
    <w:p w14:paraId="12FFD7CB">
      <w:pPr>
        <w:pStyle w:val="12"/>
        <w:rPr>
          <w:rFonts w:hint="default" w:ascii="Times New Roman" w:hAnsi="Times New Roman" w:eastAsia="方正仿宋_GBK" w:cs="Times New Roman"/>
          <w:spacing w:val="10"/>
          <w:sz w:val="32"/>
          <w:szCs w:val="32"/>
        </w:rPr>
      </w:pPr>
    </w:p>
    <w:p w14:paraId="55F93EE7">
      <w:pPr>
        <w:pStyle w:val="12"/>
        <w:rPr>
          <w:rFonts w:hint="default" w:ascii="Times New Roman" w:hAnsi="Times New Roman" w:eastAsia="方正仿宋_GBK" w:cs="Times New Roman"/>
          <w:spacing w:val="10"/>
          <w:sz w:val="32"/>
          <w:szCs w:val="32"/>
        </w:rPr>
      </w:pPr>
    </w:p>
    <w:p w14:paraId="55A9E0CD">
      <w:pPr>
        <w:pStyle w:val="12"/>
        <w:rPr>
          <w:rFonts w:hint="default" w:ascii="Times New Roman" w:hAnsi="Times New Roman" w:eastAsia="方正仿宋_GBK" w:cs="Times New Roman"/>
          <w:spacing w:val="10"/>
          <w:sz w:val="32"/>
          <w:szCs w:val="32"/>
        </w:rPr>
      </w:pPr>
    </w:p>
    <w:p w14:paraId="0A19270E">
      <w:pPr>
        <w:pStyle w:val="12"/>
        <w:rPr>
          <w:rFonts w:hint="default" w:ascii="Times New Roman" w:hAnsi="Times New Roman" w:eastAsia="方正仿宋_GBK" w:cs="Times New Roman"/>
          <w:spacing w:val="10"/>
          <w:sz w:val="32"/>
          <w:szCs w:val="32"/>
        </w:rPr>
      </w:pPr>
    </w:p>
    <w:p w14:paraId="56E9AB68">
      <w:pPr>
        <w:pStyle w:val="12"/>
        <w:rPr>
          <w:rFonts w:hint="default" w:ascii="Times New Roman" w:hAnsi="Times New Roman" w:eastAsia="方正仿宋_GBK" w:cs="Times New Roman"/>
          <w:spacing w:val="10"/>
          <w:sz w:val="32"/>
          <w:szCs w:val="32"/>
        </w:rPr>
      </w:pPr>
    </w:p>
    <w:p w14:paraId="733AE0DF">
      <w:pPr>
        <w:pStyle w:val="12"/>
        <w:rPr>
          <w:rFonts w:hint="default" w:ascii="Times New Roman" w:hAnsi="Times New Roman" w:eastAsia="方正仿宋_GBK" w:cs="Times New Roman"/>
          <w:spacing w:val="10"/>
          <w:sz w:val="32"/>
          <w:szCs w:val="32"/>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14:paraId="5B13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top w:val="single" w:color="auto" w:sz="12" w:space="0"/>
              <w:left w:val="nil"/>
              <w:bottom w:val="single" w:color="auto" w:sz="4" w:space="0"/>
              <w:right w:val="nil"/>
            </w:tcBorders>
          </w:tcPr>
          <w:p w14:paraId="75540057">
            <w:pPr>
              <w:adjustRightInd w:val="0"/>
              <w:snapToGrid w:val="0"/>
              <w:spacing w:line="520" w:lineRule="exact"/>
              <w:ind w:left="1050" w:leftChars="100" w:right="210" w:rightChars="100" w:hanging="840" w:hangingChars="300"/>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z w:val="28"/>
                <w:szCs w:val="28"/>
              </w:rPr>
              <w:t>抄送：区委各部门，区人大办，区政协办，区法院，区检察院。</w:t>
            </w:r>
          </w:p>
        </w:tc>
      </w:tr>
      <w:tr w14:paraId="0E94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top w:val="single" w:color="auto" w:sz="4" w:space="0"/>
              <w:left w:val="nil"/>
              <w:bottom w:val="single" w:color="auto" w:sz="12" w:space="0"/>
              <w:right w:val="nil"/>
            </w:tcBorders>
          </w:tcPr>
          <w:p w14:paraId="33303869">
            <w:pPr>
              <w:adjustRightInd w:val="0"/>
              <w:snapToGrid w:val="0"/>
              <w:spacing w:line="520" w:lineRule="exact"/>
              <w:ind w:left="210" w:leftChars="100" w:right="210" w:rightChars="100"/>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z w:val="28"/>
                <w:szCs w:val="28"/>
              </w:rPr>
              <w:t xml:space="preserve">南京市秦淮区人民政府办公室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30</w:t>
            </w:r>
            <w:r>
              <w:rPr>
                <w:rFonts w:hint="default" w:ascii="Times New Roman" w:hAnsi="Times New Roman" w:eastAsia="方正仿宋_GBK" w:cs="Times New Roman"/>
                <w:sz w:val="28"/>
                <w:szCs w:val="28"/>
              </w:rPr>
              <w:t>日印发</w:t>
            </w:r>
          </w:p>
        </w:tc>
      </w:tr>
    </w:tbl>
    <w:p w14:paraId="78BCFDFA">
      <w:pPr>
        <w:pStyle w:val="12"/>
        <w:keepNext w:val="0"/>
        <w:keepLines w:val="0"/>
        <w:pageBreakBefore w:val="0"/>
        <w:widowControl w:val="0"/>
        <w:kinsoku/>
        <w:wordWrap/>
        <w:overflowPunct/>
        <w:topLinePunct w:val="0"/>
        <w:autoSpaceDE/>
        <w:autoSpaceDN/>
        <w:bidi w:val="0"/>
        <w:adjustRightInd w:val="0"/>
        <w:snapToGrid w:val="0"/>
        <w:spacing w:line="20" w:lineRule="exact"/>
        <w:ind w:left="0" w:leftChars="0" w:firstLine="0" w:firstLineChars="0"/>
        <w:textAlignment w:val="auto"/>
        <w:rPr>
          <w:rFonts w:hint="default" w:ascii="Times New Roman" w:hAnsi="Times New Roman" w:cs="Times New Roman"/>
        </w:rPr>
      </w:pPr>
    </w:p>
    <w:sectPr>
      <w:pgSz w:w="11906" w:h="16838"/>
      <w:pgMar w:top="2098" w:right="1588" w:bottom="1701"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Segoe UI Symbol">
    <w:panose1 w:val="020B0502040204020203"/>
    <w:charset w:val="00"/>
    <w:family w:val="auto"/>
    <w:pitch w:val="default"/>
    <w:sig w:usb0="8000006F" w:usb1="1200FBEF" w:usb2="0064C000" w:usb3="00000002" w:csb0="00000001" w:csb1="4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01292">
    <w:pPr>
      <w:pStyle w:val="8"/>
      <w:wordWrap w:val="0"/>
      <w:snapToGrid/>
      <w:ind w:left="210" w:leftChars="100" w:right="210" w:rightChars="100"/>
      <w:jc w:val="right"/>
      <w:rPr>
        <w:rFonts w:eastAsia="仿宋_GB2312"/>
        <w:sz w:val="28"/>
        <w:szCs w:val="28"/>
      </w:rPr>
    </w:pPr>
    <w:r>
      <w:rPr>
        <w:rFonts w:eastAsia="仿宋_GB2312"/>
        <w:sz w:val="28"/>
        <w:szCs w:val="28"/>
      </w:rPr>
      <w:t xml:space="preserve">— </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lang w:val="zh-CN"/>
      </w:rPr>
      <w:t>1</w:t>
    </w:r>
    <w:r>
      <w:rPr>
        <w:rFonts w:eastAsia="仿宋_GB2312"/>
        <w:sz w:val="28"/>
        <w:szCs w:val="28"/>
      </w:rPr>
      <w:fldChar w:fldCharType="end"/>
    </w:r>
    <w:r>
      <w:rPr>
        <w:rFonts w:eastAsia="仿宋_GB231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FCADD">
    <w:pPr>
      <w:pStyle w:val="8"/>
      <w:snapToGrid/>
      <w:ind w:left="210" w:leftChars="100" w:right="210" w:rightChars="100"/>
      <w:rPr>
        <w:rFonts w:eastAsia="仿宋_GB2312"/>
        <w:sz w:val="28"/>
        <w:szCs w:val="28"/>
      </w:rPr>
    </w:pPr>
    <w:r>
      <w:rPr>
        <w:rFonts w:eastAsia="仿宋_GB2312"/>
        <w:sz w:val="28"/>
        <w:szCs w:val="28"/>
      </w:rPr>
      <w:t xml:space="preserve">— </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lang w:val="zh-CN"/>
      </w:rPr>
      <w:t>2</w:t>
    </w:r>
    <w:r>
      <w:rPr>
        <w:rFonts w:eastAsia="仿宋_GB2312"/>
        <w:sz w:val="28"/>
        <w:szCs w:val="28"/>
      </w:rPr>
      <w:fldChar w:fldCharType="end"/>
    </w:r>
    <w:r>
      <w:rPr>
        <w:rFonts w:eastAsia="仿宋_GB2312"/>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17FE8"/>
    <w:multiLevelType w:val="singleLevel"/>
    <w:tmpl w:val="83017FE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3NDg5MmJjNWMzZWRiOTcwMmEzMTRhODIzOGEwYjgifQ=="/>
  </w:docVars>
  <w:rsids>
    <w:rsidRoot w:val="00455E67"/>
    <w:rsid w:val="0002561E"/>
    <w:rsid w:val="00046B81"/>
    <w:rsid w:val="00072C34"/>
    <w:rsid w:val="00081A02"/>
    <w:rsid w:val="00091572"/>
    <w:rsid w:val="000969AD"/>
    <w:rsid w:val="000A002F"/>
    <w:rsid w:val="000A6B75"/>
    <w:rsid w:val="000B44D3"/>
    <w:rsid w:val="00103897"/>
    <w:rsid w:val="001113BD"/>
    <w:rsid w:val="00135135"/>
    <w:rsid w:val="00147091"/>
    <w:rsid w:val="001479E3"/>
    <w:rsid w:val="001C048E"/>
    <w:rsid w:val="001D0F5A"/>
    <w:rsid w:val="001D4206"/>
    <w:rsid w:val="001D5FB4"/>
    <w:rsid w:val="002235CA"/>
    <w:rsid w:val="00237A6E"/>
    <w:rsid w:val="00247343"/>
    <w:rsid w:val="0026130D"/>
    <w:rsid w:val="002931EC"/>
    <w:rsid w:val="002A3D8A"/>
    <w:rsid w:val="00305CE7"/>
    <w:rsid w:val="00313492"/>
    <w:rsid w:val="00381040"/>
    <w:rsid w:val="00396D2C"/>
    <w:rsid w:val="003A0914"/>
    <w:rsid w:val="003A4512"/>
    <w:rsid w:val="003B25B9"/>
    <w:rsid w:val="00455E67"/>
    <w:rsid w:val="0046550B"/>
    <w:rsid w:val="00494FFB"/>
    <w:rsid w:val="004A1EF2"/>
    <w:rsid w:val="004E2611"/>
    <w:rsid w:val="0050638A"/>
    <w:rsid w:val="005319D6"/>
    <w:rsid w:val="005574FC"/>
    <w:rsid w:val="00563BA3"/>
    <w:rsid w:val="005712E2"/>
    <w:rsid w:val="005772CA"/>
    <w:rsid w:val="005A71B7"/>
    <w:rsid w:val="005A7208"/>
    <w:rsid w:val="00615EA1"/>
    <w:rsid w:val="00641E35"/>
    <w:rsid w:val="00665AD5"/>
    <w:rsid w:val="00676143"/>
    <w:rsid w:val="00684A13"/>
    <w:rsid w:val="006E05BE"/>
    <w:rsid w:val="00702588"/>
    <w:rsid w:val="007200AE"/>
    <w:rsid w:val="007A6F63"/>
    <w:rsid w:val="007C39F9"/>
    <w:rsid w:val="007E2EF7"/>
    <w:rsid w:val="00806E23"/>
    <w:rsid w:val="00863B59"/>
    <w:rsid w:val="00880F4E"/>
    <w:rsid w:val="00882AEA"/>
    <w:rsid w:val="008878D1"/>
    <w:rsid w:val="0089541E"/>
    <w:rsid w:val="008A38AB"/>
    <w:rsid w:val="008D138C"/>
    <w:rsid w:val="008D313A"/>
    <w:rsid w:val="00906786"/>
    <w:rsid w:val="009269A2"/>
    <w:rsid w:val="00936276"/>
    <w:rsid w:val="00984DE4"/>
    <w:rsid w:val="009A1B5F"/>
    <w:rsid w:val="009D6752"/>
    <w:rsid w:val="009E5347"/>
    <w:rsid w:val="00A16BE5"/>
    <w:rsid w:val="00AA3CEC"/>
    <w:rsid w:val="00AB7A64"/>
    <w:rsid w:val="00AE0538"/>
    <w:rsid w:val="00AE556A"/>
    <w:rsid w:val="00AE7591"/>
    <w:rsid w:val="00B22269"/>
    <w:rsid w:val="00B509AE"/>
    <w:rsid w:val="00B52F17"/>
    <w:rsid w:val="00B95CDD"/>
    <w:rsid w:val="00BA4238"/>
    <w:rsid w:val="00BA7CA7"/>
    <w:rsid w:val="00BC57CD"/>
    <w:rsid w:val="00BD741D"/>
    <w:rsid w:val="00BE2AA6"/>
    <w:rsid w:val="00C34DAD"/>
    <w:rsid w:val="00CB1EB4"/>
    <w:rsid w:val="00CD1788"/>
    <w:rsid w:val="00CF3B3E"/>
    <w:rsid w:val="00D07B9F"/>
    <w:rsid w:val="00D478F9"/>
    <w:rsid w:val="00D94D2C"/>
    <w:rsid w:val="00DA5C53"/>
    <w:rsid w:val="00DD2AFD"/>
    <w:rsid w:val="00DD5A1D"/>
    <w:rsid w:val="00E80370"/>
    <w:rsid w:val="00ED5986"/>
    <w:rsid w:val="00F036C9"/>
    <w:rsid w:val="00F1191B"/>
    <w:rsid w:val="00F27441"/>
    <w:rsid w:val="00F91E58"/>
    <w:rsid w:val="00FE4037"/>
    <w:rsid w:val="00FE5DE6"/>
    <w:rsid w:val="01042CD0"/>
    <w:rsid w:val="01062EEC"/>
    <w:rsid w:val="010827C0"/>
    <w:rsid w:val="010A353B"/>
    <w:rsid w:val="01101675"/>
    <w:rsid w:val="01113D6B"/>
    <w:rsid w:val="01130BDD"/>
    <w:rsid w:val="01192C1F"/>
    <w:rsid w:val="011D61A5"/>
    <w:rsid w:val="01205D5C"/>
    <w:rsid w:val="01211AD4"/>
    <w:rsid w:val="01215FB6"/>
    <w:rsid w:val="012651AE"/>
    <w:rsid w:val="01271472"/>
    <w:rsid w:val="012A2737"/>
    <w:rsid w:val="01323CE1"/>
    <w:rsid w:val="01362446"/>
    <w:rsid w:val="013637D1"/>
    <w:rsid w:val="01396E1E"/>
    <w:rsid w:val="013C66CB"/>
    <w:rsid w:val="01422176"/>
    <w:rsid w:val="014527E0"/>
    <w:rsid w:val="014970B8"/>
    <w:rsid w:val="014A102B"/>
    <w:rsid w:val="014D4677"/>
    <w:rsid w:val="01514167"/>
    <w:rsid w:val="01527EDF"/>
    <w:rsid w:val="01536131"/>
    <w:rsid w:val="01565C22"/>
    <w:rsid w:val="015717F3"/>
    <w:rsid w:val="015754F6"/>
    <w:rsid w:val="015772A4"/>
    <w:rsid w:val="015974C0"/>
    <w:rsid w:val="015D1EF7"/>
    <w:rsid w:val="015E6884"/>
    <w:rsid w:val="015F4817"/>
    <w:rsid w:val="0167398B"/>
    <w:rsid w:val="016F0A91"/>
    <w:rsid w:val="017460A8"/>
    <w:rsid w:val="01791910"/>
    <w:rsid w:val="017B2F92"/>
    <w:rsid w:val="018207C5"/>
    <w:rsid w:val="01826A17"/>
    <w:rsid w:val="018856AF"/>
    <w:rsid w:val="018A58CB"/>
    <w:rsid w:val="018A7679"/>
    <w:rsid w:val="018C33F1"/>
    <w:rsid w:val="019B53E2"/>
    <w:rsid w:val="019C3329"/>
    <w:rsid w:val="019D73AC"/>
    <w:rsid w:val="01A4698D"/>
    <w:rsid w:val="01A506ED"/>
    <w:rsid w:val="01A544B3"/>
    <w:rsid w:val="01AF5332"/>
    <w:rsid w:val="01B110AA"/>
    <w:rsid w:val="01B32CF1"/>
    <w:rsid w:val="01B446F6"/>
    <w:rsid w:val="01BE7323"/>
    <w:rsid w:val="01C04E49"/>
    <w:rsid w:val="01C54B55"/>
    <w:rsid w:val="01CA3F1A"/>
    <w:rsid w:val="01CA75E8"/>
    <w:rsid w:val="01CC5EE4"/>
    <w:rsid w:val="01D134FA"/>
    <w:rsid w:val="01D152A8"/>
    <w:rsid w:val="01D34B7C"/>
    <w:rsid w:val="01D46B46"/>
    <w:rsid w:val="01D95F0B"/>
    <w:rsid w:val="01EC0334"/>
    <w:rsid w:val="01EC3E90"/>
    <w:rsid w:val="01EE7C08"/>
    <w:rsid w:val="01F01BD2"/>
    <w:rsid w:val="01F40F97"/>
    <w:rsid w:val="01F41614"/>
    <w:rsid w:val="01F77461"/>
    <w:rsid w:val="01F84F8C"/>
    <w:rsid w:val="01FB0577"/>
    <w:rsid w:val="01FD42EF"/>
    <w:rsid w:val="01FD7E4B"/>
    <w:rsid w:val="0200793B"/>
    <w:rsid w:val="020236B3"/>
    <w:rsid w:val="0204742C"/>
    <w:rsid w:val="02076197"/>
    <w:rsid w:val="020B6A0C"/>
    <w:rsid w:val="020E02AA"/>
    <w:rsid w:val="020E3E06"/>
    <w:rsid w:val="020F4ADB"/>
    <w:rsid w:val="0214632C"/>
    <w:rsid w:val="0216715F"/>
    <w:rsid w:val="02186A33"/>
    <w:rsid w:val="021D673F"/>
    <w:rsid w:val="02225B04"/>
    <w:rsid w:val="02242AD4"/>
    <w:rsid w:val="02317AF5"/>
    <w:rsid w:val="0236335D"/>
    <w:rsid w:val="023760F0"/>
    <w:rsid w:val="023920D2"/>
    <w:rsid w:val="02395177"/>
    <w:rsid w:val="023D2D34"/>
    <w:rsid w:val="02427F54"/>
    <w:rsid w:val="02434AC6"/>
    <w:rsid w:val="02441F1E"/>
    <w:rsid w:val="024535A0"/>
    <w:rsid w:val="02477318"/>
    <w:rsid w:val="024912E2"/>
    <w:rsid w:val="024C492F"/>
    <w:rsid w:val="024C61BE"/>
    <w:rsid w:val="024E4B4B"/>
    <w:rsid w:val="0250441F"/>
    <w:rsid w:val="02557C87"/>
    <w:rsid w:val="025832D3"/>
    <w:rsid w:val="025C1016"/>
    <w:rsid w:val="026003DA"/>
    <w:rsid w:val="026223A4"/>
    <w:rsid w:val="02647AB9"/>
    <w:rsid w:val="02661E94"/>
    <w:rsid w:val="026A5D8F"/>
    <w:rsid w:val="026C4FD1"/>
    <w:rsid w:val="02704AC1"/>
    <w:rsid w:val="02705A59"/>
    <w:rsid w:val="0270686F"/>
    <w:rsid w:val="02783976"/>
    <w:rsid w:val="027A149C"/>
    <w:rsid w:val="028247F4"/>
    <w:rsid w:val="02870FE9"/>
    <w:rsid w:val="02873BB9"/>
    <w:rsid w:val="028B18FB"/>
    <w:rsid w:val="028C11CF"/>
    <w:rsid w:val="028E13EB"/>
    <w:rsid w:val="028F3B94"/>
    <w:rsid w:val="02906F11"/>
    <w:rsid w:val="029702A0"/>
    <w:rsid w:val="029A7D90"/>
    <w:rsid w:val="029C58B6"/>
    <w:rsid w:val="029F53A6"/>
    <w:rsid w:val="02A46519"/>
    <w:rsid w:val="02A76009"/>
    <w:rsid w:val="02AB3D4B"/>
    <w:rsid w:val="02AE0B1F"/>
    <w:rsid w:val="02AE55E9"/>
    <w:rsid w:val="02AF383B"/>
    <w:rsid w:val="02B044E5"/>
    <w:rsid w:val="02B46C68"/>
    <w:rsid w:val="02B80216"/>
    <w:rsid w:val="02BA3F8E"/>
    <w:rsid w:val="02BB4536"/>
    <w:rsid w:val="02BE582C"/>
    <w:rsid w:val="02C44E0D"/>
    <w:rsid w:val="02C62933"/>
    <w:rsid w:val="02C65759"/>
    <w:rsid w:val="02C80459"/>
    <w:rsid w:val="02C95F7F"/>
    <w:rsid w:val="02CB619B"/>
    <w:rsid w:val="02D05560"/>
    <w:rsid w:val="02D05D23"/>
    <w:rsid w:val="02D50DC8"/>
    <w:rsid w:val="02D768EE"/>
    <w:rsid w:val="02D908B8"/>
    <w:rsid w:val="02D92666"/>
    <w:rsid w:val="02DC3F04"/>
    <w:rsid w:val="02E37041"/>
    <w:rsid w:val="02E852D3"/>
    <w:rsid w:val="02F90BE1"/>
    <w:rsid w:val="02F920DE"/>
    <w:rsid w:val="02FA25DD"/>
    <w:rsid w:val="02FC0103"/>
    <w:rsid w:val="02FC6355"/>
    <w:rsid w:val="02FE031F"/>
    <w:rsid w:val="02FF7BF3"/>
    <w:rsid w:val="03011BBD"/>
    <w:rsid w:val="03060C74"/>
    <w:rsid w:val="03065425"/>
    <w:rsid w:val="03082F4B"/>
    <w:rsid w:val="030A6CC4"/>
    <w:rsid w:val="030E0896"/>
    <w:rsid w:val="031169F8"/>
    <w:rsid w:val="03125B78"/>
    <w:rsid w:val="03157416"/>
    <w:rsid w:val="03165668"/>
    <w:rsid w:val="031C2E9A"/>
    <w:rsid w:val="03232EAE"/>
    <w:rsid w:val="03247659"/>
    <w:rsid w:val="032558AB"/>
    <w:rsid w:val="03265180"/>
    <w:rsid w:val="0328539C"/>
    <w:rsid w:val="0328714A"/>
    <w:rsid w:val="032A6800"/>
    <w:rsid w:val="032D26DE"/>
    <w:rsid w:val="03305FFE"/>
    <w:rsid w:val="03333B32"/>
    <w:rsid w:val="03367AB9"/>
    <w:rsid w:val="033755DF"/>
    <w:rsid w:val="033C49A3"/>
    <w:rsid w:val="034026E5"/>
    <w:rsid w:val="03404493"/>
    <w:rsid w:val="034321D6"/>
    <w:rsid w:val="03433F84"/>
    <w:rsid w:val="03443858"/>
    <w:rsid w:val="034B4BE6"/>
    <w:rsid w:val="034C72DC"/>
    <w:rsid w:val="034D095E"/>
    <w:rsid w:val="034E3158"/>
    <w:rsid w:val="035166A0"/>
    <w:rsid w:val="035717DD"/>
    <w:rsid w:val="03577A2F"/>
    <w:rsid w:val="035937A7"/>
    <w:rsid w:val="03597303"/>
    <w:rsid w:val="035B751F"/>
    <w:rsid w:val="035E2049"/>
    <w:rsid w:val="03600692"/>
    <w:rsid w:val="0370464D"/>
    <w:rsid w:val="03725513"/>
    <w:rsid w:val="03832E22"/>
    <w:rsid w:val="038720C2"/>
    <w:rsid w:val="03892081"/>
    <w:rsid w:val="038A3960"/>
    <w:rsid w:val="038A570F"/>
    <w:rsid w:val="038B03C5"/>
    <w:rsid w:val="038F0F77"/>
    <w:rsid w:val="03942A31"/>
    <w:rsid w:val="039447DF"/>
    <w:rsid w:val="03977E2B"/>
    <w:rsid w:val="03991DF6"/>
    <w:rsid w:val="039B3DC0"/>
    <w:rsid w:val="039B5B6E"/>
    <w:rsid w:val="039C3694"/>
    <w:rsid w:val="039C5442"/>
    <w:rsid w:val="039D18E6"/>
    <w:rsid w:val="03A03184"/>
    <w:rsid w:val="03A10CAA"/>
    <w:rsid w:val="03A219EA"/>
    <w:rsid w:val="03A23D55"/>
    <w:rsid w:val="03A34A22"/>
    <w:rsid w:val="03A42787"/>
    <w:rsid w:val="03B22EB7"/>
    <w:rsid w:val="03B279E6"/>
    <w:rsid w:val="03B64756"/>
    <w:rsid w:val="03B66504"/>
    <w:rsid w:val="03B92498"/>
    <w:rsid w:val="03BE76CA"/>
    <w:rsid w:val="03C926DB"/>
    <w:rsid w:val="03CA6FDA"/>
    <w:rsid w:val="03CC1A1D"/>
    <w:rsid w:val="03CE584C"/>
    <w:rsid w:val="03D41080"/>
    <w:rsid w:val="03D472D2"/>
    <w:rsid w:val="03DD1CE2"/>
    <w:rsid w:val="03DD29A1"/>
    <w:rsid w:val="03DF17C2"/>
    <w:rsid w:val="03E94B2B"/>
    <w:rsid w:val="03EC0177"/>
    <w:rsid w:val="03EC7C9F"/>
    <w:rsid w:val="03EE3EEF"/>
    <w:rsid w:val="03EF1A4F"/>
    <w:rsid w:val="03F139E0"/>
    <w:rsid w:val="03F434D0"/>
    <w:rsid w:val="03F60FF6"/>
    <w:rsid w:val="03FC6A26"/>
    <w:rsid w:val="03FD05D6"/>
    <w:rsid w:val="04001E75"/>
    <w:rsid w:val="04051239"/>
    <w:rsid w:val="040F20B8"/>
    <w:rsid w:val="041273F9"/>
    <w:rsid w:val="041D6583"/>
    <w:rsid w:val="041F5699"/>
    <w:rsid w:val="04221DEB"/>
    <w:rsid w:val="042711AF"/>
    <w:rsid w:val="042751F8"/>
    <w:rsid w:val="042A0CA0"/>
    <w:rsid w:val="042E0790"/>
    <w:rsid w:val="042E253E"/>
    <w:rsid w:val="042F62B6"/>
    <w:rsid w:val="043164D2"/>
    <w:rsid w:val="04333FF8"/>
    <w:rsid w:val="04365012"/>
    <w:rsid w:val="04365896"/>
    <w:rsid w:val="043A7135"/>
    <w:rsid w:val="043B2EAD"/>
    <w:rsid w:val="043D4E77"/>
    <w:rsid w:val="043F0BEF"/>
    <w:rsid w:val="0440298B"/>
    <w:rsid w:val="04444720"/>
    <w:rsid w:val="04446205"/>
    <w:rsid w:val="04473600"/>
    <w:rsid w:val="044B5AAE"/>
    <w:rsid w:val="044B7594"/>
    <w:rsid w:val="044C0C16"/>
    <w:rsid w:val="044D0CCA"/>
    <w:rsid w:val="04504BAA"/>
    <w:rsid w:val="04536448"/>
    <w:rsid w:val="04545D1C"/>
    <w:rsid w:val="04563AB5"/>
    <w:rsid w:val="04567CE7"/>
    <w:rsid w:val="0458580D"/>
    <w:rsid w:val="046248DD"/>
    <w:rsid w:val="04635904"/>
    <w:rsid w:val="04671EF4"/>
    <w:rsid w:val="046B5540"/>
    <w:rsid w:val="046E3282"/>
    <w:rsid w:val="047168CE"/>
    <w:rsid w:val="047420BE"/>
    <w:rsid w:val="04784101"/>
    <w:rsid w:val="04785EAF"/>
    <w:rsid w:val="04787C5D"/>
    <w:rsid w:val="047A1C73"/>
    <w:rsid w:val="047C774D"/>
    <w:rsid w:val="047D1717"/>
    <w:rsid w:val="04814D63"/>
    <w:rsid w:val="04874344"/>
    <w:rsid w:val="04875963"/>
    <w:rsid w:val="0488798E"/>
    <w:rsid w:val="048B3E34"/>
    <w:rsid w:val="048E56D2"/>
    <w:rsid w:val="04910D1F"/>
    <w:rsid w:val="04912ACD"/>
    <w:rsid w:val="04921A0D"/>
    <w:rsid w:val="04971AD6"/>
    <w:rsid w:val="049727D9"/>
    <w:rsid w:val="04974587"/>
    <w:rsid w:val="04983E5B"/>
    <w:rsid w:val="049A5E25"/>
    <w:rsid w:val="049A7BD3"/>
    <w:rsid w:val="049B394B"/>
    <w:rsid w:val="049D3B67"/>
    <w:rsid w:val="049D5610"/>
    <w:rsid w:val="049D5915"/>
    <w:rsid w:val="04A62A1C"/>
    <w:rsid w:val="04AE319E"/>
    <w:rsid w:val="04AF4B6F"/>
    <w:rsid w:val="04B0389B"/>
    <w:rsid w:val="04B862AB"/>
    <w:rsid w:val="04BF4664"/>
    <w:rsid w:val="04C17856"/>
    <w:rsid w:val="04C42EA2"/>
    <w:rsid w:val="04C904B8"/>
    <w:rsid w:val="04CF34B8"/>
    <w:rsid w:val="04D035F5"/>
    <w:rsid w:val="04D255BF"/>
    <w:rsid w:val="04D8694E"/>
    <w:rsid w:val="04DA4474"/>
    <w:rsid w:val="04DC68F1"/>
    <w:rsid w:val="04DF1A8A"/>
    <w:rsid w:val="04E452F2"/>
    <w:rsid w:val="04E56FAB"/>
    <w:rsid w:val="04E8470B"/>
    <w:rsid w:val="04E92909"/>
    <w:rsid w:val="04EB48D3"/>
    <w:rsid w:val="04F33787"/>
    <w:rsid w:val="04F55751"/>
    <w:rsid w:val="04F65C90"/>
    <w:rsid w:val="04F76DD4"/>
    <w:rsid w:val="04F82B4C"/>
    <w:rsid w:val="04F96FF0"/>
    <w:rsid w:val="04FC263C"/>
    <w:rsid w:val="04FD0162"/>
    <w:rsid w:val="05015EA4"/>
    <w:rsid w:val="05033049"/>
    <w:rsid w:val="050339CA"/>
    <w:rsid w:val="050414F1"/>
    <w:rsid w:val="0505360B"/>
    <w:rsid w:val="051200B1"/>
    <w:rsid w:val="0512539C"/>
    <w:rsid w:val="05143E2A"/>
    <w:rsid w:val="051536FE"/>
    <w:rsid w:val="051756C8"/>
    <w:rsid w:val="052676B9"/>
    <w:rsid w:val="05283431"/>
    <w:rsid w:val="052851DF"/>
    <w:rsid w:val="052B1173"/>
    <w:rsid w:val="052C51F6"/>
    <w:rsid w:val="052E656D"/>
    <w:rsid w:val="0530678A"/>
    <w:rsid w:val="05355B4E"/>
    <w:rsid w:val="053718C6"/>
    <w:rsid w:val="05377B18"/>
    <w:rsid w:val="053F5EDC"/>
    <w:rsid w:val="054229B7"/>
    <w:rsid w:val="05461B09"/>
    <w:rsid w:val="054E55EF"/>
    <w:rsid w:val="05502988"/>
    <w:rsid w:val="055406CA"/>
    <w:rsid w:val="055406E4"/>
    <w:rsid w:val="05545FD4"/>
    <w:rsid w:val="05551D4C"/>
    <w:rsid w:val="055661F0"/>
    <w:rsid w:val="055915DD"/>
    <w:rsid w:val="055A7363"/>
    <w:rsid w:val="055C132D"/>
    <w:rsid w:val="055E32F7"/>
    <w:rsid w:val="055E50A5"/>
    <w:rsid w:val="05634469"/>
    <w:rsid w:val="05674700"/>
    <w:rsid w:val="056A3A4A"/>
    <w:rsid w:val="056A658D"/>
    <w:rsid w:val="056B77C2"/>
    <w:rsid w:val="056D7096"/>
    <w:rsid w:val="056F2E0E"/>
    <w:rsid w:val="05700245"/>
    <w:rsid w:val="05752AB7"/>
    <w:rsid w:val="0578335C"/>
    <w:rsid w:val="057C028D"/>
    <w:rsid w:val="057C5C05"/>
    <w:rsid w:val="057E5747"/>
    <w:rsid w:val="058A5E9A"/>
    <w:rsid w:val="058F1702"/>
    <w:rsid w:val="0591547A"/>
    <w:rsid w:val="05924D4E"/>
    <w:rsid w:val="059565ED"/>
    <w:rsid w:val="059960DD"/>
    <w:rsid w:val="05997E8B"/>
    <w:rsid w:val="059C5BCD"/>
    <w:rsid w:val="059D3E1F"/>
    <w:rsid w:val="059E36F3"/>
    <w:rsid w:val="05A47FEE"/>
    <w:rsid w:val="05A52CD4"/>
    <w:rsid w:val="05A625A8"/>
    <w:rsid w:val="05A80ABE"/>
    <w:rsid w:val="05AD3936"/>
    <w:rsid w:val="05AD6162"/>
    <w:rsid w:val="05AD7DDA"/>
    <w:rsid w:val="05AF76AE"/>
    <w:rsid w:val="05B222AB"/>
    <w:rsid w:val="05B35D8B"/>
    <w:rsid w:val="05B607CF"/>
    <w:rsid w:val="05BB6053"/>
    <w:rsid w:val="05BE23CC"/>
    <w:rsid w:val="05C70E9C"/>
    <w:rsid w:val="05CB200E"/>
    <w:rsid w:val="05CC0EC7"/>
    <w:rsid w:val="05CE4FBC"/>
    <w:rsid w:val="05CF7D50"/>
    <w:rsid w:val="05DC421B"/>
    <w:rsid w:val="05DD06BF"/>
    <w:rsid w:val="05E76E48"/>
    <w:rsid w:val="05E80E12"/>
    <w:rsid w:val="05EC0902"/>
    <w:rsid w:val="05F15F19"/>
    <w:rsid w:val="05F9301F"/>
    <w:rsid w:val="05FC53C3"/>
    <w:rsid w:val="05FE23E4"/>
    <w:rsid w:val="060043AE"/>
    <w:rsid w:val="06047504"/>
    <w:rsid w:val="06071298"/>
    <w:rsid w:val="0607573C"/>
    <w:rsid w:val="060F2843"/>
    <w:rsid w:val="060F639F"/>
    <w:rsid w:val="06173888"/>
    <w:rsid w:val="061B2F96"/>
    <w:rsid w:val="061B4D44"/>
    <w:rsid w:val="061C626A"/>
    <w:rsid w:val="06220BE3"/>
    <w:rsid w:val="06257083"/>
    <w:rsid w:val="06274D10"/>
    <w:rsid w:val="062956B3"/>
    <w:rsid w:val="062A142B"/>
    <w:rsid w:val="063B53E6"/>
    <w:rsid w:val="063F4ED6"/>
    <w:rsid w:val="06426774"/>
    <w:rsid w:val="06446F34"/>
    <w:rsid w:val="064918B1"/>
    <w:rsid w:val="064A387B"/>
    <w:rsid w:val="065344DE"/>
    <w:rsid w:val="065B15E4"/>
    <w:rsid w:val="065B7836"/>
    <w:rsid w:val="06604E4C"/>
    <w:rsid w:val="06605F0F"/>
    <w:rsid w:val="06606919"/>
    <w:rsid w:val="06606ACF"/>
    <w:rsid w:val="06624721"/>
    <w:rsid w:val="0664493D"/>
    <w:rsid w:val="066761DB"/>
    <w:rsid w:val="06691F53"/>
    <w:rsid w:val="06695AAF"/>
    <w:rsid w:val="06734B80"/>
    <w:rsid w:val="067526A6"/>
    <w:rsid w:val="0680104B"/>
    <w:rsid w:val="06824DC3"/>
    <w:rsid w:val="06826B71"/>
    <w:rsid w:val="06846D8D"/>
    <w:rsid w:val="068943A3"/>
    <w:rsid w:val="068A3C77"/>
    <w:rsid w:val="068B011B"/>
    <w:rsid w:val="068C79F0"/>
    <w:rsid w:val="068E39BB"/>
    <w:rsid w:val="06913258"/>
    <w:rsid w:val="0692233C"/>
    <w:rsid w:val="06941DCB"/>
    <w:rsid w:val="069A60B5"/>
    <w:rsid w:val="06A05249"/>
    <w:rsid w:val="06A20FC1"/>
    <w:rsid w:val="06A72A7B"/>
    <w:rsid w:val="06A92350"/>
    <w:rsid w:val="06AC1E40"/>
    <w:rsid w:val="06AE5BB8"/>
    <w:rsid w:val="06BA6AA0"/>
    <w:rsid w:val="06BC02D5"/>
    <w:rsid w:val="06C26628"/>
    <w:rsid w:val="06C62F02"/>
    <w:rsid w:val="06C65E08"/>
    <w:rsid w:val="06C947A0"/>
    <w:rsid w:val="06CD24E2"/>
    <w:rsid w:val="06CE625A"/>
    <w:rsid w:val="06D27AF8"/>
    <w:rsid w:val="06D373CC"/>
    <w:rsid w:val="06D47CF1"/>
    <w:rsid w:val="06D66EBD"/>
    <w:rsid w:val="06DA075B"/>
    <w:rsid w:val="06DB44D3"/>
    <w:rsid w:val="06E339A6"/>
    <w:rsid w:val="06E415DA"/>
    <w:rsid w:val="06E635A4"/>
    <w:rsid w:val="06E65352"/>
    <w:rsid w:val="06EE2458"/>
    <w:rsid w:val="06EE4206"/>
    <w:rsid w:val="06F2019A"/>
    <w:rsid w:val="06FA0DFD"/>
    <w:rsid w:val="0702584E"/>
    <w:rsid w:val="07053AED"/>
    <w:rsid w:val="07091040"/>
    <w:rsid w:val="070E2AFA"/>
    <w:rsid w:val="071023CF"/>
    <w:rsid w:val="0712390C"/>
    <w:rsid w:val="07124399"/>
    <w:rsid w:val="07126147"/>
    <w:rsid w:val="071741D7"/>
    <w:rsid w:val="071C5217"/>
    <w:rsid w:val="071F6AB6"/>
    <w:rsid w:val="07204998"/>
    <w:rsid w:val="07222102"/>
    <w:rsid w:val="072365A6"/>
    <w:rsid w:val="07247C28"/>
    <w:rsid w:val="07251AA2"/>
    <w:rsid w:val="07261BF2"/>
    <w:rsid w:val="07267E44"/>
    <w:rsid w:val="072916E2"/>
    <w:rsid w:val="072A5AB9"/>
    <w:rsid w:val="072B545A"/>
    <w:rsid w:val="0732554A"/>
    <w:rsid w:val="073256DB"/>
    <w:rsid w:val="07342561"/>
    <w:rsid w:val="073562D9"/>
    <w:rsid w:val="073E6F3C"/>
    <w:rsid w:val="07462294"/>
    <w:rsid w:val="074A1D85"/>
    <w:rsid w:val="074A2E82"/>
    <w:rsid w:val="074C47F5"/>
    <w:rsid w:val="074D2A37"/>
    <w:rsid w:val="0754467F"/>
    <w:rsid w:val="075524D7"/>
    <w:rsid w:val="0757624F"/>
    <w:rsid w:val="07585B24"/>
    <w:rsid w:val="075C5614"/>
    <w:rsid w:val="07617018"/>
    <w:rsid w:val="07683FB9"/>
    <w:rsid w:val="07691ADF"/>
    <w:rsid w:val="076B1CFB"/>
    <w:rsid w:val="076B5857"/>
    <w:rsid w:val="076D5A73"/>
    <w:rsid w:val="076F3599"/>
    <w:rsid w:val="077010BF"/>
    <w:rsid w:val="07702E6D"/>
    <w:rsid w:val="07753C2C"/>
    <w:rsid w:val="07762B7A"/>
    <w:rsid w:val="0777244E"/>
    <w:rsid w:val="0777297F"/>
    <w:rsid w:val="077B0190"/>
    <w:rsid w:val="077C5CB6"/>
    <w:rsid w:val="07837045"/>
    <w:rsid w:val="07886FC3"/>
    <w:rsid w:val="078F59E9"/>
    <w:rsid w:val="07921036"/>
    <w:rsid w:val="07943000"/>
    <w:rsid w:val="0797664C"/>
    <w:rsid w:val="079832F8"/>
    <w:rsid w:val="079C1EB4"/>
    <w:rsid w:val="07AA2823"/>
    <w:rsid w:val="07AB0349"/>
    <w:rsid w:val="07B2792A"/>
    <w:rsid w:val="07B40FAC"/>
    <w:rsid w:val="07B611C8"/>
    <w:rsid w:val="07B74F5A"/>
    <w:rsid w:val="07BB058C"/>
    <w:rsid w:val="07BB67DE"/>
    <w:rsid w:val="07BC10B3"/>
    <w:rsid w:val="07BD367D"/>
    <w:rsid w:val="07BE58E7"/>
    <w:rsid w:val="07C02047"/>
    <w:rsid w:val="07C35693"/>
    <w:rsid w:val="07C80EFB"/>
    <w:rsid w:val="07C82CA9"/>
    <w:rsid w:val="07CA06EE"/>
    <w:rsid w:val="07CB7718"/>
    <w:rsid w:val="07CC0B06"/>
    <w:rsid w:val="07D16002"/>
    <w:rsid w:val="07D72EEC"/>
    <w:rsid w:val="07D94EB6"/>
    <w:rsid w:val="07D96C64"/>
    <w:rsid w:val="07E13D6B"/>
    <w:rsid w:val="07E21FBD"/>
    <w:rsid w:val="07E6312F"/>
    <w:rsid w:val="07E83054"/>
    <w:rsid w:val="07EA70C4"/>
    <w:rsid w:val="07EC2E3C"/>
    <w:rsid w:val="07EC4BEA"/>
    <w:rsid w:val="07ED0962"/>
    <w:rsid w:val="07EF0236"/>
    <w:rsid w:val="07F43A9E"/>
    <w:rsid w:val="07F81306"/>
    <w:rsid w:val="07FD0345"/>
    <w:rsid w:val="07FD1C3E"/>
    <w:rsid w:val="08000695"/>
    <w:rsid w:val="08055CAB"/>
    <w:rsid w:val="080812F8"/>
    <w:rsid w:val="080A5070"/>
    <w:rsid w:val="080C703A"/>
    <w:rsid w:val="080D4B60"/>
    <w:rsid w:val="081303C8"/>
    <w:rsid w:val="081E0B1B"/>
    <w:rsid w:val="08204893"/>
    <w:rsid w:val="08251EAA"/>
    <w:rsid w:val="08253C58"/>
    <w:rsid w:val="0825634E"/>
    <w:rsid w:val="082B7BE2"/>
    <w:rsid w:val="082C4FE6"/>
    <w:rsid w:val="082D2507"/>
    <w:rsid w:val="082D6FB0"/>
    <w:rsid w:val="082F4AD6"/>
    <w:rsid w:val="08332819"/>
    <w:rsid w:val="0834033F"/>
    <w:rsid w:val="08346591"/>
    <w:rsid w:val="08397703"/>
    <w:rsid w:val="083B791F"/>
    <w:rsid w:val="0842480A"/>
    <w:rsid w:val="08517143"/>
    <w:rsid w:val="0855653B"/>
    <w:rsid w:val="085D0282"/>
    <w:rsid w:val="085E716A"/>
    <w:rsid w:val="086C5D2B"/>
    <w:rsid w:val="08713341"/>
    <w:rsid w:val="087370B9"/>
    <w:rsid w:val="08760957"/>
    <w:rsid w:val="087E15BA"/>
    <w:rsid w:val="087F5A5E"/>
    <w:rsid w:val="0882554E"/>
    <w:rsid w:val="08836BD0"/>
    <w:rsid w:val="088D5927"/>
    <w:rsid w:val="088E3EF3"/>
    <w:rsid w:val="0891753F"/>
    <w:rsid w:val="08931509"/>
    <w:rsid w:val="089A2898"/>
    <w:rsid w:val="08A41020"/>
    <w:rsid w:val="08A47272"/>
    <w:rsid w:val="08A96637"/>
    <w:rsid w:val="08AE1E9F"/>
    <w:rsid w:val="08AE2EFC"/>
    <w:rsid w:val="08B17BE1"/>
    <w:rsid w:val="08B33959"/>
    <w:rsid w:val="08B47C0F"/>
    <w:rsid w:val="08B6248C"/>
    <w:rsid w:val="08BD20E2"/>
    <w:rsid w:val="08C416C3"/>
    <w:rsid w:val="08C47915"/>
    <w:rsid w:val="08C6543B"/>
    <w:rsid w:val="08C85FE2"/>
    <w:rsid w:val="08C9421A"/>
    <w:rsid w:val="08CC3222"/>
    <w:rsid w:val="08CC6344"/>
    <w:rsid w:val="08E04023"/>
    <w:rsid w:val="08E104C7"/>
    <w:rsid w:val="08E6788B"/>
    <w:rsid w:val="08E72291"/>
    <w:rsid w:val="08E753B1"/>
    <w:rsid w:val="08EB30F3"/>
    <w:rsid w:val="08FA6E92"/>
    <w:rsid w:val="09000221"/>
    <w:rsid w:val="09012917"/>
    <w:rsid w:val="09016473"/>
    <w:rsid w:val="09061CDB"/>
    <w:rsid w:val="09067F2D"/>
    <w:rsid w:val="090715AF"/>
    <w:rsid w:val="09075A53"/>
    <w:rsid w:val="091361A6"/>
    <w:rsid w:val="09170399"/>
    <w:rsid w:val="09181A0E"/>
    <w:rsid w:val="091B5D39"/>
    <w:rsid w:val="091D2ACA"/>
    <w:rsid w:val="092403B3"/>
    <w:rsid w:val="09265ED9"/>
    <w:rsid w:val="09267C87"/>
    <w:rsid w:val="09271C52"/>
    <w:rsid w:val="09281478"/>
    <w:rsid w:val="092C1016"/>
    <w:rsid w:val="092D6686"/>
    <w:rsid w:val="092E1232"/>
    <w:rsid w:val="093027F5"/>
    <w:rsid w:val="09304AAA"/>
    <w:rsid w:val="09320D22"/>
    <w:rsid w:val="09412D13"/>
    <w:rsid w:val="09436A8B"/>
    <w:rsid w:val="094620D8"/>
    <w:rsid w:val="09497E1A"/>
    <w:rsid w:val="094C3466"/>
    <w:rsid w:val="09570789"/>
    <w:rsid w:val="09652EA6"/>
    <w:rsid w:val="096609CC"/>
    <w:rsid w:val="096674B8"/>
    <w:rsid w:val="096B19D5"/>
    <w:rsid w:val="096B4234"/>
    <w:rsid w:val="096B6777"/>
    <w:rsid w:val="096D1D5A"/>
    <w:rsid w:val="096E0EE2"/>
    <w:rsid w:val="096E162E"/>
    <w:rsid w:val="096F1582"/>
    <w:rsid w:val="096F5AD2"/>
    <w:rsid w:val="0972387D"/>
    <w:rsid w:val="097529BD"/>
    <w:rsid w:val="097E7AC3"/>
    <w:rsid w:val="098F7F23"/>
    <w:rsid w:val="09904389"/>
    <w:rsid w:val="099217C1"/>
    <w:rsid w:val="0995305F"/>
    <w:rsid w:val="099948FD"/>
    <w:rsid w:val="099D3652"/>
    <w:rsid w:val="09A3577C"/>
    <w:rsid w:val="09A3752A"/>
    <w:rsid w:val="09A514F4"/>
    <w:rsid w:val="09A6526C"/>
    <w:rsid w:val="09A84B40"/>
    <w:rsid w:val="09AB4631"/>
    <w:rsid w:val="09B07E99"/>
    <w:rsid w:val="09B41737"/>
    <w:rsid w:val="09B5725D"/>
    <w:rsid w:val="09B74D83"/>
    <w:rsid w:val="09B94F9F"/>
    <w:rsid w:val="09BA4874"/>
    <w:rsid w:val="09BC05EC"/>
    <w:rsid w:val="09C3197A"/>
    <w:rsid w:val="09C6146A"/>
    <w:rsid w:val="09C63218"/>
    <w:rsid w:val="09CB6089"/>
    <w:rsid w:val="09CB6A81"/>
    <w:rsid w:val="09D04097"/>
    <w:rsid w:val="09DD2A0F"/>
    <w:rsid w:val="09E27849"/>
    <w:rsid w:val="09E65669"/>
    <w:rsid w:val="09E84F7C"/>
    <w:rsid w:val="09E85885"/>
    <w:rsid w:val="09E85B5D"/>
    <w:rsid w:val="09EA39F6"/>
    <w:rsid w:val="09EF276F"/>
    <w:rsid w:val="09F00295"/>
    <w:rsid w:val="09F61D50"/>
    <w:rsid w:val="09F77876"/>
    <w:rsid w:val="09F91840"/>
    <w:rsid w:val="09FC4E8C"/>
    <w:rsid w:val="09FE0C04"/>
    <w:rsid w:val="0A0501E5"/>
    <w:rsid w:val="0A053D41"/>
    <w:rsid w:val="0A1343A8"/>
    <w:rsid w:val="0A1641A0"/>
    <w:rsid w:val="0A173A74"/>
    <w:rsid w:val="0A1A7ACF"/>
    <w:rsid w:val="0A1B3564"/>
    <w:rsid w:val="0A1E12A6"/>
    <w:rsid w:val="0A2166A1"/>
    <w:rsid w:val="0A232419"/>
    <w:rsid w:val="0A272508"/>
    <w:rsid w:val="0A2D5046"/>
    <w:rsid w:val="0A314B36"/>
    <w:rsid w:val="0A342878"/>
    <w:rsid w:val="0A3B7763"/>
    <w:rsid w:val="0A3E5BBE"/>
    <w:rsid w:val="0A3E7253"/>
    <w:rsid w:val="0A40121D"/>
    <w:rsid w:val="0A4D56E8"/>
    <w:rsid w:val="0A4E0AD2"/>
    <w:rsid w:val="0A4F320E"/>
    <w:rsid w:val="0A51342A"/>
    <w:rsid w:val="0A514576"/>
    <w:rsid w:val="0A590531"/>
    <w:rsid w:val="0A5D525B"/>
    <w:rsid w:val="0A5D5410"/>
    <w:rsid w:val="0A60366D"/>
    <w:rsid w:val="0A603F05"/>
    <w:rsid w:val="0A622F41"/>
    <w:rsid w:val="0A6A0048"/>
    <w:rsid w:val="0A726EFC"/>
    <w:rsid w:val="0A7C7012"/>
    <w:rsid w:val="0A805ABD"/>
    <w:rsid w:val="0A816714"/>
    <w:rsid w:val="0A8235E3"/>
    <w:rsid w:val="0A833B0A"/>
    <w:rsid w:val="0A8455AD"/>
    <w:rsid w:val="0A84735B"/>
    <w:rsid w:val="0A870BFA"/>
    <w:rsid w:val="0A8729A8"/>
    <w:rsid w:val="0A8C4462"/>
    <w:rsid w:val="0A8D16B6"/>
    <w:rsid w:val="0A8D3D36"/>
    <w:rsid w:val="0A8F3F52"/>
    <w:rsid w:val="0A8F7AAE"/>
    <w:rsid w:val="0A962768"/>
    <w:rsid w:val="0AA132EE"/>
    <w:rsid w:val="0AA417AC"/>
    <w:rsid w:val="0AA438A7"/>
    <w:rsid w:val="0AAB3EAF"/>
    <w:rsid w:val="0AAE7FA2"/>
    <w:rsid w:val="0AB10AB1"/>
    <w:rsid w:val="0AB47515"/>
    <w:rsid w:val="0AB87005"/>
    <w:rsid w:val="0ABA2D7D"/>
    <w:rsid w:val="0AC0410C"/>
    <w:rsid w:val="0AC21C32"/>
    <w:rsid w:val="0AC36727"/>
    <w:rsid w:val="0AC91212"/>
    <w:rsid w:val="0AC97464"/>
    <w:rsid w:val="0ACA0AE6"/>
    <w:rsid w:val="0ACE4A7B"/>
    <w:rsid w:val="0ACE6829"/>
    <w:rsid w:val="0AD007F3"/>
    <w:rsid w:val="0AD100C7"/>
    <w:rsid w:val="0AD11E75"/>
    <w:rsid w:val="0AD55E09"/>
    <w:rsid w:val="0ADD081A"/>
    <w:rsid w:val="0ADF27E4"/>
    <w:rsid w:val="0ADF4592"/>
    <w:rsid w:val="0AE0655C"/>
    <w:rsid w:val="0AE47DFA"/>
    <w:rsid w:val="0AEC4F01"/>
    <w:rsid w:val="0AEC7E43"/>
    <w:rsid w:val="0AEE0C79"/>
    <w:rsid w:val="0AF017BA"/>
    <w:rsid w:val="0AF02C43"/>
    <w:rsid w:val="0AF10769"/>
    <w:rsid w:val="0AF50259"/>
    <w:rsid w:val="0AFA13CC"/>
    <w:rsid w:val="0AFC15E8"/>
    <w:rsid w:val="0B016BFE"/>
    <w:rsid w:val="0B022976"/>
    <w:rsid w:val="0B024724"/>
    <w:rsid w:val="0B04049C"/>
    <w:rsid w:val="0B073AE9"/>
    <w:rsid w:val="0B074F16"/>
    <w:rsid w:val="0B097861"/>
    <w:rsid w:val="0B0A2510"/>
    <w:rsid w:val="0B0A5387"/>
    <w:rsid w:val="0B0E131B"/>
    <w:rsid w:val="0B16508E"/>
    <w:rsid w:val="0B166BF4"/>
    <w:rsid w:val="0B2041FA"/>
    <w:rsid w:val="0B236202"/>
    <w:rsid w:val="0B261376"/>
    <w:rsid w:val="0B2621C1"/>
    <w:rsid w:val="0B293A5F"/>
    <w:rsid w:val="0B297F03"/>
    <w:rsid w:val="0B2C5E24"/>
    <w:rsid w:val="0B3218B5"/>
    <w:rsid w:val="0B36617C"/>
    <w:rsid w:val="0B381EF4"/>
    <w:rsid w:val="0B3D39AE"/>
    <w:rsid w:val="0B3D750A"/>
    <w:rsid w:val="0B403CB2"/>
    <w:rsid w:val="0B446AEB"/>
    <w:rsid w:val="0B46416C"/>
    <w:rsid w:val="0B495EAF"/>
    <w:rsid w:val="0B4B540D"/>
    <w:rsid w:val="0B4C42DB"/>
    <w:rsid w:val="0B4E5BBB"/>
    <w:rsid w:val="0B534F80"/>
    <w:rsid w:val="0B550CF8"/>
    <w:rsid w:val="0B5605CC"/>
    <w:rsid w:val="0B57681E"/>
    <w:rsid w:val="0B5F1B77"/>
    <w:rsid w:val="0B5F3925"/>
    <w:rsid w:val="0B64718D"/>
    <w:rsid w:val="0B6576F5"/>
    <w:rsid w:val="0B7102DF"/>
    <w:rsid w:val="0B745622"/>
    <w:rsid w:val="0B755AA9"/>
    <w:rsid w:val="0B7A075E"/>
    <w:rsid w:val="0B7F42FD"/>
    <w:rsid w:val="0B811AED"/>
    <w:rsid w:val="0B8213C1"/>
    <w:rsid w:val="0B845139"/>
    <w:rsid w:val="0B8769D7"/>
    <w:rsid w:val="0B8909A2"/>
    <w:rsid w:val="0B896BF3"/>
    <w:rsid w:val="0B8C5471"/>
    <w:rsid w:val="0B8C6B1D"/>
    <w:rsid w:val="0B901D30"/>
    <w:rsid w:val="0B905282"/>
    <w:rsid w:val="0B974E6D"/>
    <w:rsid w:val="0B9C2483"/>
    <w:rsid w:val="0B9E269F"/>
    <w:rsid w:val="0BA13F3D"/>
    <w:rsid w:val="0BA648D7"/>
    <w:rsid w:val="0BA80E28"/>
    <w:rsid w:val="0BAE0408"/>
    <w:rsid w:val="0BB023D2"/>
    <w:rsid w:val="0BB2614A"/>
    <w:rsid w:val="0BB377CC"/>
    <w:rsid w:val="0BB43C70"/>
    <w:rsid w:val="0BB51797"/>
    <w:rsid w:val="0BB772BD"/>
    <w:rsid w:val="0BB974D9"/>
    <w:rsid w:val="0BBA6DAD"/>
    <w:rsid w:val="0BC56019"/>
    <w:rsid w:val="0BC67500"/>
    <w:rsid w:val="0BC96FF0"/>
    <w:rsid w:val="0BCB2D68"/>
    <w:rsid w:val="0BD55995"/>
    <w:rsid w:val="0BD7170D"/>
    <w:rsid w:val="0BD936D7"/>
    <w:rsid w:val="0BDC6D23"/>
    <w:rsid w:val="0BE56668"/>
    <w:rsid w:val="0BE61950"/>
    <w:rsid w:val="0BEB731D"/>
    <w:rsid w:val="0BF137C2"/>
    <w:rsid w:val="0BF70001"/>
    <w:rsid w:val="0BF86793"/>
    <w:rsid w:val="0BFA364D"/>
    <w:rsid w:val="0BFB189F"/>
    <w:rsid w:val="0BFC5617"/>
    <w:rsid w:val="0BFC73C5"/>
    <w:rsid w:val="0BFD099E"/>
    <w:rsid w:val="0BFD70B9"/>
    <w:rsid w:val="0BFE4EEC"/>
    <w:rsid w:val="0C0B25F5"/>
    <w:rsid w:val="0C0D3381"/>
    <w:rsid w:val="0C173769"/>
    <w:rsid w:val="0C197F77"/>
    <w:rsid w:val="0C1E558E"/>
    <w:rsid w:val="0C2030B4"/>
    <w:rsid w:val="0C210BDA"/>
    <w:rsid w:val="0C2228AF"/>
    <w:rsid w:val="0C28640C"/>
    <w:rsid w:val="0C2972BF"/>
    <w:rsid w:val="0C2B1A59"/>
    <w:rsid w:val="0C2C7CAB"/>
    <w:rsid w:val="0C2D757F"/>
    <w:rsid w:val="0C3703FE"/>
    <w:rsid w:val="0C3721AC"/>
    <w:rsid w:val="0C396DB4"/>
    <w:rsid w:val="0C3B7EEE"/>
    <w:rsid w:val="0C3C2038"/>
    <w:rsid w:val="0C3E178C"/>
    <w:rsid w:val="0C48260B"/>
    <w:rsid w:val="0C4F5747"/>
    <w:rsid w:val="0C5C1C12"/>
    <w:rsid w:val="0C5D60B6"/>
    <w:rsid w:val="0C5E1E2E"/>
    <w:rsid w:val="0C62191E"/>
    <w:rsid w:val="0C64719F"/>
    <w:rsid w:val="0C6A432F"/>
    <w:rsid w:val="0C71390F"/>
    <w:rsid w:val="0C7358DA"/>
    <w:rsid w:val="0C747A7F"/>
    <w:rsid w:val="0C782EF0"/>
    <w:rsid w:val="0C7927C4"/>
    <w:rsid w:val="0C811679"/>
    <w:rsid w:val="0C8278CB"/>
    <w:rsid w:val="0C886EAB"/>
    <w:rsid w:val="0C8C63AB"/>
    <w:rsid w:val="0C945850"/>
    <w:rsid w:val="0C9615C8"/>
    <w:rsid w:val="0C9B273A"/>
    <w:rsid w:val="0C9F66CF"/>
    <w:rsid w:val="0CA45576"/>
    <w:rsid w:val="0CA5180B"/>
    <w:rsid w:val="0CA75583"/>
    <w:rsid w:val="0CA830A9"/>
    <w:rsid w:val="0CAF4438"/>
    <w:rsid w:val="0CB34126"/>
    <w:rsid w:val="0CB47CA0"/>
    <w:rsid w:val="0CB56E1A"/>
    <w:rsid w:val="0CB63A18"/>
    <w:rsid w:val="0CB83977"/>
    <w:rsid w:val="0CBF0517"/>
    <w:rsid w:val="0CC06645"/>
    <w:rsid w:val="0CC25F19"/>
    <w:rsid w:val="0CC26D79"/>
    <w:rsid w:val="0CC31C91"/>
    <w:rsid w:val="0CC779D3"/>
    <w:rsid w:val="0CC872A8"/>
    <w:rsid w:val="0CCA3020"/>
    <w:rsid w:val="0CD13741"/>
    <w:rsid w:val="0CD43E9E"/>
    <w:rsid w:val="0CD914B5"/>
    <w:rsid w:val="0CD949B1"/>
    <w:rsid w:val="0CDE6ACB"/>
    <w:rsid w:val="0CE00A95"/>
    <w:rsid w:val="0CF22138"/>
    <w:rsid w:val="0CF2583E"/>
    <w:rsid w:val="0CF7474D"/>
    <w:rsid w:val="0CF956B3"/>
    <w:rsid w:val="0CFB7D4B"/>
    <w:rsid w:val="0CFC11DB"/>
    <w:rsid w:val="0CFD51A3"/>
    <w:rsid w:val="0D00272D"/>
    <w:rsid w:val="0D026C5D"/>
    <w:rsid w:val="0D046532"/>
    <w:rsid w:val="0D0C188A"/>
    <w:rsid w:val="0D0C53E6"/>
    <w:rsid w:val="0D132C19"/>
    <w:rsid w:val="0D156991"/>
    <w:rsid w:val="0D18022F"/>
    <w:rsid w:val="0D183D8B"/>
    <w:rsid w:val="0D1B387B"/>
    <w:rsid w:val="0D1C07C5"/>
    <w:rsid w:val="0D1D75F3"/>
    <w:rsid w:val="0D224C0A"/>
    <w:rsid w:val="0D2546FA"/>
    <w:rsid w:val="0D2A1D10"/>
    <w:rsid w:val="0D3112F1"/>
    <w:rsid w:val="0D352B8F"/>
    <w:rsid w:val="0D3917C9"/>
    <w:rsid w:val="0D3A01A5"/>
    <w:rsid w:val="0D3A1F53"/>
    <w:rsid w:val="0D3F57BC"/>
    <w:rsid w:val="0D3F6730"/>
    <w:rsid w:val="0D4123A0"/>
    <w:rsid w:val="0D442DD2"/>
    <w:rsid w:val="0D444B80"/>
    <w:rsid w:val="0D447276"/>
    <w:rsid w:val="0D4479B6"/>
    <w:rsid w:val="0D470C66"/>
    <w:rsid w:val="0D4E1033"/>
    <w:rsid w:val="0D570D57"/>
    <w:rsid w:val="0D584ACF"/>
    <w:rsid w:val="0D58687D"/>
    <w:rsid w:val="0D5A25F6"/>
    <w:rsid w:val="0D5D3E94"/>
    <w:rsid w:val="0D63594E"/>
    <w:rsid w:val="0D692839"/>
    <w:rsid w:val="0D6D057B"/>
    <w:rsid w:val="0D6E7E4F"/>
    <w:rsid w:val="0D6F0D16"/>
    <w:rsid w:val="0D725B91"/>
    <w:rsid w:val="0D727E7E"/>
    <w:rsid w:val="0D73006D"/>
    <w:rsid w:val="0D735465"/>
    <w:rsid w:val="0D774F56"/>
    <w:rsid w:val="0D7868C1"/>
    <w:rsid w:val="0D7C256C"/>
    <w:rsid w:val="0D7F3E0A"/>
    <w:rsid w:val="0D813912"/>
    <w:rsid w:val="0D8238FA"/>
    <w:rsid w:val="0D830E03"/>
    <w:rsid w:val="0D8633EB"/>
    <w:rsid w:val="0D892EDB"/>
    <w:rsid w:val="0D8A0F09"/>
    <w:rsid w:val="0D8B27AF"/>
    <w:rsid w:val="0D8B6C53"/>
    <w:rsid w:val="0D951880"/>
    <w:rsid w:val="0D9553DC"/>
    <w:rsid w:val="0D9C676A"/>
    <w:rsid w:val="0D9E6986"/>
    <w:rsid w:val="0D9F26FE"/>
    <w:rsid w:val="0D9F625A"/>
    <w:rsid w:val="0DA675E9"/>
    <w:rsid w:val="0DA73361"/>
    <w:rsid w:val="0DAE3513"/>
    <w:rsid w:val="0DB00467"/>
    <w:rsid w:val="0DB53CD0"/>
    <w:rsid w:val="0DB735A4"/>
    <w:rsid w:val="0DBA7538"/>
    <w:rsid w:val="0DBD4932"/>
    <w:rsid w:val="0DC91529"/>
    <w:rsid w:val="0DC932D7"/>
    <w:rsid w:val="0DD3024F"/>
    <w:rsid w:val="0DDF2AFB"/>
    <w:rsid w:val="0DE10621"/>
    <w:rsid w:val="0DE325EB"/>
    <w:rsid w:val="0DE819AF"/>
    <w:rsid w:val="0DEC6932"/>
    <w:rsid w:val="0DF30354"/>
    <w:rsid w:val="0DF41725"/>
    <w:rsid w:val="0DF76096"/>
    <w:rsid w:val="0DF814C0"/>
    <w:rsid w:val="0DF91E0E"/>
    <w:rsid w:val="0DF92677"/>
    <w:rsid w:val="0DFA5954"/>
    <w:rsid w:val="0DFA5B87"/>
    <w:rsid w:val="0DFE5677"/>
    <w:rsid w:val="0DFF42CC"/>
    <w:rsid w:val="0E010CC3"/>
    <w:rsid w:val="0E0367E9"/>
    <w:rsid w:val="0E06277D"/>
    <w:rsid w:val="0E0B7D94"/>
    <w:rsid w:val="0E0E518E"/>
    <w:rsid w:val="0E12064D"/>
    <w:rsid w:val="0E122ED0"/>
    <w:rsid w:val="0E124C7E"/>
    <w:rsid w:val="0E1529C0"/>
    <w:rsid w:val="0E15651D"/>
    <w:rsid w:val="0E176AC7"/>
    <w:rsid w:val="0E1B7FD7"/>
    <w:rsid w:val="0E214EC1"/>
    <w:rsid w:val="0E2359FB"/>
    <w:rsid w:val="0E236E8B"/>
    <w:rsid w:val="0E2826F4"/>
    <w:rsid w:val="0E294D31"/>
    <w:rsid w:val="0E2B3F92"/>
    <w:rsid w:val="0E323572"/>
    <w:rsid w:val="0E377A2F"/>
    <w:rsid w:val="0E377D9A"/>
    <w:rsid w:val="0E39220B"/>
    <w:rsid w:val="0E3A41D5"/>
    <w:rsid w:val="0E3A5F83"/>
    <w:rsid w:val="0E3C7F4D"/>
    <w:rsid w:val="0E43752E"/>
    <w:rsid w:val="0E4868F2"/>
    <w:rsid w:val="0E4A266A"/>
    <w:rsid w:val="0E4A607C"/>
    <w:rsid w:val="0E4B63E2"/>
    <w:rsid w:val="0E4D5CB6"/>
    <w:rsid w:val="0E51617F"/>
    <w:rsid w:val="0E552DBD"/>
    <w:rsid w:val="0E583D51"/>
    <w:rsid w:val="0E5A6F6C"/>
    <w:rsid w:val="0E5B6625"/>
    <w:rsid w:val="0E5C4F90"/>
    <w:rsid w:val="0E5E4367"/>
    <w:rsid w:val="0E601E8E"/>
    <w:rsid w:val="0E63372C"/>
    <w:rsid w:val="0E653000"/>
    <w:rsid w:val="0E6730AE"/>
    <w:rsid w:val="0E686875"/>
    <w:rsid w:val="0E6D108F"/>
    <w:rsid w:val="0E744B61"/>
    <w:rsid w:val="0E796AAB"/>
    <w:rsid w:val="0E7B0A75"/>
    <w:rsid w:val="0E7C241F"/>
    <w:rsid w:val="0E820056"/>
    <w:rsid w:val="0E8611C8"/>
    <w:rsid w:val="0E8A2A67"/>
    <w:rsid w:val="0E8C4A31"/>
    <w:rsid w:val="0E8D2557"/>
    <w:rsid w:val="0E8F2773"/>
    <w:rsid w:val="0E963B01"/>
    <w:rsid w:val="0E9733D5"/>
    <w:rsid w:val="0E9D4E90"/>
    <w:rsid w:val="0E9D6C3E"/>
    <w:rsid w:val="0E9E6512"/>
    <w:rsid w:val="0EA33504"/>
    <w:rsid w:val="0EA61D7D"/>
    <w:rsid w:val="0EA87391"/>
    <w:rsid w:val="0EAA4EB7"/>
    <w:rsid w:val="0EAB2689"/>
    <w:rsid w:val="0EAF24CD"/>
    <w:rsid w:val="0EAF4BC3"/>
    <w:rsid w:val="0EAF5039"/>
    <w:rsid w:val="0EB2020F"/>
    <w:rsid w:val="0EB45D35"/>
    <w:rsid w:val="0EB6385C"/>
    <w:rsid w:val="0EB67D00"/>
    <w:rsid w:val="0EC20452"/>
    <w:rsid w:val="0EC27511"/>
    <w:rsid w:val="0EC3241C"/>
    <w:rsid w:val="0EC8358F"/>
    <w:rsid w:val="0EC85C7C"/>
    <w:rsid w:val="0ECA37AB"/>
    <w:rsid w:val="0ED14B39"/>
    <w:rsid w:val="0ED40186"/>
    <w:rsid w:val="0ED62150"/>
    <w:rsid w:val="0ED7095E"/>
    <w:rsid w:val="0EDC703A"/>
    <w:rsid w:val="0EE26D46"/>
    <w:rsid w:val="0EEA5BFB"/>
    <w:rsid w:val="0EEC54CF"/>
    <w:rsid w:val="0EED1247"/>
    <w:rsid w:val="0EF12AE6"/>
    <w:rsid w:val="0EF16F8A"/>
    <w:rsid w:val="0EF45E39"/>
    <w:rsid w:val="0EF56A7A"/>
    <w:rsid w:val="0EF645A0"/>
    <w:rsid w:val="0EFB3964"/>
    <w:rsid w:val="0EFB5712"/>
    <w:rsid w:val="0EFC26D1"/>
    <w:rsid w:val="0F000F7B"/>
    <w:rsid w:val="0F022F45"/>
    <w:rsid w:val="0F047233"/>
    <w:rsid w:val="0F0740B7"/>
    <w:rsid w:val="0F0A004B"/>
    <w:rsid w:val="0F0C5B71"/>
    <w:rsid w:val="0F0E23D3"/>
    <w:rsid w:val="0F0E7B3C"/>
    <w:rsid w:val="0F1D38DB"/>
    <w:rsid w:val="0F1F3AF7"/>
    <w:rsid w:val="0F205179"/>
    <w:rsid w:val="0F234C69"/>
    <w:rsid w:val="0F261F26"/>
    <w:rsid w:val="0F274759"/>
    <w:rsid w:val="0F276507"/>
    <w:rsid w:val="0F2904D1"/>
    <w:rsid w:val="0F2C7B80"/>
    <w:rsid w:val="0F2F360E"/>
    <w:rsid w:val="0F2F692A"/>
    <w:rsid w:val="0F3155D8"/>
    <w:rsid w:val="0F33193C"/>
    <w:rsid w:val="0F340C24"/>
    <w:rsid w:val="0F35736D"/>
    <w:rsid w:val="0F386966"/>
    <w:rsid w:val="0F3B1FB3"/>
    <w:rsid w:val="0F3D5D2B"/>
    <w:rsid w:val="0F403A6D"/>
    <w:rsid w:val="0F4157BD"/>
    <w:rsid w:val="0F461BB7"/>
    <w:rsid w:val="0F4C05FA"/>
    <w:rsid w:val="0F4C2412"/>
    <w:rsid w:val="0F4C5F6E"/>
    <w:rsid w:val="0F4E7F38"/>
    <w:rsid w:val="0F5337A0"/>
    <w:rsid w:val="0F582B65"/>
    <w:rsid w:val="0F5D3686"/>
    <w:rsid w:val="0F5F3EF3"/>
    <w:rsid w:val="0F5F5CA1"/>
    <w:rsid w:val="0F661726"/>
    <w:rsid w:val="0F6634D4"/>
    <w:rsid w:val="0F690CF3"/>
    <w:rsid w:val="0F694E1E"/>
    <w:rsid w:val="0F713C26"/>
    <w:rsid w:val="0F76123D"/>
    <w:rsid w:val="0F76748F"/>
    <w:rsid w:val="0F7934C0"/>
    <w:rsid w:val="0F80090A"/>
    <w:rsid w:val="0F827239"/>
    <w:rsid w:val="0F831278"/>
    <w:rsid w:val="0F84395A"/>
    <w:rsid w:val="0F865924"/>
    <w:rsid w:val="0F8676D2"/>
    <w:rsid w:val="0F8C0A60"/>
    <w:rsid w:val="0F904291"/>
    <w:rsid w:val="0F9067A2"/>
    <w:rsid w:val="0F930041"/>
    <w:rsid w:val="0F9718DF"/>
    <w:rsid w:val="0F9811B3"/>
    <w:rsid w:val="0F9F2542"/>
    <w:rsid w:val="0FA062BA"/>
    <w:rsid w:val="0FA515ED"/>
    <w:rsid w:val="0FA66633"/>
    <w:rsid w:val="0FAB7138"/>
    <w:rsid w:val="0FB36B88"/>
    <w:rsid w:val="0FB73D2F"/>
    <w:rsid w:val="0FB76D11"/>
    <w:rsid w:val="0FBD50BE"/>
    <w:rsid w:val="0FC246CB"/>
    <w:rsid w:val="0FCB4AC4"/>
    <w:rsid w:val="0FD03043"/>
    <w:rsid w:val="0FD06B9F"/>
    <w:rsid w:val="0FD22917"/>
    <w:rsid w:val="0FD63FD1"/>
    <w:rsid w:val="0FD85A54"/>
    <w:rsid w:val="0FDA17CC"/>
    <w:rsid w:val="0FDF5034"/>
    <w:rsid w:val="0FE34B24"/>
    <w:rsid w:val="0FE4089C"/>
    <w:rsid w:val="0FE443F8"/>
    <w:rsid w:val="0FE64614"/>
    <w:rsid w:val="0FE74F56"/>
    <w:rsid w:val="0FE95EB3"/>
    <w:rsid w:val="0FEB39D9"/>
    <w:rsid w:val="0FF87EA4"/>
    <w:rsid w:val="0FFB0198"/>
    <w:rsid w:val="0FFB0EEC"/>
    <w:rsid w:val="0FFF1232"/>
    <w:rsid w:val="0FFF56D6"/>
    <w:rsid w:val="10036F74"/>
    <w:rsid w:val="1004625C"/>
    <w:rsid w:val="100859D0"/>
    <w:rsid w:val="100C1E2E"/>
    <w:rsid w:val="10150A56"/>
    <w:rsid w:val="10174316"/>
    <w:rsid w:val="101747CE"/>
    <w:rsid w:val="102050E7"/>
    <w:rsid w:val="10207B26"/>
    <w:rsid w:val="10240C99"/>
    <w:rsid w:val="10262C63"/>
    <w:rsid w:val="10284C2D"/>
    <w:rsid w:val="102B64CB"/>
    <w:rsid w:val="102D3FF1"/>
    <w:rsid w:val="103274FC"/>
    <w:rsid w:val="10345380"/>
    <w:rsid w:val="103709CC"/>
    <w:rsid w:val="10373017"/>
    <w:rsid w:val="10374E70"/>
    <w:rsid w:val="103E7FAD"/>
    <w:rsid w:val="103F3D25"/>
    <w:rsid w:val="10437371"/>
    <w:rsid w:val="104430E9"/>
    <w:rsid w:val="10466E61"/>
    <w:rsid w:val="10482BD9"/>
    <w:rsid w:val="104B091B"/>
    <w:rsid w:val="104E5D16"/>
    <w:rsid w:val="105570A4"/>
    <w:rsid w:val="1057106E"/>
    <w:rsid w:val="10572E1C"/>
    <w:rsid w:val="105741DB"/>
    <w:rsid w:val="105A46BB"/>
    <w:rsid w:val="105D1F82"/>
    <w:rsid w:val="106043C7"/>
    <w:rsid w:val="106317C1"/>
    <w:rsid w:val="1065238B"/>
    <w:rsid w:val="106612B1"/>
    <w:rsid w:val="10671757"/>
    <w:rsid w:val="106D32AB"/>
    <w:rsid w:val="10753310"/>
    <w:rsid w:val="10797237"/>
    <w:rsid w:val="1080157A"/>
    <w:rsid w:val="10844541"/>
    <w:rsid w:val="108459C8"/>
    <w:rsid w:val="10857989"/>
    <w:rsid w:val="108616C4"/>
    <w:rsid w:val="10863702"/>
    <w:rsid w:val="108654B0"/>
    <w:rsid w:val="108A1444"/>
    <w:rsid w:val="108B0D18"/>
    <w:rsid w:val="10945E1E"/>
    <w:rsid w:val="10947BCD"/>
    <w:rsid w:val="10961B97"/>
    <w:rsid w:val="10967DE9"/>
    <w:rsid w:val="109776BD"/>
    <w:rsid w:val="109B1600"/>
    <w:rsid w:val="109B71AD"/>
    <w:rsid w:val="109D1177"/>
    <w:rsid w:val="109E4EEF"/>
    <w:rsid w:val="10A36C50"/>
    <w:rsid w:val="10A5627E"/>
    <w:rsid w:val="10A83678"/>
    <w:rsid w:val="10AA3894"/>
    <w:rsid w:val="10B244F7"/>
    <w:rsid w:val="10B262A5"/>
    <w:rsid w:val="10B65D95"/>
    <w:rsid w:val="10C06C14"/>
    <w:rsid w:val="10C20BDE"/>
    <w:rsid w:val="10C66B57"/>
    <w:rsid w:val="10CA7A92"/>
    <w:rsid w:val="10CD526C"/>
    <w:rsid w:val="10D34B99"/>
    <w:rsid w:val="10D95F27"/>
    <w:rsid w:val="10DB57FB"/>
    <w:rsid w:val="10DC1574"/>
    <w:rsid w:val="10DC585A"/>
    <w:rsid w:val="10DE20C5"/>
    <w:rsid w:val="10E072B6"/>
    <w:rsid w:val="10E30B54"/>
    <w:rsid w:val="10E70A61"/>
    <w:rsid w:val="10E93381"/>
    <w:rsid w:val="10EF574B"/>
    <w:rsid w:val="10F863AD"/>
    <w:rsid w:val="10FB7C4C"/>
    <w:rsid w:val="10FE773C"/>
    <w:rsid w:val="11036B00"/>
    <w:rsid w:val="11056D1C"/>
    <w:rsid w:val="110805BA"/>
    <w:rsid w:val="1109680C"/>
    <w:rsid w:val="110A4333"/>
    <w:rsid w:val="110A7E8F"/>
    <w:rsid w:val="110C00AB"/>
    <w:rsid w:val="110C1E59"/>
    <w:rsid w:val="110E3E23"/>
    <w:rsid w:val="110F1949"/>
    <w:rsid w:val="1111121D"/>
    <w:rsid w:val="11186A50"/>
    <w:rsid w:val="111927C8"/>
    <w:rsid w:val="111C620F"/>
    <w:rsid w:val="111D5E14"/>
    <w:rsid w:val="111D7BC2"/>
    <w:rsid w:val="111F7DDE"/>
    <w:rsid w:val="112C42A9"/>
    <w:rsid w:val="112E0021"/>
    <w:rsid w:val="112F5036"/>
    <w:rsid w:val="11301FEB"/>
    <w:rsid w:val="1134315E"/>
    <w:rsid w:val="11382C4E"/>
    <w:rsid w:val="113E2CEA"/>
    <w:rsid w:val="11423ACC"/>
    <w:rsid w:val="114415F3"/>
    <w:rsid w:val="114809B7"/>
    <w:rsid w:val="114A0BD3"/>
    <w:rsid w:val="114C494B"/>
    <w:rsid w:val="114C66F9"/>
    <w:rsid w:val="11502A5D"/>
    <w:rsid w:val="11511160"/>
    <w:rsid w:val="11551A52"/>
    <w:rsid w:val="115832F0"/>
    <w:rsid w:val="1158509E"/>
    <w:rsid w:val="11592BC4"/>
    <w:rsid w:val="115B4DE3"/>
    <w:rsid w:val="11603F53"/>
    <w:rsid w:val="11643A43"/>
    <w:rsid w:val="116577BB"/>
    <w:rsid w:val="11665A0D"/>
    <w:rsid w:val="11692E07"/>
    <w:rsid w:val="116C28F7"/>
    <w:rsid w:val="1170063A"/>
    <w:rsid w:val="11731ED8"/>
    <w:rsid w:val="117417AC"/>
    <w:rsid w:val="117619C8"/>
    <w:rsid w:val="117874EE"/>
    <w:rsid w:val="117B6FDE"/>
    <w:rsid w:val="117D2D56"/>
    <w:rsid w:val="11847C41"/>
    <w:rsid w:val="11851C0B"/>
    <w:rsid w:val="11895257"/>
    <w:rsid w:val="118B7BB0"/>
    <w:rsid w:val="118E6D12"/>
    <w:rsid w:val="11902A8A"/>
    <w:rsid w:val="11910E95"/>
    <w:rsid w:val="11934328"/>
    <w:rsid w:val="119F0F1F"/>
    <w:rsid w:val="11A025A1"/>
    <w:rsid w:val="11A24439"/>
    <w:rsid w:val="11A26319"/>
    <w:rsid w:val="11A93B4C"/>
    <w:rsid w:val="11AE1162"/>
    <w:rsid w:val="11B2449C"/>
    <w:rsid w:val="11B524F0"/>
    <w:rsid w:val="11B5429E"/>
    <w:rsid w:val="11B61DC5"/>
    <w:rsid w:val="11B96328"/>
    <w:rsid w:val="11BA18B5"/>
    <w:rsid w:val="11BF6ECB"/>
    <w:rsid w:val="11C12C43"/>
    <w:rsid w:val="11C73FD2"/>
    <w:rsid w:val="11C91AF8"/>
    <w:rsid w:val="11C95F9C"/>
    <w:rsid w:val="11C97D4A"/>
    <w:rsid w:val="11D010D8"/>
    <w:rsid w:val="11D64215"/>
    <w:rsid w:val="11D84431"/>
    <w:rsid w:val="11D97647"/>
    <w:rsid w:val="11DC2D1E"/>
    <w:rsid w:val="11DF4949"/>
    <w:rsid w:val="11DF608A"/>
    <w:rsid w:val="11E132E5"/>
    <w:rsid w:val="11E332CA"/>
    <w:rsid w:val="11E46932"/>
    <w:rsid w:val="11E701D0"/>
    <w:rsid w:val="11EB77B6"/>
    <w:rsid w:val="11EE5A02"/>
    <w:rsid w:val="11EE77B0"/>
    <w:rsid w:val="11F254F3"/>
    <w:rsid w:val="11F272A1"/>
    <w:rsid w:val="11F34DC7"/>
    <w:rsid w:val="11F72B09"/>
    <w:rsid w:val="11F823DD"/>
    <w:rsid w:val="11F8418B"/>
    <w:rsid w:val="11F87E50"/>
    <w:rsid w:val="11FA7F03"/>
    <w:rsid w:val="12015736"/>
    <w:rsid w:val="12042B30"/>
    <w:rsid w:val="120B0362"/>
    <w:rsid w:val="120D5E88"/>
    <w:rsid w:val="120E39AF"/>
    <w:rsid w:val="12176D07"/>
    <w:rsid w:val="12192A7F"/>
    <w:rsid w:val="121C431D"/>
    <w:rsid w:val="121E094C"/>
    <w:rsid w:val="122356AC"/>
    <w:rsid w:val="12241424"/>
    <w:rsid w:val="12256B2A"/>
    <w:rsid w:val="12266F4A"/>
    <w:rsid w:val="12280F14"/>
    <w:rsid w:val="12323B41"/>
    <w:rsid w:val="12331667"/>
    <w:rsid w:val="12374CB3"/>
    <w:rsid w:val="123F000C"/>
    <w:rsid w:val="123F7A01"/>
    <w:rsid w:val="12415B32"/>
    <w:rsid w:val="124675EC"/>
    <w:rsid w:val="12502219"/>
    <w:rsid w:val="12505D75"/>
    <w:rsid w:val="12594B3E"/>
    <w:rsid w:val="125E66E4"/>
    <w:rsid w:val="126132D0"/>
    <w:rsid w:val="1264324E"/>
    <w:rsid w:val="12681311"/>
    <w:rsid w:val="1268277F"/>
    <w:rsid w:val="12696E37"/>
    <w:rsid w:val="126E269F"/>
    <w:rsid w:val="127759F8"/>
    <w:rsid w:val="127952CC"/>
    <w:rsid w:val="127A7296"/>
    <w:rsid w:val="127E28E2"/>
    <w:rsid w:val="12852A13"/>
    <w:rsid w:val="128738AA"/>
    <w:rsid w:val="1288104C"/>
    <w:rsid w:val="1288550F"/>
    <w:rsid w:val="128B4FFF"/>
    <w:rsid w:val="12906AB9"/>
    <w:rsid w:val="12910C6D"/>
    <w:rsid w:val="12940358"/>
    <w:rsid w:val="12942106"/>
    <w:rsid w:val="129A3494"/>
    <w:rsid w:val="129E11D6"/>
    <w:rsid w:val="12A460C1"/>
    <w:rsid w:val="12A52565"/>
    <w:rsid w:val="12A61E39"/>
    <w:rsid w:val="12B409FA"/>
    <w:rsid w:val="12B5426A"/>
    <w:rsid w:val="12B91B6C"/>
    <w:rsid w:val="12BB0750"/>
    <w:rsid w:val="12C0114D"/>
    <w:rsid w:val="12C10A21"/>
    <w:rsid w:val="12C329EB"/>
    <w:rsid w:val="12C50511"/>
    <w:rsid w:val="12C93F22"/>
    <w:rsid w:val="12CA3D79"/>
    <w:rsid w:val="12D22C2E"/>
    <w:rsid w:val="12D469A6"/>
    <w:rsid w:val="12E3308D"/>
    <w:rsid w:val="12E817B6"/>
    <w:rsid w:val="12E82452"/>
    <w:rsid w:val="12EC1F42"/>
    <w:rsid w:val="12ED5CBA"/>
    <w:rsid w:val="12EF7B43"/>
    <w:rsid w:val="12F15453"/>
    <w:rsid w:val="12F42BA4"/>
    <w:rsid w:val="12F473A6"/>
    <w:rsid w:val="12F55547"/>
    <w:rsid w:val="12F62DC8"/>
    <w:rsid w:val="12F6691D"/>
    <w:rsid w:val="12F928B1"/>
    <w:rsid w:val="12F9640D"/>
    <w:rsid w:val="12FC5EFD"/>
    <w:rsid w:val="13001549"/>
    <w:rsid w:val="13023513"/>
    <w:rsid w:val="13051255"/>
    <w:rsid w:val="13054DB2"/>
    <w:rsid w:val="13082AF4"/>
    <w:rsid w:val="130A23C8"/>
    <w:rsid w:val="130A26C8"/>
    <w:rsid w:val="130B2C99"/>
    <w:rsid w:val="130B7EEE"/>
    <w:rsid w:val="130D1EB8"/>
    <w:rsid w:val="131274CE"/>
    <w:rsid w:val="13144FF5"/>
    <w:rsid w:val="13182D37"/>
    <w:rsid w:val="1319260B"/>
    <w:rsid w:val="131C20FB"/>
    <w:rsid w:val="13217712"/>
    <w:rsid w:val="132502C8"/>
    <w:rsid w:val="132C67E2"/>
    <w:rsid w:val="132D60B6"/>
    <w:rsid w:val="133438E9"/>
    <w:rsid w:val="13385187"/>
    <w:rsid w:val="133D09EF"/>
    <w:rsid w:val="133E688D"/>
    <w:rsid w:val="13427DB4"/>
    <w:rsid w:val="13451652"/>
    <w:rsid w:val="134753CA"/>
    <w:rsid w:val="134A0A16"/>
    <w:rsid w:val="134F0723"/>
    <w:rsid w:val="135B00F6"/>
    <w:rsid w:val="135F61B2"/>
    <w:rsid w:val="1360023A"/>
    <w:rsid w:val="136442CB"/>
    <w:rsid w:val="13645F7C"/>
    <w:rsid w:val="13655850"/>
    <w:rsid w:val="13675A6C"/>
    <w:rsid w:val="1367781A"/>
    <w:rsid w:val="136A2E67"/>
    <w:rsid w:val="136F7391"/>
    <w:rsid w:val="1370286E"/>
    <w:rsid w:val="13767A5D"/>
    <w:rsid w:val="13791560"/>
    <w:rsid w:val="137B0EC7"/>
    <w:rsid w:val="137B7981"/>
    <w:rsid w:val="137D703E"/>
    <w:rsid w:val="1380268A"/>
    <w:rsid w:val="13806373"/>
    <w:rsid w:val="13824654"/>
    <w:rsid w:val="13857CA0"/>
    <w:rsid w:val="13890704"/>
    <w:rsid w:val="138C102F"/>
    <w:rsid w:val="13974D45"/>
    <w:rsid w:val="13991A8C"/>
    <w:rsid w:val="139D323C"/>
    <w:rsid w:val="13A445CA"/>
    <w:rsid w:val="13A46379"/>
    <w:rsid w:val="13AF4D1D"/>
    <w:rsid w:val="13B32A60"/>
    <w:rsid w:val="13B54A2A"/>
    <w:rsid w:val="13B62550"/>
    <w:rsid w:val="13BD38DE"/>
    <w:rsid w:val="13BE4ED6"/>
    <w:rsid w:val="13C20EF5"/>
    <w:rsid w:val="13C22CA3"/>
    <w:rsid w:val="13C24A51"/>
    <w:rsid w:val="13C702B9"/>
    <w:rsid w:val="13CB5FFB"/>
    <w:rsid w:val="13D05C1B"/>
    <w:rsid w:val="13D11138"/>
    <w:rsid w:val="13D1738A"/>
    <w:rsid w:val="13DD7ADC"/>
    <w:rsid w:val="13E02514"/>
    <w:rsid w:val="13E26254"/>
    <w:rsid w:val="13E744B7"/>
    <w:rsid w:val="13E76F96"/>
    <w:rsid w:val="13E9022F"/>
    <w:rsid w:val="13E96481"/>
    <w:rsid w:val="13F015BE"/>
    <w:rsid w:val="13F111F5"/>
    <w:rsid w:val="13F37300"/>
    <w:rsid w:val="13F53078"/>
    <w:rsid w:val="13F54E26"/>
    <w:rsid w:val="13F76DF0"/>
    <w:rsid w:val="13FA41EA"/>
    <w:rsid w:val="13FB5DD6"/>
    <w:rsid w:val="14005579"/>
    <w:rsid w:val="140212F1"/>
    <w:rsid w:val="1402217A"/>
    <w:rsid w:val="14092680"/>
    <w:rsid w:val="140D6614"/>
    <w:rsid w:val="140E3FD0"/>
    <w:rsid w:val="140E413A"/>
    <w:rsid w:val="14100946"/>
    <w:rsid w:val="1410303C"/>
    <w:rsid w:val="141334FE"/>
    <w:rsid w:val="1415305A"/>
    <w:rsid w:val="14157276"/>
    <w:rsid w:val="14166EAE"/>
    <w:rsid w:val="14184FB8"/>
    <w:rsid w:val="141B1890"/>
    <w:rsid w:val="14263231"/>
    <w:rsid w:val="14294AD0"/>
    <w:rsid w:val="142D2812"/>
    <w:rsid w:val="142E20E6"/>
    <w:rsid w:val="143040B0"/>
    <w:rsid w:val="143C4803"/>
    <w:rsid w:val="143C490D"/>
    <w:rsid w:val="14411E19"/>
    <w:rsid w:val="14425B91"/>
    <w:rsid w:val="144731A8"/>
    <w:rsid w:val="1448764C"/>
    <w:rsid w:val="144B0EEA"/>
    <w:rsid w:val="144B2C98"/>
    <w:rsid w:val="144C07BE"/>
    <w:rsid w:val="144C6CA3"/>
    <w:rsid w:val="14551D69"/>
    <w:rsid w:val="145558C5"/>
    <w:rsid w:val="1457788F"/>
    <w:rsid w:val="14631C80"/>
    <w:rsid w:val="14667AD2"/>
    <w:rsid w:val="146855F8"/>
    <w:rsid w:val="146975C2"/>
    <w:rsid w:val="146E5199"/>
    <w:rsid w:val="147321EF"/>
    <w:rsid w:val="14755F67"/>
    <w:rsid w:val="14771CDF"/>
    <w:rsid w:val="147815B3"/>
    <w:rsid w:val="14796932"/>
    <w:rsid w:val="147C72F5"/>
    <w:rsid w:val="147F6DE6"/>
    <w:rsid w:val="148055D8"/>
    <w:rsid w:val="148075AE"/>
    <w:rsid w:val="14812B5E"/>
    <w:rsid w:val="148368D6"/>
    <w:rsid w:val="14847F58"/>
    <w:rsid w:val="14860174"/>
    <w:rsid w:val="14863CD0"/>
    <w:rsid w:val="14877402"/>
    <w:rsid w:val="14891A12"/>
    <w:rsid w:val="148937C0"/>
    <w:rsid w:val="148B12E6"/>
    <w:rsid w:val="148D1503"/>
    <w:rsid w:val="14991C55"/>
    <w:rsid w:val="14997EA7"/>
    <w:rsid w:val="149A777C"/>
    <w:rsid w:val="149B7D67"/>
    <w:rsid w:val="149C34F4"/>
    <w:rsid w:val="14A10B0A"/>
    <w:rsid w:val="14AA3E63"/>
    <w:rsid w:val="14AF1479"/>
    <w:rsid w:val="14AF76CB"/>
    <w:rsid w:val="14B06F9F"/>
    <w:rsid w:val="14B44CE1"/>
    <w:rsid w:val="14B52807"/>
    <w:rsid w:val="14B94B6E"/>
    <w:rsid w:val="14C50C9C"/>
    <w:rsid w:val="14CA63AE"/>
    <w:rsid w:val="14CB202B"/>
    <w:rsid w:val="14D25167"/>
    <w:rsid w:val="14D302E6"/>
    <w:rsid w:val="14D64C58"/>
    <w:rsid w:val="14DC5FE6"/>
    <w:rsid w:val="14E1184E"/>
    <w:rsid w:val="14E32ED1"/>
    <w:rsid w:val="14E60C13"/>
    <w:rsid w:val="14E629C1"/>
    <w:rsid w:val="14EC0E79"/>
    <w:rsid w:val="14EC447B"/>
    <w:rsid w:val="14ED3D4F"/>
    <w:rsid w:val="14EF7AC7"/>
    <w:rsid w:val="14FE278E"/>
    <w:rsid w:val="14FE41AE"/>
    <w:rsid w:val="15007F26"/>
    <w:rsid w:val="150115A9"/>
    <w:rsid w:val="150317C5"/>
    <w:rsid w:val="15031B34"/>
    <w:rsid w:val="150505A4"/>
    <w:rsid w:val="150712B5"/>
    <w:rsid w:val="150A2B53"/>
    <w:rsid w:val="150A4901"/>
    <w:rsid w:val="150F0169"/>
    <w:rsid w:val="151115F2"/>
    <w:rsid w:val="15155054"/>
    <w:rsid w:val="15187343"/>
    <w:rsid w:val="15211C4B"/>
    <w:rsid w:val="15227E9D"/>
    <w:rsid w:val="15233C15"/>
    <w:rsid w:val="152440E5"/>
    <w:rsid w:val="15366F46"/>
    <w:rsid w:val="153951E6"/>
    <w:rsid w:val="15396F94"/>
    <w:rsid w:val="153B0F5F"/>
    <w:rsid w:val="153D2618"/>
    <w:rsid w:val="153E45AB"/>
    <w:rsid w:val="15437E13"/>
    <w:rsid w:val="154A11A2"/>
    <w:rsid w:val="154A2F50"/>
    <w:rsid w:val="154F4A0A"/>
    <w:rsid w:val="15671D54"/>
    <w:rsid w:val="156E30E2"/>
    <w:rsid w:val="15714921"/>
    <w:rsid w:val="1571672E"/>
    <w:rsid w:val="15724254"/>
    <w:rsid w:val="157601E9"/>
    <w:rsid w:val="157B75AD"/>
    <w:rsid w:val="158521DA"/>
    <w:rsid w:val="158741A4"/>
    <w:rsid w:val="15875F52"/>
    <w:rsid w:val="15882F1A"/>
    <w:rsid w:val="15891CCA"/>
    <w:rsid w:val="15897F1C"/>
    <w:rsid w:val="158C165B"/>
    <w:rsid w:val="15910B7E"/>
    <w:rsid w:val="15962639"/>
    <w:rsid w:val="159B2A7F"/>
    <w:rsid w:val="159E5049"/>
    <w:rsid w:val="159F2FD5"/>
    <w:rsid w:val="15A07014"/>
    <w:rsid w:val="15A524B3"/>
    <w:rsid w:val="15A66752"/>
    <w:rsid w:val="15A703A2"/>
    <w:rsid w:val="15A765F4"/>
    <w:rsid w:val="15AC3C0A"/>
    <w:rsid w:val="15AC59B8"/>
    <w:rsid w:val="15AE7982"/>
    <w:rsid w:val="15AF6136"/>
    <w:rsid w:val="15B14D7D"/>
    <w:rsid w:val="15B35F47"/>
    <w:rsid w:val="15B36D47"/>
    <w:rsid w:val="15BB3FE8"/>
    <w:rsid w:val="15BE749A"/>
    <w:rsid w:val="15BF393E"/>
    <w:rsid w:val="15C076B6"/>
    <w:rsid w:val="15C40F54"/>
    <w:rsid w:val="15C4283C"/>
    <w:rsid w:val="15C56A7A"/>
    <w:rsid w:val="15CA22E2"/>
    <w:rsid w:val="15CC605B"/>
    <w:rsid w:val="15D13671"/>
    <w:rsid w:val="15D66839"/>
    <w:rsid w:val="15DE6F4E"/>
    <w:rsid w:val="15E038B4"/>
    <w:rsid w:val="15E275F7"/>
    <w:rsid w:val="15E30196"/>
    <w:rsid w:val="15E433A4"/>
    <w:rsid w:val="15E769F0"/>
    <w:rsid w:val="15EC04AB"/>
    <w:rsid w:val="15EC1629"/>
    <w:rsid w:val="15EE25C2"/>
    <w:rsid w:val="15F01D49"/>
    <w:rsid w:val="15F15AC1"/>
    <w:rsid w:val="15F316CE"/>
    <w:rsid w:val="15F7057C"/>
    <w:rsid w:val="15F829AC"/>
    <w:rsid w:val="15FA2BC8"/>
    <w:rsid w:val="16007AB2"/>
    <w:rsid w:val="16084170"/>
    <w:rsid w:val="16090E6F"/>
    <w:rsid w:val="16104199"/>
    <w:rsid w:val="161377E5"/>
    <w:rsid w:val="161672D6"/>
    <w:rsid w:val="16175528"/>
    <w:rsid w:val="161D2412"/>
    <w:rsid w:val="16201F02"/>
    <w:rsid w:val="16215455"/>
    <w:rsid w:val="162639BD"/>
    <w:rsid w:val="1629525B"/>
    <w:rsid w:val="16297009"/>
    <w:rsid w:val="162E0AC3"/>
    <w:rsid w:val="16300397"/>
    <w:rsid w:val="163503D8"/>
    <w:rsid w:val="163507F0"/>
    <w:rsid w:val="163559AE"/>
    <w:rsid w:val="163B1BD0"/>
    <w:rsid w:val="163C4F8E"/>
    <w:rsid w:val="163E141D"/>
    <w:rsid w:val="164200CB"/>
    <w:rsid w:val="1642631D"/>
    <w:rsid w:val="1647748F"/>
    <w:rsid w:val="16491459"/>
    <w:rsid w:val="164A3F23"/>
    <w:rsid w:val="164B34E1"/>
    <w:rsid w:val="164D53B6"/>
    <w:rsid w:val="164E6A70"/>
    <w:rsid w:val="165247B2"/>
    <w:rsid w:val="16526560"/>
    <w:rsid w:val="16534086"/>
    <w:rsid w:val="1655109A"/>
    <w:rsid w:val="16560FE2"/>
    <w:rsid w:val="165F0C7D"/>
    <w:rsid w:val="16612C47"/>
    <w:rsid w:val="16667FF6"/>
    <w:rsid w:val="166C5148"/>
    <w:rsid w:val="166D339A"/>
    <w:rsid w:val="16826719"/>
    <w:rsid w:val="16875606"/>
    <w:rsid w:val="16893F4C"/>
    <w:rsid w:val="16897AA8"/>
    <w:rsid w:val="168B1A72"/>
    <w:rsid w:val="168B7CC4"/>
    <w:rsid w:val="169052DA"/>
    <w:rsid w:val="16922E00"/>
    <w:rsid w:val="169923E1"/>
    <w:rsid w:val="169C3C7F"/>
    <w:rsid w:val="169F376F"/>
    <w:rsid w:val="16A11295"/>
    <w:rsid w:val="16A14FAE"/>
    <w:rsid w:val="16A3500D"/>
    <w:rsid w:val="16B5089D"/>
    <w:rsid w:val="16B54D41"/>
    <w:rsid w:val="16B56AEF"/>
    <w:rsid w:val="16B94831"/>
    <w:rsid w:val="16BA2357"/>
    <w:rsid w:val="16BC1C2B"/>
    <w:rsid w:val="16C266D3"/>
    <w:rsid w:val="16C62AAA"/>
    <w:rsid w:val="16CB6312"/>
    <w:rsid w:val="16CD208A"/>
    <w:rsid w:val="16D451C7"/>
    <w:rsid w:val="16D90A2F"/>
    <w:rsid w:val="16DA0303"/>
    <w:rsid w:val="16DE1BA1"/>
    <w:rsid w:val="16DE7DF3"/>
    <w:rsid w:val="16E1529C"/>
    <w:rsid w:val="16E66CA8"/>
    <w:rsid w:val="16E96798"/>
    <w:rsid w:val="16EA46F2"/>
    <w:rsid w:val="16EA49EA"/>
    <w:rsid w:val="16ED6288"/>
    <w:rsid w:val="16EF3DAF"/>
    <w:rsid w:val="16EF4171"/>
    <w:rsid w:val="16F5338F"/>
    <w:rsid w:val="16F77107"/>
    <w:rsid w:val="16F83A53"/>
    <w:rsid w:val="16FC296F"/>
    <w:rsid w:val="17011D34"/>
    <w:rsid w:val="17033D8B"/>
    <w:rsid w:val="1703638D"/>
    <w:rsid w:val="170979B1"/>
    <w:rsid w:val="170A508C"/>
    <w:rsid w:val="170B516B"/>
    <w:rsid w:val="1711679D"/>
    <w:rsid w:val="17161E2D"/>
    <w:rsid w:val="171E35E1"/>
    <w:rsid w:val="17233577"/>
    <w:rsid w:val="17237EFC"/>
    <w:rsid w:val="172577D0"/>
    <w:rsid w:val="17285DD4"/>
    <w:rsid w:val="172B4755"/>
    <w:rsid w:val="172E6599"/>
    <w:rsid w:val="17326391"/>
    <w:rsid w:val="173C0FBE"/>
    <w:rsid w:val="173D0037"/>
    <w:rsid w:val="17410382"/>
    <w:rsid w:val="17465999"/>
    <w:rsid w:val="174B2FAF"/>
    <w:rsid w:val="174D31CB"/>
    <w:rsid w:val="17514A69"/>
    <w:rsid w:val="175207E1"/>
    <w:rsid w:val="1752433D"/>
    <w:rsid w:val="175B7696"/>
    <w:rsid w:val="175E0F34"/>
    <w:rsid w:val="175E2CE2"/>
    <w:rsid w:val="175E7186"/>
    <w:rsid w:val="17625BEF"/>
    <w:rsid w:val="1762644D"/>
    <w:rsid w:val="176302F9"/>
    <w:rsid w:val="1763479D"/>
    <w:rsid w:val="1767603B"/>
    <w:rsid w:val="176A5B2B"/>
    <w:rsid w:val="176F4EEF"/>
    <w:rsid w:val="17710C68"/>
    <w:rsid w:val="17712A16"/>
    <w:rsid w:val="17793FC0"/>
    <w:rsid w:val="177E5132"/>
    <w:rsid w:val="177F6166"/>
    <w:rsid w:val="17800EAB"/>
    <w:rsid w:val="17872239"/>
    <w:rsid w:val="178C5AA1"/>
    <w:rsid w:val="178C784F"/>
    <w:rsid w:val="17900EA5"/>
    <w:rsid w:val="17942BA8"/>
    <w:rsid w:val="179B3F36"/>
    <w:rsid w:val="179E57D5"/>
    <w:rsid w:val="17A252C5"/>
    <w:rsid w:val="17A70B2D"/>
    <w:rsid w:val="17A96653"/>
    <w:rsid w:val="17AC050B"/>
    <w:rsid w:val="17B374D2"/>
    <w:rsid w:val="17B44FF8"/>
    <w:rsid w:val="17B46C9D"/>
    <w:rsid w:val="17BB0135"/>
    <w:rsid w:val="17BC0000"/>
    <w:rsid w:val="17C11B63"/>
    <w:rsid w:val="17C23271"/>
    <w:rsid w:val="17C52D61"/>
    <w:rsid w:val="17C76AD9"/>
    <w:rsid w:val="17C85005"/>
    <w:rsid w:val="17CA6368"/>
    <w:rsid w:val="17CA65CA"/>
    <w:rsid w:val="17CF1E32"/>
    <w:rsid w:val="17D15BAA"/>
    <w:rsid w:val="17D55FD6"/>
    <w:rsid w:val="17D86F39"/>
    <w:rsid w:val="17DF2075"/>
    <w:rsid w:val="17E23913"/>
    <w:rsid w:val="17E256C1"/>
    <w:rsid w:val="17E56F60"/>
    <w:rsid w:val="17E92EF4"/>
    <w:rsid w:val="17EF6030"/>
    <w:rsid w:val="17F04282"/>
    <w:rsid w:val="17F310DC"/>
    <w:rsid w:val="17FB62F2"/>
    <w:rsid w:val="17FB77EC"/>
    <w:rsid w:val="17FF44C5"/>
    <w:rsid w:val="18025D64"/>
    <w:rsid w:val="180351D4"/>
    <w:rsid w:val="1804388A"/>
    <w:rsid w:val="180513B0"/>
    <w:rsid w:val="180A4C18"/>
    <w:rsid w:val="180E4708"/>
    <w:rsid w:val="181066D2"/>
    <w:rsid w:val="181932FF"/>
    <w:rsid w:val="18194E5B"/>
    <w:rsid w:val="18253800"/>
    <w:rsid w:val="182A0E16"/>
    <w:rsid w:val="182C4B8E"/>
    <w:rsid w:val="18313F08"/>
    <w:rsid w:val="18363EE3"/>
    <w:rsid w:val="18381785"/>
    <w:rsid w:val="18383533"/>
    <w:rsid w:val="183B3024"/>
    <w:rsid w:val="183C74C7"/>
    <w:rsid w:val="183F12A7"/>
    <w:rsid w:val="183F2B14"/>
    <w:rsid w:val="1840688C"/>
    <w:rsid w:val="18444C42"/>
    <w:rsid w:val="1844637C"/>
    <w:rsid w:val="18455C50"/>
    <w:rsid w:val="185365BF"/>
    <w:rsid w:val="18564F55"/>
    <w:rsid w:val="185A16FC"/>
    <w:rsid w:val="185C36C6"/>
    <w:rsid w:val="185D11EC"/>
    <w:rsid w:val="18607150"/>
    <w:rsid w:val="186573C7"/>
    <w:rsid w:val="18695DE3"/>
    <w:rsid w:val="18706CBB"/>
    <w:rsid w:val="18754787"/>
    <w:rsid w:val="1876405C"/>
    <w:rsid w:val="18781E99"/>
    <w:rsid w:val="187C3D68"/>
    <w:rsid w:val="187D53EA"/>
    <w:rsid w:val="18860329"/>
    <w:rsid w:val="18893D8F"/>
    <w:rsid w:val="18910E95"/>
    <w:rsid w:val="18925339"/>
    <w:rsid w:val="18954E2A"/>
    <w:rsid w:val="189A41EE"/>
    <w:rsid w:val="189E3CDE"/>
    <w:rsid w:val="18A60DE5"/>
    <w:rsid w:val="18A706B9"/>
    <w:rsid w:val="18AD2173"/>
    <w:rsid w:val="18AE37F5"/>
    <w:rsid w:val="18AF21DF"/>
    <w:rsid w:val="18B2778A"/>
    <w:rsid w:val="18B3705E"/>
    <w:rsid w:val="18B51028"/>
    <w:rsid w:val="18B708FC"/>
    <w:rsid w:val="18B74823"/>
    <w:rsid w:val="18B90B18"/>
    <w:rsid w:val="18BA03EC"/>
    <w:rsid w:val="18CB25F9"/>
    <w:rsid w:val="18CB43A7"/>
    <w:rsid w:val="18CE3E98"/>
    <w:rsid w:val="18D07C10"/>
    <w:rsid w:val="18DA0A8E"/>
    <w:rsid w:val="18DC0363"/>
    <w:rsid w:val="18DE1319"/>
    <w:rsid w:val="18E13BCB"/>
    <w:rsid w:val="18E15979"/>
    <w:rsid w:val="18E37943"/>
    <w:rsid w:val="18E611E1"/>
    <w:rsid w:val="18E831AB"/>
    <w:rsid w:val="18E84B6B"/>
    <w:rsid w:val="18ED431E"/>
    <w:rsid w:val="18ED6A14"/>
    <w:rsid w:val="18F57676"/>
    <w:rsid w:val="18F7519C"/>
    <w:rsid w:val="18F92FAF"/>
    <w:rsid w:val="18FF04F5"/>
    <w:rsid w:val="1901426D"/>
    <w:rsid w:val="19045B0B"/>
    <w:rsid w:val="19050128"/>
    <w:rsid w:val="19053D5D"/>
    <w:rsid w:val="190B0C48"/>
    <w:rsid w:val="190D79B4"/>
    <w:rsid w:val="190F4842"/>
    <w:rsid w:val="19107489"/>
    <w:rsid w:val="19121FD6"/>
    <w:rsid w:val="19137AFC"/>
    <w:rsid w:val="191C10A7"/>
    <w:rsid w:val="191E097B"/>
    <w:rsid w:val="191E4E1F"/>
    <w:rsid w:val="192123A6"/>
    <w:rsid w:val="19235F91"/>
    <w:rsid w:val="192817FA"/>
    <w:rsid w:val="192B4E46"/>
    <w:rsid w:val="192F4936"/>
    <w:rsid w:val="193427AD"/>
    <w:rsid w:val="193450CD"/>
    <w:rsid w:val="19353F17"/>
    <w:rsid w:val="19362169"/>
    <w:rsid w:val="19377C8F"/>
    <w:rsid w:val="193C52A5"/>
    <w:rsid w:val="193F3921"/>
    <w:rsid w:val="1941466A"/>
    <w:rsid w:val="194505FE"/>
    <w:rsid w:val="194B7296"/>
    <w:rsid w:val="19520625"/>
    <w:rsid w:val="19566367"/>
    <w:rsid w:val="19597C05"/>
    <w:rsid w:val="195D6EAA"/>
    <w:rsid w:val="195E521C"/>
    <w:rsid w:val="19630A84"/>
    <w:rsid w:val="196A036B"/>
    <w:rsid w:val="196C3EAB"/>
    <w:rsid w:val="196D1903"/>
    <w:rsid w:val="196F567B"/>
    <w:rsid w:val="197113F3"/>
    <w:rsid w:val="197131A1"/>
    <w:rsid w:val="197607B7"/>
    <w:rsid w:val="197902A7"/>
    <w:rsid w:val="197B61DE"/>
    <w:rsid w:val="197C636F"/>
    <w:rsid w:val="197E58BE"/>
    <w:rsid w:val="19832ED4"/>
    <w:rsid w:val="198B3A49"/>
    <w:rsid w:val="198C33EB"/>
    <w:rsid w:val="198F7ACB"/>
    <w:rsid w:val="19924EC5"/>
    <w:rsid w:val="19956FF2"/>
    <w:rsid w:val="19960E59"/>
    <w:rsid w:val="19A03A86"/>
    <w:rsid w:val="19A30E80"/>
    <w:rsid w:val="19A35324"/>
    <w:rsid w:val="19A60971"/>
    <w:rsid w:val="19A74E14"/>
    <w:rsid w:val="19AD1CFF"/>
    <w:rsid w:val="19AF7825"/>
    <w:rsid w:val="19B32AB5"/>
    <w:rsid w:val="19B72B7E"/>
    <w:rsid w:val="19B968F6"/>
    <w:rsid w:val="19BB08C0"/>
    <w:rsid w:val="19BD7252"/>
    <w:rsid w:val="19C21C4E"/>
    <w:rsid w:val="19C37774"/>
    <w:rsid w:val="19CD68A8"/>
    <w:rsid w:val="19D2505F"/>
    <w:rsid w:val="19D72421"/>
    <w:rsid w:val="19DF45AE"/>
    <w:rsid w:val="19E020D4"/>
    <w:rsid w:val="19E03E83"/>
    <w:rsid w:val="19E54C91"/>
    <w:rsid w:val="19E716B5"/>
    <w:rsid w:val="19E80F89"/>
    <w:rsid w:val="19E97D73"/>
    <w:rsid w:val="19EE2A43"/>
    <w:rsid w:val="19F22B9C"/>
    <w:rsid w:val="19F4792E"/>
    <w:rsid w:val="19F53DD2"/>
    <w:rsid w:val="19F94F44"/>
    <w:rsid w:val="19FA13E8"/>
    <w:rsid w:val="1A0062D3"/>
    <w:rsid w:val="1A077A59"/>
    <w:rsid w:val="1A085187"/>
    <w:rsid w:val="1A09162B"/>
    <w:rsid w:val="1A115971"/>
    <w:rsid w:val="1A116732"/>
    <w:rsid w:val="1A13040E"/>
    <w:rsid w:val="1A136006"/>
    <w:rsid w:val="1A141D7E"/>
    <w:rsid w:val="1A175ACC"/>
    <w:rsid w:val="1A197394"/>
    <w:rsid w:val="1A246465"/>
    <w:rsid w:val="1A2D60DA"/>
    <w:rsid w:val="1A2E1092"/>
    <w:rsid w:val="1A332204"/>
    <w:rsid w:val="1A3441CE"/>
    <w:rsid w:val="1A3760C8"/>
    <w:rsid w:val="1A393593"/>
    <w:rsid w:val="1A3B730B"/>
    <w:rsid w:val="1A3E5F99"/>
    <w:rsid w:val="1A3F504D"/>
    <w:rsid w:val="1A400DC5"/>
    <w:rsid w:val="1A404921"/>
    <w:rsid w:val="1A420699"/>
    <w:rsid w:val="1A442663"/>
    <w:rsid w:val="1A472154"/>
    <w:rsid w:val="1A495ECC"/>
    <w:rsid w:val="1A4D1A2F"/>
    <w:rsid w:val="1A50725A"/>
    <w:rsid w:val="1A55661F"/>
    <w:rsid w:val="1A584361"/>
    <w:rsid w:val="1A587EBD"/>
    <w:rsid w:val="1A5B79AD"/>
    <w:rsid w:val="1A604FC3"/>
    <w:rsid w:val="1A606D71"/>
    <w:rsid w:val="1A642D06"/>
    <w:rsid w:val="1A666F3A"/>
    <w:rsid w:val="1A676352"/>
    <w:rsid w:val="1A6C1BBA"/>
    <w:rsid w:val="1A6E148E"/>
    <w:rsid w:val="1A7016AA"/>
    <w:rsid w:val="1A7171D0"/>
    <w:rsid w:val="1A734CF7"/>
    <w:rsid w:val="1A736AA5"/>
    <w:rsid w:val="1A75281D"/>
    <w:rsid w:val="1A78055F"/>
    <w:rsid w:val="1A7867B1"/>
    <w:rsid w:val="1A7A6085"/>
    <w:rsid w:val="1A7C004F"/>
    <w:rsid w:val="1A7F3039"/>
    <w:rsid w:val="1A82318C"/>
    <w:rsid w:val="1A845156"/>
    <w:rsid w:val="1A8567D8"/>
    <w:rsid w:val="1A8B0399"/>
    <w:rsid w:val="1A8E1B30"/>
    <w:rsid w:val="1A8E7D82"/>
    <w:rsid w:val="1A935399"/>
    <w:rsid w:val="1A954C6D"/>
    <w:rsid w:val="1A974E89"/>
    <w:rsid w:val="1A9A2283"/>
    <w:rsid w:val="1A9C023A"/>
    <w:rsid w:val="1A9D7FC6"/>
    <w:rsid w:val="1AA421C8"/>
    <w:rsid w:val="1AA50C28"/>
    <w:rsid w:val="1AA55149"/>
    <w:rsid w:val="1AA65643"/>
    <w:rsid w:val="1AA72BF2"/>
    <w:rsid w:val="1AA80E44"/>
    <w:rsid w:val="1AAB623F"/>
    <w:rsid w:val="1AAB787A"/>
    <w:rsid w:val="1AAD645B"/>
    <w:rsid w:val="1AB05F4B"/>
    <w:rsid w:val="1AB2774D"/>
    <w:rsid w:val="1AB33345"/>
    <w:rsid w:val="1AB62E35"/>
    <w:rsid w:val="1ABA0B77"/>
    <w:rsid w:val="1ABC044C"/>
    <w:rsid w:val="1ABD41C4"/>
    <w:rsid w:val="1ABF1CEA"/>
    <w:rsid w:val="1ABF618E"/>
    <w:rsid w:val="1AC6751C"/>
    <w:rsid w:val="1AC76DF0"/>
    <w:rsid w:val="1AC94917"/>
    <w:rsid w:val="1ACB4B33"/>
    <w:rsid w:val="1AD31C39"/>
    <w:rsid w:val="1ADA4D76"/>
    <w:rsid w:val="1ADC0AEE"/>
    <w:rsid w:val="1ADC289C"/>
    <w:rsid w:val="1AE06D83"/>
    <w:rsid w:val="1AE1340A"/>
    <w:rsid w:val="1AE23C2A"/>
    <w:rsid w:val="1AE259D8"/>
    <w:rsid w:val="1AE34C66"/>
    <w:rsid w:val="1AE45BF4"/>
    <w:rsid w:val="1AEB6F83"/>
    <w:rsid w:val="1AED2CFB"/>
    <w:rsid w:val="1AEF6A73"/>
    <w:rsid w:val="1AF04599"/>
    <w:rsid w:val="1AF23E6D"/>
    <w:rsid w:val="1AF33EC6"/>
    <w:rsid w:val="1AF37BE5"/>
    <w:rsid w:val="1AF51BB0"/>
    <w:rsid w:val="1AF851FC"/>
    <w:rsid w:val="1B0011DE"/>
    <w:rsid w:val="1B012302"/>
    <w:rsid w:val="1B027E29"/>
    <w:rsid w:val="1B035A0F"/>
    <w:rsid w:val="1B067919"/>
    <w:rsid w:val="1B083691"/>
    <w:rsid w:val="1B122762"/>
    <w:rsid w:val="1B152FFB"/>
    <w:rsid w:val="1B153CD8"/>
    <w:rsid w:val="1B1A33C4"/>
    <w:rsid w:val="1B1F09DB"/>
    <w:rsid w:val="1B222279"/>
    <w:rsid w:val="1B22257E"/>
    <w:rsid w:val="1B26620D"/>
    <w:rsid w:val="1B2B737F"/>
    <w:rsid w:val="1B2D759B"/>
    <w:rsid w:val="1B2E0C1E"/>
    <w:rsid w:val="1B2E4E30"/>
    <w:rsid w:val="1B300E3A"/>
    <w:rsid w:val="1B3274A2"/>
    <w:rsid w:val="1B351FAC"/>
    <w:rsid w:val="1B3A3A66"/>
    <w:rsid w:val="1B3C333B"/>
    <w:rsid w:val="1B4072CF"/>
    <w:rsid w:val="1B4346C9"/>
    <w:rsid w:val="1B486183"/>
    <w:rsid w:val="1B4A1EFB"/>
    <w:rsid w:val="1B4D19EC"/>
    <w:rsid w:val="1B4D5548"/>
    <w:rsid w:val="1B4D72F6"/>
    <w:rsid w:val="1B50328A"/>
    <w:rsid w:val="1B542D7A"/>
    <w:rsid w:val="1B553E36"/>
    <w:rsid w:val="1B5543FC"/>
    <w:rsid w:val="1B572C67"/>
    <w:rsid w:val="1B5A1A13"/>
    <w:rsid w:val="1B5A7C65"/>
    <w:rsid w:val="1B5C1C2F"/>
    <w:rsid w:val="1B5E0712"/>
    <w:rsid w:val="1B6617D2"/>
    <w:rsid w:val="1B666609"/>
    <w:rsid w:val="1B694D12"/>
    <w:rsid w:val="1B697EA8"/>
    <w:rsid w:val="1B6B3C20"/>
    <w:rsid w:val="1B6D1746"/>
    <w:rsid w:val="1B701236"/>
    <w:rsid w:val="1B721452"/>
    <w:rsid w:val="1B7725C5"/>
    <w:rsid w:val="1B7A3E63"/>
    <w:rsid w:val="1B80591D"/>
    <w:rsid w:val="1B813443"/>
    <w:rsid w:val="1B851185"/>
    <w:rsid w:val="1B886580"/>
    <w:rsid w:val="1B8942FC"/>
    <w:rsid w:val="1B8D1DE8"/>
    <w:rsid w:val="1B9227DD"/>
    <w:rsid w:val="1B9238A2"/>
    <w:rsid w:val="1B9413C8"/>
    <w:rsid w:val="1B9E2247"/>
    <w:rsid w:val="1BA02939"/>
    <w:rsid w:val="1BA05590"/>
    <w:rsid w:val="1BA3160C"/>
    <w:rsid w:val="1BA50EE0"/>
    <w:rsid w:val="1BA64C58"/>
    <w:rsid w:val="1BAA4748"/>
    <w:rsid w:val="1BAB04C0"/>
    <w:rsid w:val="1BAB1AAC"/>
    <w:rsid w:val="1BB245A4"/>
    <w:rsid w:val="1BB3401E"/>
    <w:rsid w:val="1BB43819"/>
    <w:rsid w:val="1BB630ED"/>
    <w:rsid w:val="1BB90E2F"/>
    <w:rsid w:val="1BB93055"/>
    <w:rsid w:val="1BBB6955"/>
    <w:rsid w:val="1BC7354C"/>
    <w:rsid w:val="1BC81072"/>
    <w:rsid w:val="1BD6378F"/>
    <w:rsid w:val="1BE0016A"/>
    <w:rsid w:val="1BE51C24"/>
    <w:rsid w:val="1BEA723A"/>
    <w:rsid w:val="1BEC4D61"/>
    <w:rsid w:val="1BF12377"/>
    <w:rsid w:val="1BF81957"/>
    <w:rsid w:val="1BF9122C"/>
    <w:rsid w:val="1BFD140A"/>
    <w:rsid w:val="1C0504A4"/>
    <w:rsid w:val="1C071B9A"/>
    <w:rsid w:val="1C073948"/>
    <w:rsid w:val="1C085913"/>
    <w:rsid w:val="1C0A168B"/>
    <w:rsid w:val="1C0A51E7"/>
    <w:rsid w:val="1C0F7C12"/>
    <w:rsid w:val="1C153956"/>
    <w:rsid w:val="1C185B56"/>
    <w:rsid w:val="1C19367C"/>
    <w:rsid w:val="1C1D13BE"/>
    <w:rsid w:val="1C1D316C"/>
    <w:rsid w:val="1C1E6EE4"/>
    <w:rsid w:val="1C220782"/>
    <w:rsid w:val="1C252021"/>
    <w:rsid w:val="1C3109C5"/>
    <w:rsid w:val="1C33473D"/>
    <w:rsid w:val="1C3A1F70"/>
    <w:rsid w:val="1C3D736A"/>
    <w:rsid w:val="1C444B9D"/>
    <w:rsid w:val="1C450798"/>
    <w:rsid w:val="1C485D0F"/>
    <w:rsid w:val="1C4921B3"/>
    <w:rsid w:val="1C4A3E04"/>
    <w:rsid w:val="1C512E14"/>
    <w:rsid w:val="1C533032"/>
    <w:rsid w:val="1C550B58"/>
    <w:rsid w:val="1C5B1EE6"/>
    <w:rsid w:val="1C6012AB"/>
    <w:rsid w:val="1C626DD1"/>
    <w:rsid w:val="1C662D65"/>
    <w:rsid w:val="1C6963B1"/>
    <w:rsid w:val="1C6F7ECC"/>
    <w:rsid w:val="1C715266"/>
    <w:rsid w:val="1C735482"/>
    <w:rsid w:val="1C7D00AF"/>
    <w:rsid w:val="1C7D3C0B"/>
    <w:rsid w:val="1C7F5BD5"/>
    <w:rsid w:val="1C7F7983"/>
    <w:rsid w:val="1C8036FB"/>
    <w:rsid w:val="1C8431EB"/>
    <w:rsid w:val="1C8A6328"/>
    <w:rsid w:val="1C8F393E"/>
    <w:rsid w:val="1C93342E"/>
    <w:rsid w:val="1C9816DF"/>
    <w:rsid w:val="1C98646C"/>
    <w:rsid w:val="1C9D42AD"/>
    <w:rsid w:val="1CA67605"/>
    <w:rsid w:val="1CA70C88"/>
    <w:rsid w:val="1CA76EDA"/>
    <w:rsid w:val="1CB6536F"/>
    <w:rsid w:val="1CB735C0"/>
    <w:rsid w:val="1CB92BD4"/>
    <w:rsid w:val="1CC17F9B"/>
    <w:rsid w:val="1CC27025"/>
    <w:rsid w:val="1CC655B2"/>
    <w:rsid w:val="1CC80A45"/>
    <w:rsid w:val="1CC950A2"/>
    <w:rsid w:val="1CCC6940"/>
    <w:rsid w:val="1CD06430"/>
    <w:rsid w:val="1CD079CB"/>
    <w:rsid w:val="1CD13F56"/>
    <w:rsid w:val="1CD35F20"/>
    <w:rsid w:val="1CD51C99"/>
    <w:rsid w:val="1CD83537"/>
    <w:rsid w:val="1CD852E5"/>
    <w:rsid w:val="1CD87093"/>
    <w:rsid w:val="1CDA105D"/>
    <w:rsid w:val="1CDD28FB"/>
    <w:rsid w:val="1CDD6D9F"/>
    <w:rsid w:val="1CE26164"/>
    <w:rsid w:val="1CE65C54"/>
    <w:rsid w:val="1CEB14BC"/>
    <w:rsid w:val="1CEB326A"/>
    <w:rsid w:val="1CEE4694"/>
    <w:rsid w:val="1CEE68B6"/>
    <w:rsid w:val="1CF245F9"/>
    <w:rsid w:val="1CF30371"/>
    <w:rsid w:val="1CF85987"/>
    <w:rsid w:val="1CF917A7"/>
    <w:rsid w:val="1CFC5477"/>
    <w:rsid w:val="1D022362"/>
    <w:rsid w:val="1D0650CD"/>
    <w:rsid w:val="1D083E1C"/>
    <w:rsid w:val="1D1327C1"/>
    <w:rsid w:val="1D164393"/>
    <w:rsid w:val="1D1741B0"/>
    <w:rsid w:val="1D18206B"/>
    <w:rsid w:val="1D185997"/>
    <w:rsid w:val="1D187DD7"/>
    <w:rsid w:val="1D1C3400"/>
    <w:rsid w:val="1D23548E"/>
    <w:rsid w:val="1D24052A"/>
    <w:rsid w:val="1D2D3883"/>
    <w:rsid w:val="1D2D5378"/>
    <w:rsid w:val="1D322C47"/>
    <w:rsid w:val="1D3E261B"/>
    <w:rsid w:val="1D3F5364"/>
    <w:rsid w:val="1D3F7112"/>
    <w:rsid w:val="1D44297A"/>
    <w:rsid w:val="1D4529C5"/>
    <w:rsid w:val="1D4961E3"/>
    <w:rsid w:val="1D4B34D5"/>
    <w:rsid w:val="1D4F1A4B"/>
    <w:rsid w:val="1D540E0F"/>
    <w:rsid w:val="1D544405"/>
    <w:rsid w:val="1D553584"/>
    <w:rsid w:val="1D554E77"/>
    <w:rsid w:val="1D5675F2"/>
    <w:rsid w:val="1D5726AE"/>
    <w:rsid w:val="1D631052"/>
    <w:rsid w:val="1D6372A4"/>
    <w:rsid w:val="1D641BF6"/>
    <w:rsid w:val="1D65301C"/>
    <w:rsid w:val="1D6848BB"/>
    <w:rsid w:val="1D70376F"/>
    <w:rsid w:val="1D7274E7"/>
    <w:rsid w:val="1D777A5D"/>
    <w:rsid w:val="1D7B2840"/>
    <w:rsid w:val="1D7D068C"/>
    <w:rsid w:val="1D7F1C04"/>
    <w:rsid w:val="1D812934"/>
    <w:rsid w:val="1D81494F"/>
    <w:rsid w:val="1D8316F5"/>
    <w:rsid w:val="1D882867"/>
    <w:rsid w:val="1D8A2A83"/>
    <w:rsid w:val="1D8D2573"/>
    <w:rsid w:val="1D9531D6"/>
    <w:rsid w:val="1D9A259A"/>
    <w:rsid w:val="1DA17DCD"/>
    <w:rsid w:val="1DA32633"/>
    <w:rsid w:val="1DA33B45"/>
    <w:rsid w:val="1DA47622"/>
    <w:rsid w:val="1DA56929"/>
    <w:rsid w:val="1DA578BD"/>
    <w:rsid w:val="1DAA0D4F"/>
    <w:rsid w:val="1DAB72A4"/>
    <w:rsid w:val="1DAD6772"/>
    <w:rsid w:val="1DAF24EA"/>
    <w:rsid w:val="1DAF6557"/>
    <w:rsid w:val="1DB6149E"/>
    <w:rsid w:val="1DB7292E"/>
    <w:rsid w:val="1DCC309C"/>
    <w:rsid w:val="1DCD471E"/>
    <w:rsid w:val="1DCF493A"/>
    <w:rsid w:val="1DCF63A9"/>
    <w:rsid w:val="1DD51824"/>
    <w:rsid w:val="1DD91315"/>
    <w:rsid w:val="1DDA19F5"/>
    <w:rsid w:val="1DDB32DF"/>
    <w:rsid w:val="1DE763F1"/>
    <w:rsid w:val="1DE877AA"/>
    <w:rsid w:val="1DED6B6E"/>
    <w:rsid w:val="1DEF28E6"/>
    <w:rsid w:val="1DF148B0"/>
    <w:rsid w:val="1DF223D6"/>
    <w:rsid w:val="1DF3687A"/>
    <w:rsid w:val="1DF60118"/>
    <w:rsid w:val="1DF95513"/>
    <w:rsid w:val="1DFC5003"/>
    <w:rsid w:val="1E004AF3"/>
    <w:rsid w:val="1E02612C"/>
    <w:rsid w:val="1E092E53"/>
    <w:rsid w:val="1E0A5972"/>
    <w:rsid w:val="1E116CA0"/>
    <w:rsid w:val="1E116D00"/>
    <w:rsid w:val="1E124827"/>
    <w:rsid w:val="1E13581D"/>
    <w:rsid w:val="1E164317"/>
    <w:rsid w:val="1E171E3D"/>
    <w:rsid w:val="1E18008F"/>
    <w:rsid w:val="1E195BB5"/>
    <w:rsid w:val="1E1B13F5"/>
    <w:rsid w:val="1E1B192D"/>
    <w:rsid w:val="1E1E3470"/>
    <w:rsid w:val="1E2419AF"/>
    <w:rsid w:val="1E2F3219"/>
    <w:rsid w:val="1E317DA1"/>
    <w:rsid w:val="1E3824DF"/>
    <w:rsid w:val="1E396257"/>
    <w:rsid w:val="1E3D18A3"/>
    <w:rsid w:val="1E3E561C"/>
    <w:rsid w:val="1E454BFC"/>
    <w:rsid w:val="1E4A3FC0"/>
    <w:rsid w:val="1E4C1AE7"/>
    <w:rsid w:val="1E50753C"/>
    <w:rsid w:val="1E543091"/>
    <w:rsid w:val="1E56067C"/>
    <w:rsid w:val="1E594203"/>
    <w:rsid w:val="1E5B441F"/>
    <w:rsid w:val="1E6037E4"/>
    <w:rsid w:val="1E696B3C"/>
    <w:rsid w:val="1E6C2189"/>
    <w:rsid w:val="1E7554E1"/>
    <w:rsid w:val="1E786D7F"/>
    <w:rsid w:val="1E796654"/>
    <w:rsid w:val="1E7B061E"/>
    <w:rsid w:val="1E7B6870"/>
    <w:rsid w:val="1E7D4396"/>
    <w:rsid w:val="1E831280"/>
    <w:rsid w:val="1E8373D6"/>
    <w:rsid w:val="1E8578BB"/>
    <w:rsid w:val="1E88366B"/>
    <w:rsid w:val="1E8A260F"/>
    <w:rsid w:val="1E8B4689"/>
    <w:rsid w:val="1E911BEF"/>
    <w:rsid w:val="1E91399D"/>
    <w:rsid w:val="1E916533"/>
    <w:rsid w:val="1E9524B9"/>
    <w:rsid w:val="1E9A4F48"/>
    <w:rsid w:val="1E9D0594"/>
    <w:rsid w:val="1EA5569B"/>
    <w:rsid w:val="1EA65CF5"/>
    <w:rsid w:val="1EB51737"/>
    <w:rsid w:val="1EBC3110"/>
    <w:rsid w:val="1EC41FC5"/>
    <w:rsid w:val="1EC45B21"/>
    <w:rsid w:val="1ECA6FBF"/>
    <w:rsid w:val="1ECE06B2"/>
    <w:rsid w:val="1ED63AA6"/>
    <w:rsid w:val="1EE0071E"/>
    <w:rsid w:val="1EE14925"/>
    <w:rsid w:val="1EE2069D"/>
    <w:rsid w:val="1EE241F9"/>
    <w:rsid w:val="1EE61F3B"/>
    <w:rsid w:val="1EE93F77"/>
    <w:rsid w:val="1EEB7551"/>
    <w:rsid w:val="1EEE2819"/>
    <w:rsid w:val="1EF81C6E"/>
    <w:rsid w:val="1EFA7794"/>
    <w:rsid w:val="1EFD1033"/>
    <w:rsid w:val="1EFE4079"/>
    <w:rsid w:val="1EFF4DAB"/>
    <w:rsid w:val="1F0B0BE6"/>
    <w:rsid w:val="1F0D396C"/>
    <w:rsid w:val="1F0E1492"/>
    <w:rsid w:val="1F0E4FEE"/>
    <w:rsid w:val="1F120F82"/>
    <w:rsid w:val="1F132C50"/>
    <w:rsid w:val="1F134CFA"/>
    <w:rsid w:val="1F2111C5"/>
    <w:rsid w:val="1F234F3D"/>
    <w:rsid w:val="1F244811"/>
    <w:rsid w:val="1F262338"/>
    <w:rsid w:val="1F2A132B"/>
    <w:rsid w:val="1F2E38E2"/>
    <w:rsid w:val="1F305C94"/>
    <w:rsid w:val="1F3C7DAD"/>
    <w:rsid w:val="1F3F789D"/>
    <w:rsid w:val="1F422EEA"/>
    <w:rsid w:val="1F444E82"/>
    <w:rsid w:val="1F486752"/>
    <w:rsid w:val="1F5275D0"/>
    <w:rsid w:val="1F574BE7"/>
    <w:rsid w:val="1F59095F"/>
    <w:rsid w:val="1F5B41C0"/>
    <w:rsid w:val="1F5E5F75"/>
    <w:rsid w:val="1F6317DE"/>
    <w:rsid w:val="1F662DAC"/>
    <w:rsid w:val="1F6B2440"/>
    <w:rsid w:val="1F6B347B"/>
    <w:rsid w:val="1F6D440A"/>
    <w:rsid w:val="1F6D7F66"/>
    <w:rsid w:val="1F6E1F30"/>
    <w:rsid w:val="1F705CA9"/>
    <w:rsid w:val="1F721A21"/>
    <w:rsid w:val="1F72557D"/>
    <w:rsid w:val="1F7532BF"/>
    <w:rsid w:val="1F754A6A"/>
    <w:rsid w:val="1F811C64"/>
    <w:rsid w:val="1F817EB6"/>
    <w:rsid w:val="1F897DB8"/>
    <w:rsid w:val="1F8D23B7"/>
    <w:rsid w:val="1F901EA7"/>
    <w:rsid w:val="1F971487"/>
    <w:rsid w:val="1FA12306"/>
    <w:rsid w:val="1FA45952"/>
    <w:rsid w:val="1FA6791C"/>
    <w:rsid w:val="1FA8046F"/>
    <w:rsid w:val="1FA83694"/>
    <w:rsid w:val="1FA94D17"/>
    <w:rsid w:val="1FAA740D"/>
    <w:rsid w:val="1FAE057F"/>
    <w:rsid w:val="1FAF67D1"/>
    <w:rsid w:val="1FB02549"/>
    <w:rsid w:val="1FB628E0"/>
    <w:rsid w:val="1FB64FEF"/>
    <w:rsid w:val="1FB71EFF"/>
    <w:rsid w:val="1FB8145E"/>
    <w:rsid w:val="1FC16504"/>
    <w:rsid w:val="1FC85AE5"/>
    <w:rsid w:val="1FCF0C21"/>
    <w:rsid w:val="1FD60202"/>
    <w:rsid w:val="1FD91AA0"/>
    <w:rsid w:val="1FDB5818"/>
    <w:rsid w:val="1FDB75C6"/>
    <w:rsid w:val="1FE346CD"/>
    <w:rsid w:val="1FE43FA1"/>
    <w:rsid w:val="1FE50445"/>
    <w:rsid w:val="1FE612D2"/>
    <w:rsid w:val="1FEB114C"/>
    <w:rsid w:val="1FF0469F"/>
    <w:rsid w:val="1FF16DE9"/>
    <w:rsid w:val="1FF266BE"/>
    <w:rsid w:val="1FF40688"/>
    <w:rsid w:val="1FF57F5C"/>
    <w:rsid w:val="1FF67686"/>
    <w:rsid w:val="20000DDB"/>
    <w:rsid w:val="20087C8F"/>
    <w:rsid w:val="200A0E90"/>
    <w:rsid w:val="200C3C23"/>
    <w:rsid w:val="200D799B"/>
    <w:rsid w:val="201B4EAC"/>
    <w:rsid w:val="20254CE5"/>
    <w:rsid w:val="20270A5D"/>
    <w:rsid w:val="202820DF"/>
    <w:rsid w:val="202A7ED1"/>
    <w:rsid w:val="202B1BD0"/>
    <w:rsid w:val="202C7E22"/>
    <w:rsid w:val="202D1DEC"/>
    <w:rsid w:val="202F16C0"/>
    <w:rsid w:val="20337402"/>
    <w:rsid w:val="20340A84"/>
    <w:rsid w:val="20344F28"/>
    <w:rsid w:val="203C5B8B"/>
    <w:rsid w:val="203E3020"/>
    <w:rsid w:val="20450EE3"/>
    <w:rsid w:val="20474C5B"/>
    <w:rsid w:val="20476A09"/>
    <w:rsid w:val="204D7D98"/>
    <w:rsid w:val="204F3B10"/>
    <w:rsid w:val="20523600"/>
    <w:rsid w:val="20564E9E"/>
    <w:rsid w:val="20582329"/>
    <w:rsid w:val="2059498F"/>
    <w:rsid w:val="2059673D"/>
    <w:rsid w:val="205E01F7"/>
    <w:rsid w:val="206016CD"/>
    <w:rsid w:val="20612581"/>
    <w:rsid w:val="20644FC6"/>
    <w:rsid w:val="206550E2"/>
    <w:rsid w:val="20672C08"/>
    <w:rsid w:val="20673947"/>
    <w:rsid w:val="206770AC"/>
    <w:rsid w:val="20711CD8"/>
    <w:rsid w:val="20741056"/>
    <w:rsid w:val="207B66B3"/>
    <w:rsid w:val="2080016D"/>
    <w:rsid w:val="20815C2F"/>
    <w:rsid w:val="208336A3"/>
    <w:rsid w:val="20846070"/>
    <w:rsid w:val="20875058"/>
    <w:rsid w:val="20880DD0"/>
    <w:rsid w:val="208C6B12"/>
    <w:rsid w:val="208D02F8"/>
    <w:rsid w:val="208E04A1"/>
    <w:rsid w:val="209239FD"/>
    <w:rsid w:val="2099122F"/>
    <w:rsid w:val="20994D8B"/>
    <w:rsid w:val="209D6559"/>
    <w:rsid w:val="20A121E7"/>
    <w:rsid w:val="20A132EB"/>
    <w:rsid w:val="20A27B39"/>
    <w:rsid w:val="20A83220"/>
    <w:rsid w:val="20A91472"/>
    <w:rsid w:val="20A976C4"/>
    <w:rsid w:val="20AA51EA"/>
    <w:rsid w:val="20AE4CDA"/>
    <w:rsid w:val="20B0213D"/>
    <w:rsid w:val="20BA367F"/>
    <w:rsid w:val="20C04A0E"/>
    <w:rsid w:val="20C53DD2"/>
    <w:rsid w:val="20C64363"/>
    <w:rsid w:val="20CE0ED9"/>
    <w:rsid w:val="20CF4C51"/>
    <w:rsid w:val="20D02EA3"/>
    <w:rsid w:val="20D109C9"/>
    <w:rsid w:val="20D84AEF"/>
    <w:rsid w:val="20DA787E"/>
    <w:rsid w:val="20DE5FD7"/>
    <w:rsid w:val="20E24984"/>
    <w:rsid w:val="20EE157B"/>
    <w:rsid w:val="20EF5828"/>
    <w:rsid w:val="20F16975"/>
    <w:rsid w:val="20F3093F"/>
    <w:rsid w:val="20F36B91"/>
    <w:rsid w:val="20F36C7A"/>
    <w:rsid w:val="20F425EE"/>
    <w:rsid w:val="20F54A7D"/>
    <w:rsid w:val="20F63F8C"/>
    <w:rsid w:val="20F76085"/>
    <w:rsid w:val="20F94EA8"/>
    <w:rsid w:val="20FC3C98"/>
    <w:rsid w:val="21042B4C"/>
    <w:rsid w:val="21050673"/>
    <w:rsid w:val="210963B5"/>
    <w:rsid w:val="211014F1"/>
    <w:rsid w:val="211865F8"/>
    <w:rsid w:val="211B39F2"/>
    <w:rsid w:val="211D2ED8"/>
    <w:rsid w:val="211F1734"/>
    <w:rsid w:val="212154AC"/>
    <w:rsid w:val="21240AF9"/>
    <w:rsid w:val="21244D7F"/>
    <w:rsid w:val="21262AC3"/>
    <w:rsid w:val="212A1E87"/>
    <w:rsid w:val="212E1977"/>
    <w:rsid w:val="212F75DD"/>
    <w:rsid w:val="21303941"/>
    <w:rsid w:val="2130749E"/>
    <w:rsid w:val="214B077B"/>
    <w:rsid w:val="214C62A1"/>
    <w:rsid w:val="214E3B8E"/>
    <w:rsid w:val="215018EE"/>
    <w:rsid w:val="21507EF7"/>
    <w:rsid w:val="215122AF"/>
    <w:rsid w:val="21537630"/>
    <w:rsid w:val="21555156"/>
    <w:rsid w:val="215A09BE"/>
    <w:rsid w:val="215E491F"/>
    <w:rsid w:val="21613AFB"/>
    <w:rsid w:val="216A0FCF"/>
    <w:rsid w:val="216B2BCB"/>
    <w:rsid w:val="216C1EE4"/>
    <w:rsid w:val="216C24A0"/>
    <w:rsid w:val="2173382E"/>
    <w:rsid w:val="21751354"/>
    <w:rsid w:val="21787096"/>
    <w:rsid w:val="217C0935"/>
    <w:rsid w:val="21817CF9"/>
    <w:rsid w:val="2186530F"/>
    <w:rsid w:val="21893052"/>
    <w:rsid w:val="218C20E8"/>
    <w:rsid w:val="21921716"/>
    <w:rsid w:val="21933ED0"/>
    <w:rsid w:val="219914E7"/>
    <w:rsid w:val="21997739"/>
    <w:rsid w:val="219A3A21"/>
    <w:rsid w:val="219A700D"/>
    <w:rsid w:val="219C0FD7"/>
    <w:rsid w:val="21A30C67"/>
    <w:rsid w:val="21B24356"/>
    <w:rsid w:val="21B26104"/>
    <w:rsid w:val="21B46321"/>
    <w:rsid w:val="21BA320B"/>
    <w:rsid w:val="21BC6F83"/>
    <w:rsid w:val="21C1459A"/>
    <w:rsid w:val="21C4408A"/>
    <w:rsid w:val="21C61BB0"/>
    <w:rsid w:val="21C81DCC"/>
    <w:rsid w:val="21CB18BC"/>
    <w:rsid w:val="21CB366A"/>
    <w:rsid w:val="21CD2F3E"/>
    <w:rsid w:val="21CF315A"/>
    <w:rsid w:val="21D00C81"/>
    <w:rsid w:val="21D544E9"/>
    <w:rsid w:val="21D70261"/>
    <w:rsid w:val="21DA565B"/>
    <w:rsid w:val="21DC5877"/>
    <w:rsid w:val="21E317D3"/>
    <w:rsid w:val="21E604A4"/>
    <w:rsid w:val="21E62252"/>
    <w:rsid w:val="21E63D10"/>
    <w:rsid w:val="21E85FCA"/>
    <w:rsid w:val="21EA1D42"/>
    <w:rsid w:val="21EA6602"/>
    <w:rsid w:val="21ED1832"/>
    <w:rsid w:val="21ED35E0"/>
    <w:rsid w:val="21F7445F"/>
    <w:rsid w:val="21F827B0"/>
    <w:rsid w:val="21FE134A"/>
    <w:rsid w:val="21FE28AD"/>
    <w:rsid w:val="22034BB2"/>
    <w:rsid w:val="22035997"/>
    <w:rsid w:val="22044FB8"/>
    <w:rsid w:val="220654FC"/>
    <w:rsid w:val="220F3557"/>
    <w:rsid w:val="22114593"/>
    <w:rsid w:val="22123047"/>
    <w:rsid w:val="22137BB5"/>
    <w:rsid w:val="221548E5"/>
    <w:rsid w:val="2217240B"/>
    <w:rsid w:val="221A1EFC"/>
    <w:rsid w:val="221E7C3E"/>
    <w:rsid w:val="222039B6"/>
    <w:rsid w:val="2221247E"/>
    <w:rsid w:val="222608A0"/>
    <w:rsid w:val="22265B0E"/>
    <w:rsid w:val="22266AF2"/>
    <w:rsid w:val="22280ABD"/>
    <w:rsid w:val="22370D00"/>
    <w:rsid w:val="22394A78"/>
    <w:rsid w:val="22405E06"/>
    <w:rsid w:val="22421B7E"/>
    <w:rsid w:val="22435FB6"/>
    <w:rsid w:val="22442632"/>
    <w:rsid w:val="22456F79"/>
    <w:rsid w:val="224D26CF"/>
    <w:rsid w:val="224F7DF7"/>
    <w:rsid w:val="22525B39"/>
    <w:rsid w:val="225673D8"/>
    <w:rsid w:val="2268710B"/>
    <w:rsid w:val="226C09A9"/>
    <w:rsid w:val="226E2973"/>
    <w:rsid w:val="22715FC0"/>
    <w:rsid w:val="22717D6E"/>
    <w:rsid w:val="22723AE6"/>
    <w:rsid w:val="2274785E"/>
    <w:rsid w:val="2278210B"/>
    <w:rsid w:val="22794E74"/>
    <w:rsid w:val="22804328"/>
    <w:rsid w:val="22804455"/>
    <w:rsid w:val="22821F7B"/>
    <w:rsid w:val="22873A35"/>
    <w:rsid w:val="228850B7"/>
    <w:rsid w:val="228A52D3"/>
    <w:rsid w:val="228B2608"/>
    <w:rsid w:val="228F28EA"/>
    <w:rsid w:val="22934188"/>
    <w:rsid w:val="22954DFB"/>
    <w:rsid w:val="22965A26"/>
    <w:rsid w:val="229972C4"/>
    <w:rsid w:val="229B303C"/>
    <w:rsid w:val="229B4DEB"/>
    <w:rsid w:val="22AD4B1E"/>
    <w:rsid w:val="22B20386"/>
    <w:rsid w:val="22B73A65"/>
    <w:rsid w:val="22B934C3"/>
    <w:rsid w:val="22B940BC"/>
    <w:rsid w:val="22BD7457"/>
    <w:rsid w:val="22C335E1"/>
    <w:rsid w:val="22C5455D"/>
    <w:rsid w:val="22CC043A"/>
    <w:rsid w:val="22D30A28"/>
    <w:rsid w:val="22D447A0"/>
    <w:rsid w:val="22DB78DD"/>
    <w:rsid w:val="22DE117B"/>
    <w:rsid w:val="22E20C6B"/>
    <w:rsid w:val="22E22A19"/>
    <w:rsid w:val="22E26EBD"/>
    <w:rsid w:val="22E340EA"/>
    <w:rsid w:val="22E54766"/>
    <w:rsid w:val="22E76282"/>
    <w:rsid w:val="22F15352"/>
    <w:rsid w:val="22F369D5"/>
    <w:rsid w:val="22F46CA6"/>
    <w:rsid w:val="22F64717"/>
    <w:rsid w:val="22F8223D"/>
    <w:rsid w:val="22F83EE6"/>
    <w:rsid w:val="22F84944"/>
    <w:rsid w:val="22FC1362"/>
    <w:rsid w:val="22FD7853"/>
    <w:rsid w:val="23024E6A"/>
    <w:rsid w:val="23030E94"/>
    <w:rsid w:val="230A01C2"/>
    <w:rsid w:val="230A1F70"/>
    <w:rsid w:val="230B634E"/>
    <w:rsid w:val="231150AD"/>
    <w:rsid w:val="2313236D"/>
    <w:rsid w:val="231C2767"/>
    <w:rsid w:val="231C55FA"/>
    <w:rsid w:val="231E77CA"/>
    <w:rsid w:val="23201794"/>
    <w:rsid w:val="2322235A"/>
    <w:rsid w:val="23270D74"/>
    <w:rsid w:val="232843B2"/>
    <w:rsid w:val="23285C68"/>
    <w:rsid w:val="232C1EE7"/>
    <w:rsid w:val="232C638A"/>
    <w:rsid w:val="233139A1"/>
    <w:rsid w:val="233174FD"/>
    <w:rsid w:val="23333275"/>
    <w:rsid w:val="23356FED"/>
    <w:rsid w:val="233C481F"/>
    <w:rsid w:val="2348104B"/>
    <w:rsid w:val="23492A98"/>
    <w:rsid w:val="234E00AF"/>
    <w:rsid w:val="234E4553"/>
    <w:rsid w:val="234F5BD5"/>
    <w:rsid w:val="23531B69"/>
    <w:rsid w:val="23563407"/>
    <w:rsid w:val="23566F63"/>
    <w:rsid w:val="2358717F"/>
    <w:rsid w:val="236218A8"/>
    <w:rsid w:val="23627FFE"/>
    <w:rsid w:val="23696C97"/>
    <w:rsid w:val="236B6EB3"/>
    <w:rsid w:val="23775858"/>
    <w:rsid w:val="237815D0"/>
    <w:rsid w:val="2378337E"/>
    <w:rsid w:val="237A5348"/>
    <w:rsid w:val="237B69CA"/>
    <w:rsid w:val="237C10C0"/>
    <w:rsid w:val="237C1404"/>
    <w:rsid w:val="23810484"/>
    <w:rsid w:val="23847CFE"/>
    <w:rsid w:val="238B1303"/>
    <w:rsid w:val="238E2BA1"/>
    <w:rsid w:val="23922691"/>
    <w:rsid w:val="239301B8"/>
    <w:rsid w:val="23947E72"/>
    <w:rsid w:val="23953F30"/>
    <w:rsid w:val="23963804"/>
    <w:rsid w:val="23977CA8"/>
    <w:rsid w:val="239C07D8"/>
    <w:rsid w:val="239D1036"/>
    <w:rsid w:val="23A11BDB"/>
    <w:rsid w:val="23A76F89"/>
    <w:rsid w:val="23B51EDC"/>
    <w:rsid w:val="23BA5744"/>
    <w:rsid w:val="23BD6FE3"/>
    <w:rsid w:val="23BF43F4"/>
    <w:rsid w:val="23C6233B"/>
    <w:rsid w:val="23C860B3"/>
    <w:rsid w:val="23CB3B95"/>
    <w:rsid w:val="23CB7951"/>
    <w:rsid w:val="23CD36CA"/>
    <w:rsid w:val="23CE2F9E"/>
    <w:rsid w:val="23D34A58"/>
    <w:rsid w:val="23D36806"/>
    <w:rsid w:val="23D71A69"/>
    <w:rsid w:val="23DD2CC9"/>
    <w:rsid w:val="23DF164F"/>
    <w:rsid w:val="23DF51AB"/>
    <w:rsid w:val="23EB1DA2"/>
    <w:rsid w:val="23ED3D6C"/>
    <w:rsid w:val="23EE14C2"/>
    <w:rsid w:val="23EE3640"/>
    <w:rsid w:val="23EE75CC"/>
    <w:rsid w:val="23F0560A"/>
    <w:rsid w:val="23F06621"/>
    <w:rsid w:val="23F2473C"/>
    <w:rsid w:val="23F26279"/>
    <w:rsid w:val="23F52C20"/>
    <w:rsid w:val="23F70746"/>
    <w:rsid w:val="23FE3883"/>
    <w:rsid w:val="23FF13A9"/>
    <w:rsid w:val="24030E99"/>
    <w:rsid w:val="2403533D"/>
    <w:rsid w:val="24044C11"/>
    <w:rsid w:val="240A160A"/>
    <w:rsid w:val="240E783E"/>
    <w:rsid w:val="240F3CE2"/>
    <w:rsid w:val="24155071"/>
    <w:rsid w:val="24183F62"/>
    <w:rsid w:val="241A0CCA"/>
    <w:rsid w:val="241E3F25"/>
    <w:rsid w:val="24213A15"/>
    <w:rsid w:val="24235937"/>
    <w:rsid w:val="24271FED"/>
    <w:rsid w:val="2427640F"/>
    <w:rsid w:val="242816A1"/>
    <w:rsid w:val="242B219E"/>
    <w:rsid w:val="242D5F16"/>
    <w:rsid w:val="2432177F"/>
    <w:rsid w:val="24343749"/>
    <w:rsid w:val="24376D95"/>
    <w:rsid w:val="24390D93"/>
    <w:rsid w:val="24394CCA"/>
    <w:rsid w:val="243B4AD7"/>
    <w:rsid w:val="244061E6"/>
    <w:rsid w:val="2443573A"/>
    <w:rsid w:val="24443260"/>
    <w:rsid w:val="244B1FE4"/>
    <w:rsid w:val="244B45EE"/>
    <w:rsid w:val="244E63D4"/>
    <w:rsid w:val="244F2331"/>
    <w:rsid w:val="24523BCF"/>
    <w:rsid w:val="24575689"/>
    <w:rsid w:val="24575886"/>
    <w:rsid w:val="245E07C6"/>
    <w:rsid w:val="246102B6"/>
    <w:rsid w:val="2463402E"/>
    <w:rsid w:val="24635540"/>
    <w:rsid w:val="24637B8A"/>
    <w:rsid w:val="246A0F18"/>
    <w:rsid w:val="246B4024"/>
    <w:rsid w:val="246B6D0B"/>
    <w:rsid w:val="246C2EE2"/>
    <w:rsid w:val="246E45E2"/>
    <w:rsid w:val="247A0BF5"/>
    <w:rsid w:val="248232F7"/>
    <w:rsid w:val="24833D88"/>
    <w:rsid w:val="24855D52"/>
    <w:rsid w:val="24863878"/>
    <w:rsid w:val="24885842"/>
    <w:rsid w:val="248F097F"/>
    <w:rsid w:val="24915D3F"/>
    <w:rsid w:val="24980BC0"/>
    <w:rsid w:val="249C4E4A"/>
    <w:rsid w:val="249D7540"/>
    <w:rsid w:val="24A0493A"/>
    <w:rsid w:val="24A26904"/>
    <w:rsid w:val="24A3267C"/>
    <w:rsid w:val="24A51F50"/>
    <w:rsid w:val="24A563F4"/>
    <w:rsid w:val="24A87C93"/>
    <w:rsid w:val="24AA57B9"/>
    <w:rsid w:val="24AD52A9"/>
    <w:rsid w:val="24AE43FE"/>
    <w:rsid w:val="24AF1021"/>
    <w:rsid w:val="24B65F0C"/>
    <w:rsid w:val="24B7354C"/>
    <w:rsid w:val="24BB79C6"/>
    <w:rsid w:val="24BE3012"/>
    <w:rsid w:val="24C06D8A"/>
    <w:rsid w:val="24C20D54"/>
    <w:rsid w:val="24C22B02"/>
    <w:rsid w:val="24C85C3F"/>
    <w:rsid w:val="24CA19B7"/>
    <w:rsid w:val="24CF6FCD"/>
    <w:rsid w:val="24D10F97"/>
    <w:rsid w:val="24D1550E"/>
    <w:rsid w:val="24DD793C"/>
    <w:rsid w:val="24E4622E"/>
    <w:rsid w:val="24E46F1D"/>
    <w:rsid w:val="24ED56A6"/>
    <w:rsid w:val="24EE1B49"/>
    <w:rsid w:val="24EF7670"/>
    <w:rsid w:val="24F1163A"/>
    <w:rsid w:val="24F44C86"/>
    <w:rsid w:val="24F627AC"/>
    <w:rsid w:val="24FB6014"/>
    <w:rsid w:val="24FF2C56"/>
    <w:rsid w:val="2500362B"/>
    <w:rsid w:val="25010B70"/>
    <w:rsid w:val="25076767"/>
    <w:rsid w:val="25084731"/>
    <w:rsid w:val="25090731"/>
    <w:rsid w:val="250F1AC0"/>
    <w:rsid w:val="25113A8A"/>
    <w:rsid w:val="2519649B"/>
    <w:rsid w:val="25234BBF"/>
    <w:rsid w:val="252A7D7C"/>
    <w:rsid w:val="252F3F10"/>
    <w:rsid w:val="25396B3D"/>
    <w:rsid w:val="253C66DC"/>
    <w:rsid w:val="253F05F7"/>
    <w:rsid w:val="254259F1"/>
    <w:rsid w:val="25457290"/>
    <w:rsid w:val="255120D8"/>
    <w:rsid w:val="25545725"/>
    <w:rsid w:val="255B2F57"/>
    <w:rsid w:val="255C14CA"/>
    <w:rsid w:val="255D7BA8"/>
    <w:rsid w:val="255E0351"/>
    <w:rsid w:val="25653ABA"/>
    <w:rsid w:val="256718FC"/>
    <w:rsid w:val="256B319A"/>
    <w:rsid w:val="256C6F12"/>
    <w:rsid w:val="256D0FF2"/>
    <w:rsid w:val="256F64B0"/>
    <w:rsid w:val="25714529"/>
    <w:rsid w:val="25787665"/>
    <w:rsid w:val="257A518B"/>
    <w:rsid w:val="257F09F3"/>
    <w:rsid w:val="257F31BB"/>
    <w:rsid w:val="25852D84"/>
    <w:rsid w:val="25867FD4"/>
    <w:rsid w:val="25873D4C"/>
    <w:rsid w:val="258778A8"/>
    <w:rsid w:val="25897AC4"/>
    <w:rsid w:val="258B0714"/>
    <w:rsid w:val="258E02F8"/>
    <w:rsid w:val="258E50DA"/>
    <w:rsid w:val="259A3A7F"/>
    <w:rsid w:val="259D0E7A"/>
    <w:rsid w:val="259F2E44"/>
    <w:rsid w:val="259F4BF2"/>
    <w:rsid w:val="25A0096A"/>
    <w:rsid w:val="25A1254D"/>
    <w:rsid w:val="25A14E0E"/>
    <w:rsid w:val="25A16BBC"/>
    <w:rsid w:val="25A51CA2"/>
    <w:rsid w:val="25A71CF8"/>
    <w:rsid w:val="25A77F4A"/>
    <w:rsid w:val="25A91C46"/>
    <w:rsid w:val="25AB3597"/>
    <w:rsid w:val="25AC6A99"/>
    <w:rsid w:val="25B12B77"/>
    <w:rsid w:val="25B14925"/>
    <w:rsid w:val="25B20DC9"/>
    <w:rsid w:val="25B6018D"/>
    <w:rsid w:val="25B61F3B"/>
    <w:rsid w:val="25BA5ED0"/>
    <w:rsid w:val="25C15D57"/>
    <w:rsid w:val="25C428AA"/>
    <w:rsid w:val="25C66622"/>
    <w:rsid w:val="25C74149"/>
    <w:rsid w:val="25CD79B1"/>
    <w:rsid w:val="25CE197B"/>
    <w:rsid w:val="25D33624"/>
    <w:rsid w:val="25DA20CE"/>
    <w:rsid w:val="25DC5E46"/>
    <w:rsid w:val="25DE1BBE"/>
    <w:rsid w:val="25E1345C"/>
    <w:rsid w:val="25E42F4C"/>
    <w:rsid w:val="25E847EB"/>
    <w:rsid w:val="25E940BF"/>
    <w:rsid w:val="25EB6089"/>
    <w:rsid w:val="25F0369F"/>
    <w:rsid w:val="25F82554"/>
    <w:rsid w:val="25FA62CC"/>
    <w:rsid w:val="25FC0296"/>
    <w:rsid w:val="26013AFE"/>
    <w:rsid w:val="26031625"/>
    <w:rsid w:val="26061115"/>
    <w:rsid w:val="260809E9"/>
    <w:rsid w:val="260E1D77"/>
    <w:rsid w:val="26154EB4"/>
    <w:rsid w:val="261C04DD"/>
    <w:rsid w:val="261C4494"/>
    <w:rsid w:val="261E645E"/>
    <w:rsid w:val="26215F4F"/>
    <w:rsid w:val="26265313"/>
    <w:rsid w:val="26282E39"/>
    <w:rsid w:val="262A67F5"/>
    <w:rsid w:val="262D66A1"/>
    <w:rsid w:val="26301CEE"/>
    <w:rsid w:val="26323CB8"/>
    <w:rsid w:val="26357304"/>
    <w:rsid w:val="263712CE"/>
    <w:rsid w:val="263F0183"/>
    <w:rsid w:val="26485289"/>
    <w:rsid w:val="265359DC"/>
    <w:rsid w:val="265B0B9B"/>
    <w:rsid w:val="265D154E"/>
    <w:rsid w:val="265F25D3"/>
    <w:rsid w:val="26616526"/>
    <w:rsid w:val="26630315"/>
    <w:rsid w:val="2668592C"/>
    <w:rsid w:val="266A3452"/>
    <w:rsid w:val="266D2F42"/>
    <w:rsid w:val="2670658E"/>
    <w:rsid w:val="26722306"/>
    <w:rsid w:val="267554DA"/>
    <w:rsid w:val="267B1C9E"/>
    <w:rsid w:val="268169ED"/>
    <w:rsid w:val="268D2FF6"/>
    <w:rsid w:val="268D5392"/>
    <w:rsid w:val="268D7140"/>
    <w:rsid w:val="26981E89"/>
    <w:rsid w:val="269830C4"/>
    <w:rsid w:val="26993D37"/>
    <w:rsid w:val="26995AE5"/>
    <w:rsid w:val="269B7AAF"/>
    <w:rsid w:val="269F0C21"/>
    <w:rsid w:val="26A02529"/>
    <w:rsid w:val="26A60202"/>
    <w:rsid w:val="26AA7CF2"/>
    <w:rsid w:val="26AD1590"/>
    <w:rsid w:val="26B60E4F"/>
    <w:rsid w:val="26B90AB9"/>
    <w:rsid w:val="26BD6A9C"/>
    <w:rsid w:val="26BE19EF"/>
    <w:rsid w:val="26C54B2C"/>
    <w:rsid w:val="26C708A4"/>
    <w:rsid w:val="26CB188A"/>
    <w:rsid w:val="26D05437"/>
    <w:rsid w:val="26D11357"/>
    <w:rsid w:val="26D144D4"/>
    <w:rsid w:val="26D7485F"/>
    <w:rsid w:val="26D905D7"/>
    <w:rsid w:val="26E03714"/>
    <w:rsid w:val="26E054C2"/>
    <w:rsid w:val="26E256DE"/>
    <w:rsid w:val="26E8081A"/>
    <w:rsid w:val="26EA00EF"/>
    <w:rsid w:val="26EB3E67"/>
    <w:rsid w:val="26F1147D"/>
    <w:rsid w:val="26F176CF"/>
    <w:rsid w:val="26F23447"/>
    <w:rsid w:val="26F86CAF"/>
    <w:rsid w:val="26F96584"/>
    <w:rsid w:val="26FB22FC"/>
    <w:rsid w:val="27005B64"/>
    <w:rsid w:val="270513CC"/>
    <w:rsid w:val="27082C6B"/>
    <w:rsid w:val="27090EBD"/>
    <w:rsid w:val="27117D71"/>
    <w:rsid w:val="27127645"/>
    <w:rsid w:val="2713110A"/>
    <w:rsid w:val="2714160F"/>
    <w:rsid w:val="2715567E"/>
    <w:rsid w:val="27225ADA"/>
    <w:rsid w:val="27281EA0"/>
    <w:rsid w:val="27286E69"/>
    <w:rsid w:val="272950BB"/>
    <w:rsid w:val="272A498F"/>
    <w:rsid w:val="272A55B9"/>
    <w:rsid w:val="272C0707"/>
    <w:rsid w:val="272C6959"/>
    <w:rsid w:val="272E26D1"/>
    <w:rsid w:val="273121C1"/>
    <w:rsid w:val="273A72C8"/>
    <w:rsid w:val="27483067"/>
    <w:rsid w:val="2749750B"/>
    <w:rsid w:val="274A3283"/>
    <w:rsid w:val="274A6239"/>
    <w:rsid w:val="274E2D73"/>
    <w:rsid w:val="274E4B21"/>
    <w:rsid w:val="274F0899"/>
    <w:rsid w:val="274F43F6"/>
    <w:rsid w:val="2751016E"/>
    <w:rsid w:val="275163C0"/>
    <w:rsid w:val="27547C5E"/>
    <w:rsid w:val="27554102"/>
    <w:rsid w:val="275639D6"/>
    <w:rsid w:val="275B2D9A"/>
    <w:rsid w:val="275B723E"/>
    <w:rsid w:val="275D4D64"/>
    <w:rsid w:val="27623B80"/>
    <w:rsid w:val="27624C01"/>
    <w:rsid w:val="276500BD"/>
    <w:rsid w:val="27651E6B"/>
    <w:rsid w:val="27673E35"/>
    <w:rsid w:val="27676D63"/>
    <w:rsid w:val="27693709"/>
    <w:rsid w:val="27743E5C"/>
    <w:rsid w:val="27764078"/>
    <w:rsid w:val="27767BD4"/>
    <w:rsid w:val="277A2222"/>
    <w:rsid w:val="277A3B68"/>
    <w:rsid w:val="277D1809"/>
    <w:rsid w:val="27802801"/>
    <w:rsid w:val="27826579"/>
    <w:rsid w:val="27873B8F"/>
    <w:rsid w:val="278B5B69"/>
    <w:rsid w:val="278C73F8"/>
    <w:rsid w:val="278E4F1E"/>
    <w:rsid w:val="278F0C96"/>
    <w:rsid w:val="27910EB2"/>
    <w:rsid w:val="27911943"/>
    <w:rsid w:val="27982240"/>
    <w:rsid w:val="279938C3"/>
    <w:rsid w:val="279A1B15"/>
    <w:rsid w:val="279B3ADF"/>
    <w:rsid w:val="279B763B"/>
    <w:rsid w:val="279D33B3"/>
    <w:rsid w:val="27AF30E6"/>
    <w:rsid w:val="27B34984"/>
    <w:rsid w:val="27B859FB"/>
    <w:rsid w:val="27BB5412"/>
    <w:rsid w:val="27C070A1"/>
    <w:rsid w:val="27C46B92"/>
    <w:rsid w:val="27C748D4"/>
    <w:rsid w:val="27C923FA"/>
    <w:rsid w:val="27CE17BE"/>
    <w:rsid w:val="27D33279"/>
    <w:rsid w:val="27DA0163"/>
    <w:rsid w:val="27DB3EDB"/>
    <w:rsid w:val="27DF5779"/>
    <w:rsid w:val="27E72880"/>
    <w:rsid w:val="27E86D24"/>
    <w:rsid w:val="27E9484A"/>
    <w:rsid w:val="27EE3C0E"/>
    <w:rsid w:val="27F12237"/>
    <w:rsid w:val="27F154AD"/>
    <w:rsid w:val="27F8174D"/>
    <w:rsid w:val="27F93E1B"/>
    <w:rsid w:val="27FA6A57"/>
    <w:rsid w:val="27FC457D"/>
    <w:rsid w:val="27FE6547"/>
    <w:rsid w:val="2802590C"/>
    <w:rsid w:val="28074CD0"/>
    <w:rsid w:val="280B656E"/>
    <w:rsid w:val="280E2503"/>
    <w:rsid w:val="28123A6A"/>
    <w:rsid w:val="2815563F"/>
    <w:rsid w:val="28180360"/>
    <w:rsid w:val="281A0EA7"/>
    <w:rsid w:val="281F64BE"/>
    <w:rsid w:val="28247630"/>
    <w:rsid w:val="2826333B"/>
    <w:rsid w:val="2826784C"/>
    <w:rsid w:val="282A0FBC"/>
    <w:rsid w:val="282B09BF"/>
    <w:rsid w:val="282D0BDB"/>
    <w:rsid w:val="282F4953"/>
    <w:rsid w:val="2835183D"/>
    <w:rsid w:val="28373807"/>
    <w:rsid w:val="283A32F8"/>
    <w:rsid w:val="283A6E54"/>
    <w:rsid w:val="283C2BCC"/>
    <w:rsid w:val="283D6944"/>
    <w:rsid w:val="283D69F1"/>
    <w:rsid w:val="283E4B96"/>
    <w:rsid w:val="283F0237"/>
    <w:rsid w:val="284303FE"/>
    <w:rsid w:val="284B1061"/>
    <w:rsid w:val="2852419D"/>
    <w:rsid w:val="28550131"/>
    <w:rsid w:val="285C7F19"/>
    <w:rsid w:val="286B34B1"/>
    <w:rsid w:val="286B525F"/>
    <w:rsid w:val="28701A4C"/>
    <w:rsid w:val="28727A72"/>
    <w:rsid w:val="287E1436"/>
    <w:rsid w:val="287E4F92"/>
    <w:rsid w:val="287F0D0A"/>
    <w:rsid w:val="288153D6"/>
    <w:rsid w:val="288A7DDB"/>
    <w:rsid w:val="2890116A"/>
    <w:rsid w:val="2894174F"/>
    <w:rsid w:val="28942A08"/>
    <w:rsid w:val="2897196C"/>
    <w:rsid w:val="28996270"/>
    <w:rsid w:val="289E3886"/>
    <w:rsid w:val="289E73E3"/>
    <w:rsid w:val="28A6273B"/>
    <w:rsid w:val="28A80261"/>
    <w:rsid w:val="28AD3ACA"/>
    <w:rsid w:val="28B07116"/>
    <w:rsid w:val="28B46C06"/>
    <w:rsid w:val="28B634BE"/>
    <w:rsid w:val="28BE7A85"/>
    <w:rsid w:val="28C033E3"/>
    <w:rsid w:val="28C50E13"/>
    <w:rsid w:val="28CD7CC8"/>
    <w:rsid w:val="28D63020"/>
    <w:rsid w:val="28D64DCE"/>
    <w:rsid w:val="28DA4193"/>
    <w:rsid w:val="28DB6D48"/>
    <w:rsid w:val="28E219C5"/>
    <w:rsid w:val="28E3573D"/>
    <w:rsid w:val="28E868B0"/>
    <w:rsid w:val="28EA3250"/>
    <w:rsid w:val="28EB63A0"/>
    <w:rsid w:val="28ED2118"/>
    <w:rsid w:val="28EE4750"/>
    <w:rsid w:val="28F16720"/>
    <w:rsid w:val="28F47776"/>
    <w:rsid w:val="28FB2A87"/>
    <w:rsid w:val="2902634B"/>
    <w:rsid w:val="29037B8D"/>
    <w:rsid w:val="29041AE9"/>
    <w:rsid w:val="29051210"/>
    <w:rsid w:val="290A4A78"/>
    <w:rsid w:val="290B259E"/>
    <w:rsid w:val="29114058"/>
    <w:rsid w:val="291470F2"/>
    <w:rsid w:val="2916341D"/>
    <w:rsid w:val="291678C1"/>
    <w:rsid w:val="291D0C4F"/>
    <w:rsid w:val="291D29FD"/>
    <w:rsid w:val="29257B04"/>
    <w:rsid w:val="2927562A"/>
    <w:rsid w:val="292A511A"/>
    <w:rsid w:val="292C49EE"/>
    <w:rsid w:val="292E01A8"/>
    <w:rsid w:val="292F0982"/>
    <w:rsid w:val="29310257"/>
    <w:rsid w:val="29325D7D"/>
    <w:rsid w:val="29332221"/>
    <w:rsid w:val="293711C1"/>
    <w:rsid w:val="29385A89"/>
    <w:rsid w:val="293D309F"/>
    <w:rsid w:val="293F655C"/>
    <w:rsid w:val="29451F54"/>
    <w:rsid w:val="29474DCF"/>
    <w:rsid w:val="294A1318"/>
    <w:rsid w:val="294A6240"/>
    <w:rsid w:val="295201CD"/>
    <w:rsid w:val="2959155B"/>
    <w:rsid w:val="295B1778"/>
    <w:rsid w:val="295C0655"/>
    <w:rsid w:val="295C3E2E"/>
    <w:rsid w:val="295E2F75"/>
    <w:rsid w:val="295E4DC4"/>
    <w:rsid w:val="295E5B46"/>
    <w:rsid w:val="296118F6"/>
    <w:rsid w:val="29612622"/>
    <w:rsid w:val="296879F1"/>
    <w:rsid w:val="29695C42"/>
    <w:rsid w:val="296D5007"/>
    <w:rsid w:val="296F6784"/>
    <w:rsid w:val="29707F5B"/>
    <w:rsid w:val="297D524A"/>
    <w:rsid w:val="29817EC4"/>
    <w:rsid w:val="29841FED"/>
    <w:rsid w:val="29842058"/>
    <w:rsid w:val="298760C9"/>
    <w:rsid w:val="29910CF5"/>
    <w:rsid w:val="29911D35"/>
    <w:rsid w:val="29934A6D"/>
    <w:rsid w:val="299410B5"/>
    <w:rsid w:val="299B2F17"/>
    <w:rsid w:val="299B4A98"/>
    <w:rsid w:val="299C3631"/>
    <w:rsid w:val="29A0362E"/>
    <w:rsid w:val="29A21154"/>
    <w:rsid w:val="29A44ECD"/>
    <w:rsid w:val="29A50C45"/>
    <w:rsid w:val="29A547A1"/>
    <w:rsid w:val="29A749BD"/>
    <w:rsid w:val="29AB0FF0"/>
    <w:rsid w:val="29AC468F"/>
    <w:rsid w:val="29AC5B2F"/>
    <w:rsid w:val="29AF138D"/>
    <w:rsid w:val="29B13146"/>
    <w:rsid w:val="29B64C00"/>
    <w:rsid w:val="29B669AE"/>
    <w:rsid w:val="29BF3AB4"/>
    <w:rsid w:val="29C535B3"/>
    <w:rsid w:val="29C94B05"/>
    <w:rsid w:val="29CA4D51"/>
    <w:rsid w:val="29CE1F49"/>
    <w:rsid w:val="29D15596"/>
    <w:rsid w:val="29D46E34"/>
    <w:rsid w:val="29D82DC8"/>
    <w:rsid w:val="29D86924"/>
    <w:rsid w:val="29DD218D"/>
    <w:rsid w:val="29E277A3"/>
    <w:rsid w:val="29E7008E"/>
    <w:rsid w:val="29EA3E3E"/>
    <w:rsid w:val="29EC0622"/>
    <w:rsid w:val="29EE439A"/>
    <w:rsid w:val="29F01EC0"/>
    <w:rsid w:val="29F04C94"/>
    <w:rsid w:val="29F319B0"/>
    <w:rsid w:val="29F32451"/>
    <w:rsid w:val="29FB0865"/>
    <w:rsid w:val="29FB2613"/>
    <w:rsid w:val="29FD1A50"/>
    <w:rsid w:val="29FF65A7"/>
    <w:rsid w:val="2A04596B"/>
    <w:rsid w:val="2A0506A0"/>
    <w:rsid w:val="2A065581"/>
    <w:rsid w:val="2A067935"/>
    <w:rsid w:val="2A07545B"/>
    <w:rsid w:val="2A094D30"/>
    <w:rsid w:val="2A0E2346"/>
    <w:rsid w:val="2A0E67EA"/>
    <w:rsid w:val="2A133E00"/>
    <w:rsid w:val="2A1425C1"/>
    <w:rsid w:val="2A157B78"/>
    <w:rsid w:val="2A1738F0"/>
    <w:rsid w:val="2A18258A"/>
    <w:rsid w:val="2A1A0CEB"/>
    <w:rsid w:val="2A1B43AD"/>
    <w:rsid w:val="2A1B4A63"/>
    <w:rsid w:val="2A1B6F7E"/>
    <w:rsid w:val="2A1C0F07"/>
    <w:rsid w:val="2A1D4C7F"/>
    <w:rsid w:val="2A222295"/>
    <w:rsid w:val="2A225DF1"/>
    <w:rsid w:val="2A263B34"/>
    <w:rsid w:val="2A2C6C70"/>
    <w:rsid w:val="2A2E4796"/>
    <w:rsid w:val="2A302AEF"/>
    <w:rsid w:val="2A3049B2"/>
    <w:rsid w:val="2A314286"/>
    <w:rsid w:val="2A385615"/>
    <w:rsid w:val="2A391AB9"/>
    <w:rsid w:val="2A3C5105"/>
    <w:rsid w:val="2A3D65CC"/>
    <w:rsid w:val="2A3E70CF"/>
    <w:rsid w:val="2A3F65DB"/>
    <w:rsid w:val="2A3F69A3"/>
    <w:rsid w:val="2A4E6BE6"/>
    <w:rsid w:val="2A50295E"/>
    <w:rsid w:val="2A5341FD"/>
    <w:rsid w:val="2A554419"/>
    <w:rsid w:val="2A557F75"/>
    <w:rsid w:val="2A596F1F"/>
    <w:rsid w:val="2A5F7045"/>
    <w:rsid w:val="2A602AE0"/>
    <w:rsid w:val="2A6603D4"/>
    <w:rsid w:val="2A68414C"/>
    <w:rsid w:val="2A6C52BE"/>
    <w:rsid w:val="2A756869"/>
    <w:rsid w:val="2A7C0B78"/>
    <w:rsid w:val="2A7C7BF7"/>
    <w:rsid w:val="2A7D74CC"/>
    <w:rsid w:val="2A7F3244"/>
    <w:rsid w:val="2A816FBC"/>
    <w:rsid w:val="2A825D63"/>
    <w:rsid w:val="2A832D34"/>
    <w:rsid w:val="2A8645D2"/>
    <w:rsid w:val="2A8C2599"/>
    <w:rsid w:val="2A8D770F"/>
    <w:rsid w:val="2A900FAD"/>
    <w:rsid w:val="2A97233B"/>
    <w:rsid w:val="2A9860B3"/>
    <w:rsid w:val="2A990C28"/>
    <w:rsid w:val="2A9C5BA4"/>
    <w:rsid w:val="2A9E7B6E"/>
    <w:rsid w:val="2AA1765E"/>
    <w:rsid w:val="2AA35184"/>
    <w:rsid w:val="2AA36F32"/>
    <w:rsid w:val="2AA44A58"/>
    <w:rsid w:val="2AA8279A"/>
    <w:rsid w:val="2AA82CC7"/>
    <w:rsid w:val="2AA86705"/>
    <w:rsid w:val="2AAA4765"/>
    <w:rsid w:val="2AAA5340"/>
    <w:rsid w:val="2AAD1B5F"/>
    <w:rsid w:val="2AB0164F"/>
    <w:rsid w:val="2AB033FD"/>
    <w:rsid w:val="2AB32EED"/>
    <w:rsid w:val="2AB729DE"/>
    <w:rsid w:val="2AB96756"/>
    <w:rsid w:val="2ACD3FAF"/>
    <w:rsid w:val="2ADC41F2"/>
    <w:rsid w:val="2AE01F34"/>
    <w:rsid w:val="2AE07443"/>
    <w:rsid w:val="2AE31A25"/>
    <w:rsid w:val="2AE412F9"/>
    <w:rsid w:val="2AE80DE9"/>
    <w:rsid w:val="2AE8703B"/>
    <w:rsid w:val="2AED4651"/>
    <w:rsid w:val="2AF21C68"/>
    <w:rsid w:val="2AF754D0"/>
    <w:rsid w:val="2AFA0B1C"/>
    <w:rsid w:val="2AFE685E"/>
    <w:rsid w:val="2B023227"/>
    <w:rsid w:val="2B05199B"/>
    <w:rsid w:val="2B065713"/>
    <w:rsid w:val="2B0674C1"/>
    <w:rsid w:val="2B073965"/>
    <w:rsid w:val="2B0A6FB1"/>
    <w:rsid w:val="2B116592"/>
    <w:rsid w:val="2B142FBB"/>
    <w:rsid w:val="2B1716CE"/>
    <w:rsid w:val="2B177920"/>
    <w:rsid w:val="2B277B63"/>
    <w:rsid w:val="2B2D4A4E"/>
    <w:rsid w:val="2B3019DE"/>
    <w:rsid w:val="2B381D70"/>
    <w:rsid w:val="2B3B360F"/>
    <w:rsid w:val="2B3C1135"/>
    <w:rsid w:val="2B404781"/>
    <w:rsid w:val="2B4215DB"/>
    <w:rsid w:val="2B473D61"/>
    <w:rsid w:val="2B487ADA"/>
    <w:rsid w:val="2B4C1378"/>
    <w:rsid w:val="2B4C581C"/>
    <w:rsid w:val="2B4F2C16"/>
    <w:rsid w:val="2B516861"/>
    <w:rsid w:val="2B536BAA"/>
    <w:rsid w:val="2B572DEC"/>
    <w:rsid w:val="2B595843"/>
    <w:rsid w:val="2B597E59"/>
    <w:rsid w:val="2B667F60"/>
    <w:rsid w:val="2B681C0A"/>
    <w:rsid w:val="2B6A5CA2"/>
    <w:rsid w:val="2B762899"/>
    <w:rsid w:val="2B785FB3"/>
    <w:rsid w:val="2B795EE5"/>
    <w:rsid w:val="2B7B7EAF"/>
    <w:rsid w:val="2B7D59D5"/>
    <w:rsid w:val="2B7D6AB0"/>
    <w:rsid w:val="2B7E34FB"/>
    <w:rsid w:val="2B7F4745"/>
    <w:rsid w:val="2B7F6702"/>
    <w:rsid w:val="2B807273"/>
    <w:rsid w:val="2B8241C8"/>
    <w:rsid w:val="2B844FB6"/>
    <w:rsid w:val="2B8723B0"/>
    <w:rsid w:val="2B8A1EA0"/>
    <w:rsid w:val="2B91412F"/>
    <w:rsid w:val="2B9351F9"/>
    <w:rsid w:val="2B9920E3"/>
    <w:rsid w:val="2B9B5E5B"/>
    <w:rsid w:val="2B9D6077"/>
    <w:rsid w:val="2BA07916"/>
    <w:rsid w:val="2BA243E6"/>
    <w:rsid w:val="2BA246D3"/>
    <w:rsid w:val="2BA33E43"/>
    <w:rsid w:val="2BA411B4"/>
    <w:rsid w:val="2BA56CDA"/>
    <w:rsid w:val="2BA80578"/>
    <w:rsid w:val="2BAA2542"/>
    <w:rsid w:val="2BAC62BA"/>
    <w:rsid w:val="2BB1742D"/>
    <w:rsid w:val="2BB46F1D"/>
    <w:rsid w:val="2BB62C95"/>
    <w:rsid w:val="2BBD2276"/>
    <w:rsid w:val="2BBF5FEE"/>
    <w:rsid w:val="2BC108E1"/>
    <w:rsid w:val="2BC25ADE"/>
    <w:rsid w:val="2BC5737C"/>
    <w:rsid w:val="2BC730F4"/>
    <w:rsid w:val="2BCA6741"/>
    <w:rsid w:val="2BCE4483"/>
    <w:rsid w:val="2BD4136D"/>
    <w:rsid w:val="2BD55811"/>
    <w:rsid w:val="2BD575BF"/>
    <w:rsid w:val="2BD63337"/>
    <w:rsid w:val="2BD870AF"/>
    <w:rsid w:val="2BE07D12"/>
    <w:rsid w:val="2BE27F2E"/>
    <w:rsid w:val="2BE45A54"/>
    <w:rsid w:val="2BEF7F55"/>
    <w:rsid w:val="2BF03F9A"/>
    <w:rsid w:val="2BF043F9"/>
    <w:rsid w:val="2BF37A45"/>
    <w:rsid w:val="2BF57C61"/>
    <w:rsid w:val="2BF8505C"/>
    <w:rsid w:val="2BFC0B5D"/>
    <w:rsid w:val="2BFD6B16"/>
    <w:rsid w:val="2BFE65C2"/>
    <w:rsid w:val="2BFE6C98"/>
    <w:rsid w:val="2BFF463C"/>
    <w:rsid w:val="2C0003B4"/>
    <w:rsid w:val="2C015FA1"/>
    <w:rsid w:val="2C025EDA"/>
    <w:rsid w:val="2C04518F"/>
    <w:rsid w:val="2C063C1D"/>
    <w:rsid w:val="2C097269"/>
    <w:rsid w:val="2C0C6D59"/>
    <w:rsid w:val="2C1005F7"/>
    <w:rsid w:val="2C163E61"/>
    <w:rsid w:val="2C1C51EE"/>
    <w:rsid w:val="2C207AE4"/>
    <w:rsid w:val="2C2220D9"/>
    <w:rsid w:val="2C225C6C"/>
    <w:rsid w:val="2C26606D"/>
    <w:rsid w:val="2C2A71DF"/>
    <w:rsid w:val="2C2E2219"/>
    <w:rsid w:val="2C33078A"/>
    <w:rsid w:val="2C3A5002"/>
    <w:rsid w:val="2C3D33B6"/>
    <w:rsid w:val="2C3F2C8B"/>
    <w:rsid w:val="2C475FE3"/>
    <w:rsid w:val="2C477D91"/>
    <w:rsid w:val="2C4958B7"/>
    <w:rsid w:val="2C5F50DB"/>
    <w:rsid w:val="2C602C01"/>
    <w:rsid w:val="2C604E15"/>
    <w:rsid w:val="2C69460E"/>
    <w:rsid w:val="2C6B7F24"/>
    <w:rsid w:val="2C6D41A3"/>
    <w:rsid w:val="2C6E3570"/>
    <w:rsid w:val="2C714E0E"/>
    <w:rsid w:val="2C72738C"/>
    <w:rsid w:val="2C7A0167"/>
    <w:rsid w:val="2C7C3EDF"/>
    <w:rsid w:val="2C7C5C8D"/>
    <w:rsid w:val="2C7E7C57"/>
    <w:rsid w:val="2C844B41"/>
    <w:rsid w:val="2C863E6E"/>
    <w:rsid w:val="2C884632"/>
    <w:rsid w:val="2C8A130A"/>
    <w:rsid w:val="2C8D1C48"/>
    <w:rsid w:val="2C8E59C0"/>
    <w:rsid w:val="2C923702"/>
    <w:rsid w:val="2C9E20A7"/>
    <w:rsid w:val="2C9F3729"/>
    <w:rsid w:val="2CA451E4"/>
    <w:rsid w:val="2CA86A82"/>
    <w:rsid w:val="2CAB47C4"/>
    <w:rsid w:val="2CAD22EA"/>
    <w:rsid w:val="2CB273DB"/>
    <w:rsid w:val="2CB35427"/>
    <w:rsid w:val="2CBA0563"/>
    <w:rsid w:val="2CBA4A07"/>
    <w:rsid w:val="2CBA67B5"/>
    <w:rsid w:val="2CBF3680"/>
    <w:rsid w:val="2CC80ED2"/>
    <w:rsid w:val="2CCA2E9C"/>
    <w:rsid w:val="2CD755B9"/>
    <w:rsid w:val="2CD86C3B"/>
    <w:rsid w:val="2CDA6E57"/>
    <w:rsid w:val="2CDE06F5"/>
    <w:rsid w:val="2CDE24A4"/>
    <w:rsid w:val="2CE479CB"/>
    <w:rsid w:val="2CE51A84"/>
    <w:rsid w:val="2CE850D0"/>
    <w:rsid w:val="2CED6B8B"/>
    <w:rsid w:val="2CF10DAC"/>
    <w:rsid w:val="2CF27CFD"/>
    <w:rsid w:val="2CF47F19"/>
    <w:rsid w:val="2CF717B7"/>
    <w:rsid w:val="2CF9108B"/>
    <w:rsid w:val="2CFA4E04"/>
    <w:rsid w:val="2CFB12A7"/>
    <w:rsid w:val="2CFC0B7C"/>
    <w:rsid w:val="2CFF241A"/>
    <w:rsid w:val="2D067C4C"/>
    <w:rsid w:val="2D085772"/>
    <w:rsid w:val="2D087520"/>
    <w:rsid w:val="2D0A3299"/>
    <w:rsid w:val="2D0B5263"/>
    <w:rsid w:val="2D0C61FE"/>
    <w:rsid w:val="2D183756"/>
    <w:rsid w:val="2D183B14"/>
    <w:rsid w:val="2D1E6D44"/>
    <w:rsid w:val="2D241E80"/>
    <w:rsid w:val="2D265BF9"/>
    <w:rsid w:val="2D287BC3"/>
    <w:rsid w:val="2D2F2CFF"/>
    <w:rsid w:val="2D2F6636"/>
    <w:rsid w:val="2D336CD0"/>
    <w:rsid w:val="2D337E6C"/>
    <w:rsid w:val="2D3622E0"/>
    <w:rsid w:val="2D371BB4"/>
    <w:rsid w:val="2D375E6A"/>
    <w:rsid w:val="2D3C3E3E"/>
    <w:rsid w:val="2D3E2F42"/>
    <w:rsid w:val="2D412A32"/>
    <w:rsid w:val="2D450775"/>
    <w:rsid w:val="2D4542D1"/>
    <w:rsid w:val="2D4A18E7"/>
    <w:rsid w:val="2D4A5D8B"/>
    <w:rsid w:val="2D4B38B1"/>
    <w:rsid w:val="2D536E7A"/>
    <w:rsid w:val="2D55028C"/>
    <w:rsid w:val="2D561F89"/>
    <w:rsid w:val="2D564730"/>
    <w:rsid w:val="2D5B3AF4"/>
    <w:rsid w:val="2D5B7F98"/>
    <w:rsid w:val="2D5E5392"/>
    <w:rsid w:val="2D61515B"/>
    <w:rsid w:val="2D686211"/>
    <w:rsid w:val="2D71156A"/>
    <w:rsid w:val="2D727090"/>
    <w:rsid w:val="2D766B80"/>
    <w:rsid w:val="2D80717B"/>
    <w:rsid w:val="2D834DF9"/>
    <w:rsid w:val="2D880661"/>
    <w:rsid w:val="2D8868B3"/>
    <w:rsid w:val="2D8B00C8"/>
    <w:rsid w:val="2D8F19F0"/>
    <w:rsid w:val="2D8F379E"/>
    <w:rsid w:val="2D915768"/>
    <w:rsid w:val="2D990AC0"/>
    <w:rsid w:val="2D9C5EBB"/>
    <w:rsid w:val="2DA07759"/>
    <w:rsid w:val="2DA134D1"/>
    <w:rsid w:val="2DA3549B"/>
    <w:rsid w:val="2DA51213"/>
    <w:rsid w:val="2DA60AE7"/>
    <w:rsid w:val="2DA82AB1"/>
    <w:rsid w:val="2DAC07F4"/>
    <w:rsid w:val="2DAF2092"/>
    <w:rsid w:val="2DB25117"/>
    <w:rsid w:val="2DB31B82"/>
    <w:rsid w:val="2DB41456"/>
    <w:rsid w:val="2DB6188A"/>
    <w:rsid w:val="2DBB0A37"/>
    <w:rsid w:val="2DBB27E5"/>
    <w:rsid w:val="2DBC69BC"/>
    <w:rsid w:val="2DC0604D"/>
    <w:rsid w:val="2DC45B3D"/>
    <w:rsid w:val="2DC72F38"/>
    <w:rsid w:val="2DCC49F2"/>
    <w:rsid w:val="2DCE1B4F"/>
    <w:rsid w:val="2DCF44E2"/>
    <w:rsid w:val="2DD426B6"/>
    <w:rsid w:val="2DD45655"/>
    <w:rsid w:val="2DD85145"/>
    <w:rsid w:val="2DDD275B"/>
    <w:rsid w:val="2DDD65EA"/>
    <w:rsid w:val="2DE24215"/>
    <w:rsid w:val="2DE735DA"/>
    <w:rsid w:val="2DF06932"/>
    <w:rsid w:val="2DF33D2D"/>
    <w:rsid w:val="2DF45CF7"/>
    <w:rsid w:val="2DFB7085"/>
    <w:rsid w:val="2DFE0923"/>
    <w:rsid w:val="2DFF6B75"/>
    <w:rsid w:val="2E0028ED"/>
    <w:rsid w:val="2E016792"/>
    <w:rsid w:val="2E053A60"/>
    <w:rsid w:val="2E0925B3"/>
    <w:rsid w:val="2E0A4803"/>
    <w:rsid w:val="2E1168A9"/>
    <w:rsid w:val="2E124C62"/>
    <w:rsid w:val="2E156399"/>
    <w:rsid w:val="2E187C37"/>
    <w:rsid w:val="2E1D349F"/>
    <w:rsid w:val="2E20089A"/>
    <w:rsid w:val="2E262354"/>
    <w:rsid w:val="2E2C36E3"/>
    <w:rsid w:val="2E2E1209"/>
    <w:rsid w:val="2E3031D3"/>
    <w:rsid w:val="2E314878"/>
    <w:rsid w:val="2E3305CD"/>
    <w:rsid w:val="2E341724"/>
    <w:rsid w:val="2E3507E9"/>
    <w:rsid w:val="2E383E35"/>
    <w:rsid w:val="2E3B3926"/>
    <w:rsid w:val="2E3D144C"/>
    <w:rsid w:val="2E3D31FA"/>
    <w:rsid w:val="2E3E2F93"/>
    <w:rsid w:val="2E3F3416"/>
    <w:rsid w:val="2E3F6F72"/>
    <w:rsid w:val="2E426A62"/>
    <w:rsid w:val="2E497DF1"/>
    <w:rsid w:val="2E4A5917"/>
    <w:rsid w:val="2E4E18AB"/>
    <w:rsid w:val="2E580034"/>
    <w:rsid w:val="2E5A1FFE"/>
    <w:rsid w:val="2E5A3DAC"/>
    <w:rsid w:val="2E5B7B24"/>
    <w:rsid w:val="2E5C5D76"/>
    <w:rsid w:val="2E5D564A"/>
    <w:rsid w:val="2E60513A"/>
    <w:rsid w:val="2E615CCD"/>
    <w:rsid w:val="2E634AA7"/>
    <w:rsid w:val="2E6764C9"/>
    <w:rsid w:val="2E693FEF"/>
    <w:rsid w:val="2E6B420B"/>
    <w:rsid w:val="2E6C1D31"/>
    <w:rsid w:val="2E6D7F83"/>
    <w:rsid w:val="2E6E5AA9"/>
    <w:rsid w:val="2E725511"/>
    <w:rsid w:val="2E725599"/>
    <w:rsid w:val="2E7330BF"/>
    <w:rsid w:val="2E734E6D"/>
    <w:rsid w:val="2E750BE6"/>
    <w:rsid w:val="2E7806D6"/>
    <w:rsid w:val="2E786928"/>
    <w:rsid w:val="2E7C6418"/>
    <w:rsid w:val="2E7D3F3E"/>
    <w:rsid w:val="2E7F1A64"/>
    <w:rsid w:val="2E8452CD"/>
    <w:rsid w:val="2E8831F5"/>
    <w:rsid w:val="2E8B665B"/>
    <w:rsid w:val="2E8C5F2F"/>
    <w:rsid w:val="2E8E7EF9"/>
    <w:rsid w:val="2E8F0E06"/>
    <w:rsid w:val="2E8F7DEB"/>
    <w:rsid w:val="2E921798"/>
    <w:rsid w:val="2E933762"/>
    <w:rsid w:val="2E9547C3"/>
    <w:rsid w:val="2E954DE4"/>
    <w:rsid w:val="2E960B5C"/>
    <w:rsid w:val="2E9848D4"/>
    <w:rsid w:val="2E9B1B9C"/>
    <w:rsid w:val="2E9D1EEA"/>
    <w:rsid w:val="2EA17C2D"/>
    <w:rsid w:val="2EA63495"/>
    <w:rsid w:val="2EA774F0"/>
    <w:rsid w:val="2EA96AE1"/>
    <w:rsid w:val="2EAC037F"/>
    <w:rsid w:val="2EAD4823"/>
    <w:rsid w:val="2EAD65D1"/>
    <w:rsid w:val="2EB060C2"/>
    <w:rsid w:val="2EB23BE8"/>
    <w:rsid w:val="2EB6433C"/>
    <w:rsid w:val="2EB711FE"/>
    <w:rsid w:val="2EB92C47"/>
    <w:rsid w:val="2EC13E2B"/>
    <w:rsid w:val="2EC15BD9"/>
    <w:rsid w:val="2EC27BA3"/>
    <w:rsid w:val="2EC35DF5"/>
    <w:rsid w:val="2EC4512B"/>
    <w:rsid w:val="2EC7382E"/>
    <w:rsid w:val="2ED0406E"/>
    <w:rsid w:val="2ED27DE6"/>
    <w:rsid w:val="2ED55B28"/>
    <w:rsid w:val="2EDA4EED"/>
    <w:rsid w:val="2EDA6C9B"/>
    <w:rsid w:val="2EDB6FB6"/>
    <w:rsid w:val="2EDE0530"/>
    <w:rsid w:val="2EE2371F"/>
    <w:rsid w:val="2EE63891"/>
    <w:rsid w:val="2EE91B36"/>
    <w:rsid w:val="2EE93382"/>
    <w:rsid w:val="2EEB70FA"/>
    <w:rsid w:val="2EF57EF8"/>
    <w:rsid w:val="2EF57F78"/>
    <w:rsid w:val="2EFE6E2D"/>
    <w:rsid w:val="2F034443"/>
    <w:rsid w:val="2F05640D"/>
    <w:rsid w:val="2F0A3A24"/>
    <w:rsid w:val="2F10090E"/>
    <w:rsid w:val="2F103B63"/>
    <w:rsid w:val="2F124686"/>
    <w:rsid w:val="2F126434"/>
    <w:rsid w:val="2F1523C9"/>
    <w:rsid w:val="2F1A178D"/>
    <w:rsid w:val="2F1C004F"/>
    <w:rsid w:val="2F1E74CF"/>
    <w:rsid w:val="2F211BCE"/>
    <w:rsid w:val="2F236894"/>
    <w:rsid w:val="2F2443BA"/>
    <w:rsid w:val="2F261EE0"/>
    <w:rsid w:val="2F266384"/>
    <w:rsid w:val="2F2B74F6"/>
    <w:rsid w:val="2F2E610F"/>
    <w:rsid w:val="2F320885"/>
    <w:rsid w:val="2F391C13"/>
    <w:rsid w:val="2F3A0D62"/>
    <w:rsid w:val="2F3E191F"/>
    <w:rsid w:val="2F3E7229"/>
    <w:rsid w:val="2F436F36"/>
    <w:rsid w:val="2F4419BB"/>
    <w:rsid w:val="2F491405"/>
    <w:rsid w:val="2F4A3E20"/>
    <w:rsid w:val="2F4B7B98"/>
    <w:rsid w:val="2F4F58DB"/>
    <w:rsid w:val="2F503401"/>
    <w:rsid w:val="2F5051AF"/>
    <w:rsid w:val="2F5527C5"/>
    <w:rsid w:val="2F570620"/>
    <w:rsid w:val="2F5B602D"/>
    <w:rsid w:val="2F5E167A"/>
    <w:rsid w:val="2F5E2E56"/>
    <w:rsid w:val="2F656EAC"/>
    <w:rsid w:val="2F68074A"/>
    <w:rsid w:val="2F6A2714"/>
    <w:rsid w:val="2F6A2B3A"/>
    <w:rsid w:val="2F6A44C2"/>
    <w:rsid w:val="2F6D3FB3"/>
    <w:rsid w:val="2F7075FF"/>
    <w:rsid w:val="2F725125"/>
    <w:rsid w:val="2F7470EF"/>
    <w:rsid w:val="2F754C15"/>
    <w:rsid w:val="2F7610B9"/>
    <w:rsid w:val="2F77273B"/>
    <w:rsid w:val="2F776BDF"/>
    <w:rsid w:val="2F7E1D1C"/>
    <w:rsid w:val="2F802600"/>
    <w:rsid w:val="2F866E22"/>
    <w:rsid w:val="2F880DEC"/>
    <w:rsid w:val="2F8C13F2"/>
    <w:rsid w:val="2F94153F"/>
    <w:rsid w:val="2F994DA8"/>
    <w:rsid w:val="2F9B28CE"/>
    <w:rsid w:val="2F9C6646"/>
    <w:rsid w:val="2F9E5F1A"/>
    <w:rsid w:val="2FA2183B"/>
    <w:rsid w:val="2FA23C5C"/>
    <w:rsid w:val="2FA379D4"/>
    <w:rsid w:val="2FA71273"/>
    <w:rsid w:val="2FAC28ED"/>
    <w:rsid w:val="2FAC6889"/>
    <w:rsid w:val="2FB15C4D"/>
    <w:rsid w:val="2FB50A1F"/>
    <w:rsid w:val="2FB82320"/>
    <w:rsid w:val="2FBF6E64"/>
    <w:rsid w:val="2FC35981"/>
    <w:rsid w:val="2FC72393"/>
    <w:rsid w:val="2FCD4A51"/>
    <w:rsid w:val="2FCE1F78"/>
    <w:rsid w:val="2FD1009E"/>
    <w:rsid w:val="2FD15E0C"/>
    <w:rsid w:val="2FD162F0"/>
    <w:rsid w:val="2FD30076"/>
    <w:rsid w:val="2FD44032"/>
    <w:rsid w:val="2FD45DE0"/>
    <w:rsid w:val="2FD63906"/>
    <w:rsid w:val="2FD858D0"/>
    <w:rsid w:val="2FDB2CCA"/>
    <w:rsid w:val="2FDB53C0"/>
    <w:rsid w:val="2FDD2EE6"/>
    <w:rsid w:val="2FE53B49"/>
    <w:rsid w:val="2FE778C1"/>
    <w:rsid w:val="2FEA73B1"/>
    <w:rsid w:val="2FEC3129"/>
    <w:rsid w:val="2FED0C50"/>
    <w:rsid w:val="2FED29FE"/>
    <w:rsid w:val="2FEF6776"/>
    <w:rsid w:val="2FF63FA8"/>
    <w:rsid w:val="2FF87D20"/>
    <w:rsid w:val="30030473"/>
    <w:rsid w:val="30032221"/>
    <w:rsid w:val="30051C7D"/>
    <w:rsid w:val="3005243D"/>
    <w:rsid w:val="300551AF"/>
    <w:rsid w:val="30073ABF"/>
    <w:rsid w:val="30093CDB"/>
    <w:rsid w:val="300A1801"/>
    <w:rsid w:val="300E7849"/>
    <w:rsid w:val="30156AF1"/>
    <w:rsid w:val="302A5A00"/>
    <w:rsid w:val="302C3D0E"/>
    <w:rsid w:val="302C5C1C"/>
    <w:rsid w:val="302D729E"/>
    <w:rsid w:val="302E3742"/>
    <w:rsid w:val="3034552F"/>
    <w:rsid w:val="30395C43"/>
    <w:rsid w:val="30446AC1"/>
    <w:rsid w:val="30470360"/>
    <w:rsid w:val="304765B2"/>
    <w:rsid w:val="304E0AA2"/>
    <w:rsid w:val="30534F57"/>
    <w:rsid w:val="30542A7D"/>
    <w:rsid w:val="30554D8E"/>
    <w:rsid w:val="305A62E5"/>
    <w:rsid w:val="305B1E40"/>
    <w:rsid w:val="305B205D"/>
    <w:rsid w:val="305B3F87"/>
    <w:rsid w:val="305B7FDF"/>
    <w:rsid w:val="305C2E10"/>
    <w:rsid w:val="305D4027"/>
    <w:rsid w:val="305D5DD5"/>
    <w:rsid w:val="30601421"/>
    <w:rsid w:val="3062163D"/>
    <w:rsid w:val="30637C21"/>
    <w:rsid w:val="30670A02"/>
    <w:rsid w:val="306929CC"/>
    <w:rsid w:val="306E1D90"/>
    <w:rsid w:val="30707DAF"/>
    <w:rsid w:val="30760C45"/>
    <w:rsid w:val="30766E97"/>
    <w:rsid w:val="30793D93"/>
    <w:rsid w:val="307F5D4C"/>
    <w:rsid w:val="30893C43"/>
    <w:rsid w:val="30901D07"/>
    <w:rsid w:val="30937A49"/>
    <w:rsid w:val="309612E7"/>
    <w:rsid w:val="309C68FD"/>
    <w:rsid w:val="309D4424"/>
    <w:rsid w:val="309D61D2"/>
    <w:rsid w:val="309F1F4A"/>
    <w:rsid w:val="30A43A04"/>
    <w:rsid w:val="30A5072E"/>
    <w:rsid w:val="30A92DC8"/>
    <w:rsid w:val="30AE4883"/>
    <w:rsid w:val="30B04157"/>
    <w:rsid w:val="30B348CD"/>
    <w:rsid w:val="30B362CA"/>
    <w:rsid w:val="30B55C11"/>
    <w:rsid w:val="30B71989"/>
    <w:rsid w:val="30BA6D84"/>
    <w:rsid w:val="30BC6FA0"/>
    <w:rsid w:val="30BD0622"/>
    <w:rsid w:val="30C05CFD"/>
    <w:rsid w:val="30C220DC"/>
    <w:rsid w:val="30C3032E"/>
    <w:rsid w:val="30C419B0"/>
    <w:rsid w:val="30C45E54"/>
    <w:rsid w:val="30C96FC7"/>
    <w:rsid w:val="30CA1FF6"/>
    <w:rsid w:val="30CD1A42"/>
    <w:rsid w:val="30CE0A81"/>
    <w:rsid w:val="30CE282F"/>
    <w:rsid w:val="30D065A7"/>
    <w:rsid w:val="30D51E0F"/>
    <w:rsid w:val="30D613BB"/>
    <w:rsid w:val="30D75B88"/>
    <w:rsid w:val="30D760FF"/>
    <w:rsid w:val="30E107B4"/>
    <w:rsid w:val="30E3277E"/>
    <w:rsid w:val="30E3452C"/>
    <w:rsid w:val="30E41357"/>
    <w:rsid w:val="30EC0F07"/>
    <w:rsid w:val="30F304E8"/>
    <w:rsid w:val="30F54260"/>
    <w:rsid w:val="30F71D86"/>
    <w:rsid w:val="30F93D50"/>
    <w:rsid w:val="31010E56"/>
    <w:rsid w:val="31046251"/>
    <w:rsid w:val="3106021B"/>
    <w:rsid w:val="31091D92"/>
    <w:rsid w:val="310B0227"/>
    <w:rsid w:val="310B6887"/>
    <w:rsid w:val="310E5321"/>
    <w:rsid w:val="310E70CF"/>
    <w:rsid w:val="310F76C9"/>
    <w:rsid w:val="31102E48"/>
    <w:rsid w:val="311961A0"/>
    <w:rsid w:val="311A3CC6"/>
    <w:rsid w:val="312132A7"/>
    <w:rsid w:val="31271F3F"/>
    <w:rsid w:val="3130226F"/>
    <w:rsid w:val="31307046"/>
    <w:rsid w:val="313A7EC4"/>
    <w:rsid w:val="313B4368"/>
    <w:rsid w:val="313C1E8F"/>
    <w:rsid w:val="313C3C3D"/>
    <w:rsid w:val="313E79B5"/>
    <w:rsid w:val="31462D0D"/>
    <w:rsid w:val="31464ABB"/>
    <w:rsid w:val="31480833"/>
    <w:rsid w:val="31490245"/>
    <w:rsid w:val="314D19A6"/>
    <w:rsid w:val="31501496"/>
    <w:rsid w:val="315076E8"/>
    <w:rsid w:val="31523460"/>
    <w:rsid w:val="31556AAC"/>
    <w:rsid w:val="31605B7D"/>
    <w:rsid w:val="316311C9"/>
    <w:rsid w:val="31682C84"/>
    <w:rsid w:val="316D029A"/>
    <w:rsid w:val="31717D8A"/>
    <w:rsid w:val="31774C75"/>
    <w:rsid w:val="31783D4D"/>
    <w:rsid w:val="31796C3F"/>
    <w:rsid w:val="317A2C3F"/>
    <w:rsid w:val="317A3401"/>
    <w:rsid w:val="317A4765"/>
    <w:rsid w:val="317E4255"/>
    <w:rsid w:val="31807329"/>
    <w:rsid w:val="318203D5"/>
    <w:rsid w:val="31853836"/>
    <w:rsid w:val="31855066"/>
    <w:rsid w:val="31857392"/>
    <w:rsid w:val="3186135C"/>
    <w:rsid w:val="318C4BC4"/>
    <w:rsid w:val="318D6246"/>
    <w:rsid w:val="31921AAF"/>
    <w:rsid w:val="31927D00"/>
    <w:rsid w:val="3195334D"/>
    <w:rsid w:val="31A0421A"/>
    <w:rsid w:val="31A517E2"/>
    <w:rsid w:val="31AB491E"/>
    <w:rsid w:val="31AF2660"/>
    <w:rsid w:val="31B163D9"/>
    <w:rsid w:val="31B45EC9"/>
    <w:rsid w:val="31B732C3"/>
    <w:rsid w:val="31C0661C"/>
    <w:rsid w:val="31C3435E"/>
    <w:rsid w:val="31C81974"/>
    <w:rsid w:val="31CD0D39"/>
    <w:rsid w:val="31CF685F"/>
    <w:rsid w:val="31D200FD"/>
    <w:rsid w:val="31D321EF"/>
    <w:rsid w:val="31D369AC"/>
    <w:rsid w:val="31D64091"/>
    <w:rsid w:val="31D73965"/>
    <w:rsid w:val="31E22A36"/>
    <w:rsid w:val="31E340B8"/>
    <w:rsid w:val="31E85B72"/>
    <w:rsid w:val="31EF6F01"/>
    <w:rsid w:val="31F462C5"/>
    <w:rsid w:val="31F6203D"/>
    <w:rsid w:val="31F77B64"/>
    <w:rsid w:val="31FB4569"/>
    <w:rsid w:val="31FB58A6"/>
    <w:rsid w:val="31FF1DF2"/>
    <w:rsid w:val="32052280"/>
    <w:rsid w:val="32081D71"/>
    <w:rsid w:val="320D55D9"/>
    <w:rsid w:val="320E382B"/>
    <w:rsid w:val="320F1351"/>
    <w:rsid w:val="32146967"/>
    <w:rsid w:val="32195D2C"/>
    <w:rsid w:val="321B1AA4"/>
    <w:rsid w:val="321B5F48"/>
    <w:rsid w:val="321F369F"/>
    <w:rsid w:val="3220355E"/>
    <w:rsid w:val="322070BA"/>
    <w:rsid w:val="32244DFC"/>
    <w:rsid w:val="32250B75"/>
    <w:rsid w:val="322828BB"/>
    <w:rsid w:val="322841C1"/>
    <w:rsid w:val="322C1F03"/>
    <w:rsid w:val="32335040"/>
    <w:rsid w:val="32364209"/>
    <w:rsid w:val="32384404"/>
    <w:rsid w:val="323A4620"/>
    <w:rsid w:val="323B2146"/>
    <w:rsid w:val="323D7C6C"/>
    <w:rsid w:val="3240150B"/>
    <w:rsid w:val="3243100D"/>
    <w:rsid w:val="324C4353"/>
    <w:rsid w:val="324E1E79"/>
    <w:rsid w:val="324F5BF1"/>
    <w:rsid w:val="32505FE5"/>
    <w:rsid w:val="32522B97"/>
    <w:rsid w:val="325356E2"/>
    <w:rsid w:val="32537490"/>
    <w:rsid w:val="32543208"/>
    <w:rsid w:val="32546D64"/>
    <w:rsid w:val="32580F24"/>
    <w:rsid w:val="32582CF8"/>
    <w:rsid w:val="32584AA6"/>
    <w:rsid w:val="325A081E"/>
    <w:rsid w:val="325A2A82"/>
    <w:rsid w:val="325B00F2"/>
    <w:rsid w:val="32607DFF"/>
    <w:rsid w:val="32625925"/>
    <w:rsid w:val="326571C3"/>
    <w:rsid w:val="32681EA9"/>
    <w:rsid w:val="32713DBA"/>
    <w:rsid w:val="327318E0"/>
    <w:rsid w:val="32755658"/>
    <w:rsid w:val="327A2C6E"/>
    <w:rsid w:val="327B2543"/>
    <w:rsid w:val="327C271A"/>
    <w:rsid w:val="327E2C3F"/>
    <w:rsid w:val="327E41AE"/>
    <w:rsid w:val="32825771"/>
    <w:rsid w:val="32874993"/>
    <w:rsid w:val="3287538B"/>
    <w:rsid w:val="32892EB1"/>
    <w:rsid w:val="328E04C8"/>
    <w:rsid w:val="32902492"/>
    <w:rsid w:val="32935ADE"/>
    <w:rsid w:val="3293788C"/>
    <w:rsid w:val="329A6E6D"/>
    <w:rsid w:val="329B0E37"/>
    <w:rsid w:val="329B2BE5"/>
    <w:rsid w:val="32A0644D"/>
    <w:rsid w:val="32B12408"/>
    <w:rsid w:val="32B141B6"/>
    <w:rsid w:val="32B810B0"/>
    <w:rsid w:val="32B83797"/>
    <w:rsid w:val="32BB5035"/>
    <w:rsid w:val="32BD6959"/>
    <w:rsid w:val="32C43EEA"/>
    <w:rsid w:val="32CC7242"/>
    <w:rsid w:val="32CE2FBA"/>
    <w:rsid w:val="32CE6B16"/>
    <w:rsid w:val="32D50666"/>
    <w:rsid w:val="32D94CDA"/>
    <w:rsid w:val="32E03C59"/>
    <w:rsid w:val="32E12CEE"/>
    <w:rsid w:val="32E20814"/>
    <w:rsid w:val="32E4773B"/>
    <w:rsid w:val="32E47AED"/>
    <w:rsid w:val="32E91BA2"/>
    <w:rsid w:val="32E945AA"/>
    <w:rsid w:val="32F43A29"/>
    <w:rsid w:val="32F81DE5"/>
    <w:rsid w:val="32F92702"/>
    <w:rsid w:val="32FA6BE3"/>
    <w:rsid w:val="32FD5495"/>
    <w:rsid w:val="33044C2E"/>
    <w:rsid w:val="33074B36"/>
    <w:rsid w:val="33092244"/>
    <w:rsid w:val="330C763F"/>
    <w:rsid w:val="330E1609"/>
    <w:rsid w:val="33105381"/>
    <w:rsid w:val="3313201A"/>
    <w:rsid w:val="33134E71"/>
    <w:rsid w:val="33152997"/>
    <w:rsid w:val="331A1D5C"/>
    <w:rsid w:val="331F55C4"/>
    <w:rsid w:val="3320382D"/>
    <w:rsid w:val="3321758E"/>
    <w:rsid w:val="33226E62"/>
    <w:rsid w:val="33266952"/>
    <w:rsid w:val="33305A23"/>
    <w:rsid w:val="3330731C"/>
    <w:rsid w:val="33323549"/>
    <w:rsid w:val="33332E1D"/>
    <w:rsid w:val="33352C19"/>
    <w:rsid w:val="333723D2"/>
    <w:rsid w:val="333C43C8"/>
    <w:rsid w:val="333F17C2"/>
    <w:rsid w:val="33423060"/>
    <w:rsid w:val="33435756"/>
    <w:rsid w:val="33446DD8"/>
    <w:rsid w:val="334C1344"/>
    <w:rsid w:val="334E7C57"/>
    <w:rsid w:val="33501C21"/>
    <w:rsid w:val="335214F5"/>
    <w:rsid w:val="335C05C6"/>
    <w:rsid w:val="335D0B51"/>
    <w:rsid w:val="33613E2E"/>
    <w:rsid w:val="3361798A"/>
    <w:rsid w:val="33656452"/>
    <w:rsid w:val="336D27D3"/>
    <w:rsid w:val="336D6CF3"/>
    <w:rsid w:val="33705E1F"/>
    <w:rsid w:val="33791178"/>
    <w:rsid w:val="337F6063"/>
    <w:rsid w:val="33857EBD"/>
    <w:rsid w:val="338611ED"/>
    <w:rsid w:val="33865643"/>
    <w:rsid w:val="33865E1C"/>
    <w:rsid w:val="338B0EAB"/>
    <w:rsid w:val="338B51B6"/>
    <w:rsid w:val="338D4DAE"/>
    <w:rsid w:val="338F274A"/>
    <w:rsid w:val="33923FE8"/>
    <w:rsid w:val="33947D60"/>
    <w:rsid w:val="339715FE"/>
    <w:rsid w:val="339733AC"/>
    <w:rsid w:val="339C09C3"/>
    <w:rsid w:val="339E0BDF"/>
    <w:rsid w:val="33A04957"/>
    <w:rsid w:val="33A12F47"/>
    <w:rsid w:val="33A15FD9"/>
    <w:rsid w:val="33A45AC9"/>
    <w:rsid w:val="33A67A93"/>
    <w:rsid w:val="33A9107E"/>
    <w:rsid w:val="33AA7583"/>
    <w:rsid w:val="33B10912"/>
    <w:rsid w:val="33B71CA0"/>
    <w:rsid w:val="33B8412C"/>
    <w:rsid w:val="33B9293B"/>
    <w:rsid w:val="33C5616B"/>
    <w:rsid w:val="33CA19D4"/>
    <w:rsid w:val="33CD3982"/>
    <w:rsid w:val="33D22636"/>
    <w:rsid w:val="33D4015C"/>
    <w:rsid w:val="33D44600"/>
    <w:rsid w:val="33D75E9F"/>
    <w:rsid w:val="33D80A95"/>
    <w:rsid w:val="33D91C17"/>
    <w:rsid w:val="33D97E69"/>
    <w:rsid w:val="33E16D1D"/>
    <w:rsid w:val="33EA3E24"/>
    <w:rsid w:val="33ED7470"/>
    <w:rsid w:val="33EF4F96"/>
    <w:rsid w:val="33F16F60"/>
    <w:rsid w:val="33F46A50"/>
    <w:rsid w:val="33FD3B57"/>
    <w:rsid w:val="340016D5"/>
    <w:rsid w:val="34012F1B"/>
    <w:rsid w:val="34056568"/>
    <w:rsid w:val="340622E0"/>
    <w:rsid w:val="340E6A4D"/>
    <w:rsid w:val="34120C85"/>
    <w:rsid w:val="34126ED7"/>
    <w:rsid w:val="34140EA1"/>
    <w:rsid w:val="34164C19"/>
    <w:rsid w:val="341744ED"/>
    <w:rsid w:val="341964B7"/>
    <w:rsid w:val="341B5D8B"/>
    <w:rsid w:val="342509B8"/>
    <w:rsid w:val="34254E5C"/>
    <w:rsid w:val="342A06C4"/>
    <w:rsid w:val="342C4FFC"/>
    <w:rsid w:val="342E1F62"/>
    <w:rsid w:val="342F5053"/>
    <w:rsid w:val="342F5CDB"/>
    <w:rsid w:val="343155AF"/>
    <w:rsid w:val="3431735D"/>
    <w:rsid w:val="34321327"/>
    <w:rsid w:val="343766E7"/>
    <w:rsid w:val="34384B8F"/>
    <w:rsid w:val="343926B5"/>
    <w:rsid w:val="343A70F7"/>
    <w:rsid w:val="343E5466"/>
    <w:rsid w:val="34452E08"/>
    <w:rsid w:val="344572AC"/>
    <w:rsid w:val="34473024"/>
    <w:rsid w:val="34474DD2"/>
    <w:rsid w:val="34491DD2"/>
    <w:rsid w:val="344A2B14"/>
    <w:rsid w:val="344C23E9"/>
    <w:rsid w:val="3454129D"/>
    <w:rsid w:val="345614B9"/>
    <w:rsid w:val="34565015"/>
    <w:rsid w:val="34570B55"/>
    <w:rsid w:val="34572B3B"/>
    <w:rsid w:val="34675474"/>
    <w:rsid w:val="3467570E"/>
    <w:rsid w:val="34735BC7"/>
    <w:rsid w:val="34761214"/>
    <w:rsid w:val="34767465"/>
    <w:rsid w:val="347D6A46"/>
    <w:rsid w:val="347E456C"/>
    <w:rsid w:val="34802092"/>
    <w:rsid w:val="34813D3F"/>
    <w:rsid w:val="34842A83"/>
    <w:rsid w:val="34897199"/>
    <w:rsid w:val="348E3489"/>
    <w:rsid w:val="34912222"/>
    <w:rsid w:val="349124F1"/>
    <w:rsid w:val="34967B08"/>
    <w:rsid w:val="34973908"/>
    <w:rsid w:val="349E2F7E"/>
    <w:rsid w:val="349F074A"/>
    <w:rsid w:val="34A060A7"/>
    <w:rsid w:val="34A22009"/>
    <w:rsid w:val="34A75871"/>
    <w:rsid w:val="34A77C54"/>
    <w:rsid w:val="34A83397"/>
    <w:rsid w:val="34AA710F"/>
    <w:rsid w:val="34AC2E87"/>
    <w:rsid w:val="34AC732B"/>
    <w:rsid w:val="34AF3F03"/>
    <w:rsid w:val="34B34216"/>
    <w:rsid w:val="34B47F8E"/>
    <w:rsid w:val="34B90A7B"/>
    <w:rsid w:val="34C603ED"/>
    <w:rsid w:val="34C91C8B"/>
    <w:rsid w:val="34D04DC8"/>
    <w:rsid w:val="34D31153"/>
    <w:rsid w:val="34D643A8"/>
    <w:rsid w:val="34D81ECE"/>
    <w:rsid w:val="34D83C7C"/>
    <w:rsid w:val="34E00D83"/>
    <w:rsid w:val="34E16FD5"/>
    <w:rsid w:val="34E46AC5"/>
    <w:rsid w:val="34E70363"/>
    <w:rsid w:val="34E940DB"/>
    <w:rsid w:val="34EA39B0"/>
    <w:rsid w:val="34EC7728"/>
    <w:rsid w:val="34EE524E"/>
    <w:rsid w:val="34EF0FC6"/>
    <w:rsid w:val="34F95406"/>
    <w:rsid w:val="34FE4250"/>
    <w:rsid w:val="34FF423F"/>
    <w:rsid w:val="35092088"/>
    <w:rsid w:val="350B5E00"/>
    <w:rsid w:val="350E769E"/>
    <w:rsid w:val="3511718E"/>
    <w:rsid w:val="3518676F"/>
    <w:rsid w:val="351A24E7"/>
    <w:rsid w:val="351F18AB"/>
    <w:rsid w:val="35213875"/>
    <w:rsid w:val="35245113"/>
    <w:rsid w:val="352769B2"/>
    <w:rsid w:val="35296AB6"/>
    <w:rsid w:val="35325A82"/>
    <w:rsid w:val="35335357"/>
    <w:rsid w:val="353A0493"/>
    <w:rsid w:val="353D7F83"/>
    <w:rsid w:val="353E3C50"/>
    <w:rsid w:val="353E4427"/>
    <w:rsid w:val="3541380F"/>
    <w:rsid w:val="3542559A"/>
    <w:rsid w:val="35531555"/>
    <w:rsid w:val="355754E9"/>
    <w:rsid w:val="355A28E3"/>
    <w:rsid w:val="355F3FE6"/>
    <w:rsid w:val="355F7EFA"/>
    <w:rsid w:val="35643762"/>
    <w:rsid w:val="35645510"/>
    <w:rsid w:val="35661288"/>
    <w:rsid w:val="356B157C"/>
    <w:rsid w:val="356C2617"/>
    <w:rsid w:val="35700359"/>
    <w:rsid w:val="357065AB"/>
    <w:rsid w:val="35730EFC"/>
    <w:rsid w:val="35775243"/>
    <w:rsid w:val="357838DE"/>
    <w:rsid w:val="357C6CFE"/>
    <w:rsid w:val="357E2A76"/>
    <w:rsid w:val="35871467"/>
    <w:rsid w:val="358D7245"/>
    <w:rsid w:val="358E6A31"/>
    <w:rsid w:val="3592207D"/>
    <w:rsid w:val="35951A60"/>
    <w:rsid w:val="35973B37"/>
    <w:rsid w:val="3599165E"/>
    <w:rsid w:val="359E6C74"/>
    <w:rsid w:val="359F2CFE"/>
    <w:rsid w:val="35A26038"/>
    <w:rsid w:val="35A65B28"/>
    <w:rsid w:val="35A973C7"/>
    <w:rsid w:val="35AB75E3"/>
    <w:rsid w:val="35AE2C2F"/>
    <w:rsid w:val="35B13A6F"/>
    <w:rsid w:val="35B30245"/>
    <w:rsid w:val="35B36039"/>
    <w:rsid w:val="35B75F88"/>
    <w:rsid w:val="35B83942"/>
    <w:rsid w:val="35BC359E"/>
    <w:rsid w:val="35C275C5"/>
    <w:rsid w:val="35C44201"/>
    <w:rsid w:val="35C81F43"/>
    <w:rsid w:val="35C918EE"/>
    <w:rsid w:val="35CB558F"/>
    <w:rsid w:val="35CD7559"/>
    <w:rsid w:val="35D24B6F"/>
    <w:rsid w:val="35D46B3A"/>
    <w:rsid w:val="35D73F34"/>
    <w:rsid w:val="35D94150"/>
    <w:rsid w:val="35E548A3"/>
    <w:rsid w:val="35E61110"/>
    <w:rsid w:val="35E825E5"/>
    <w:rsid w:val="35E87EEF"/>
    <w:rsid w:val="35ED19A9"/>
    <w:rsid w:val="35ED3757"/>
    <w:rsid w:val="35EF65E1"/>
    <w:rsid w:val="35F26FC0"/>
    <w:rsid w:val="35F47882"/>
    <w:rsid w:val="35F5085E"/>
    <w:rsid w:val="35F5260C"/>
    <w:rsid w:val="35F83081"/>
    <w:rsid w:val="35FA36F4"/>
    <w:rsid w:val="35FC75B3"/>
    <w:rsid w:val="36010FB1"/>
    <w:rsid w:val="36015455"/>
    <w:rsid w:val="36107446"/>
    <w:rsid w:val="36121410"/>
    <w:rsid w:val="361545CA"/>
    <w:rsid w:val="36154A5C"/>
    <w:rsid w:val="361B2A2D"/>
    <w:rsid w:val="36203B2D"/>
    <w:rsid w:val="36274EBB"/>
    <w:rsid w:val="362829E1"/>
    <w:rsid w:val="36297C02"/>
    <w:rsid w:val="362A675A"/>
    <w:rsid w:val="362C50F3"/>
    <w:rsid w:val="362F1FC2"/>
    <w:rsid w:val="363336F8"/>
    <w:rsid w:val="36345099"/>
    <w:rsid w:val="36356EAC"/>
    <w:rsid w:val="36394BEF"/>
    <w:rsid w:val="363E2205"/>
    <w:rsid w:val="36435A6D"/>
    <w:rsid w:val="364517E5"/>
    <w:rsid w:val="36483084"/>
    <w:rsid w:val="36485F1D"/>
    <w:rsid w:val="364C2B74"/>
    <w:rsid w:val="364C4922"/>
    <w:rsid w:val="3653029E"/>
    <w:rsid w:val="36575075"/>
    <w:rsid w:val="36603850"/>
    <w:rsid w:val="36632BAE"/>
    <w:rsid w:val="3667175C"/>
    <w:rsid w:val="3667350A"/>
    <w:rsid w:val="36674E48"/>
    <w:rsid w:val="366854D4"/>
    <w:rsid w:val="366F0610"/>
    <w:rsid w:val="367125DA"/>
    <w:rsid w:val="36721EAF"/>
    <w:rsid w:val="3679148F"/>
    <w:rsid w:val="367A61EA"/>
    <w:rsid w:val="367D2D2D"/>
    <w:rsid w:val="367D7C87"/>
    <w:rsid w:val="367E0853"/>
    <w:rsid w:val="367E6AA5"/>
    <w:rsid w:val="367F6311"/>
    <w:rsid w:val="368045CB"/>
    <w:rsid w:val="36806379"/>
    <w:rsid w:val="36826596"/>
    <w:rsid w:val="368340BC"/>
    <w:rsid w:val="36857E34"/>
    <w:rsid w:val="36873BAC"/>
    <w:rsid w:val="368A544A"/>
    <w:rsid w:val="368D0221"/>
    <w:rsid w:val="368D6CE8"/>
    <w:rsid w:val="36914A2B"/>
    <w:rsid w:val="36932551"/>
    <w:rsid w:val="369571B1"/>
    <w:rsid w:val="369938DF"/>
    <w:rsid w:val="369B31B3"/>
    <w:rsid w:val="36A35494"/>
    <w:rsid w:val="36A52284"/>
    <w:rsid w:val="36A77DAA"/>
    <w:rsid w:val="36AF3103"/>
    <w:rsid w:val="36B204FD"/>
    <w:rsid w:val="36B44275"/>
    <w:rsid w:val="36B83D65"/>
    <w:rsid w:val="36B9188B"/>
    <w:rsid w:val="36B97ADD"/>
    <w:rsid w:val="36BA5D2F"/>
    <w:rsid w:val="36BB3856"/>
    <w:rsid w:val="36BE50F4"/>
    <w:rsid w:val="36BF32BE"/>
    <w:rsid w:val="36C070BE"/>
    <w:rsid w:val="36C4095C"/>
    <w:rsid w:val="36C47130"/>
    <w:rsid w:val="36C95F72"/>
    <w:rsid w:val="36C97D20"/>
    <w:rsid w:val="36D13079"/>
    <w:rsid w:val="36D14E27"/>
    <w:rsid w:val="36D84407"/>
    <w:rsid w:val="36E0150E"/>
    <w:rsid w:val="36E27034"/>
    <w:rsid w:val="36E42DAC"/>
    <w:rsid w:val="36E52680"/>
    <w:rsid w:val="36E7464B"/>
    <w:rsid w:val="36E83F1F"/>
    <w:rsid w:val="36F079A3"/>
    <w:rsid w:val="36F66F57"/>
    <w:rsid w:val="36F9612C"/>
    <w:rsid w:val="36FF3742"/>
    <w:rsid w:val="3700570C"/>
    <w:rsid w:val="370074BA"/>
    <w:rsid w:val="37023232"/>
    <w:rsid w:val="370276D6"/>
    <w:rsid w:val="37076A9B"/>
    <w:rsid w:val="371414E7"/>
    <w:rsid w:val="37164F30"/>
    <w:rsid w:val="371B2546"/>
    <w:rsid w:val="371C0798"/>
    <w:rsid w:val="371D62BE"/>
    <w:rsid w:val="37225683"/>
    <w:rsid w:val="3724764D"/>
    <w:rsid w:val="372A4537"/>
    <w:rsid w:val="372A6CA3"/>
    <w:rsid w:val="372C4753"/>
    <w:rsid w:val="372E5DD5"/>
    <w:rsid w:val="372F1B4E"/>
    <w:rsid w:val="37307DA0"/>
    <w:rsid w:val="37313B18"/>
    <w:rsid w:val="3733163E"/>
    <w:rsid w:val="3733316B"/>
    <w:rsid w:val="37386C54"/>
    <w:rsid w:val="373A6E70"/>
    <w:rsid w:val="37403D5B"/>
    <w:rsid w:val="37472C35"/>
    <w:rsid w:val="374750E9"/>
    <w:rsid w:val="37476E97"/>
    <w:rsid w:val="374A6DC6"/>
    <w:rsid w:val="374E6478"/>
    <w:rsid w:val="37610F7D"/>
    <w:rsid w:val="376578FE"/>
    <w:rsid w:val="37667C65"/>
    <w:rsid w:val="376972DE"/>
    <w:rsid w:val="376E2676"/>
    <w:rsid w:val="377A54BF"/>
    <w:rsid w:val="378571E0"/>
    <w:rsid w:val="37863E63"/>
    <w:rsid w:val="3787198A"/>
    <w:rsid w:val="37922808"/>
    <w:rsid w:val="379824DC"/>
    <w:rsid w:val="37984609"/>
    <w:rsid w:val="379C3687"/>
    <w:rsid w:val="379C71E3"/>
    <w:rsid w:val="37A10C9D"/>
    <w:rsid w:val="37A24506"/>
    <w:rsid w:val="37A60062"/>
    <w:rsid w:val="37A61E10"/>
    <w:rsid w:val="37AF33BA"/>
    <w:rsid w:val="37C16C4A"/>
    <w:rsid w:val="37C329C2"/>
    <w:rsid w:val="37CA23C1"/>
    <w:rsid w:val="37CF1F8E"/>
    <w:rsid w:val="37D270A9"/>
    <w:rsid w:val="37D42E21"/>
    <w:rsid w:val="37DE3C9F"/>
    <w:rsid w:val="37DF17C6"/>
    <w:rsid w:val="37E172EC"/>
    <w:rsid w:val="37E64902"/>
    <w:rsid w:val="37EA18CB"/>
    <w:rsid w:val="37EB016A"/>
    <w:rsid w:val="37ED3EE3"/>
    <w:rsid w:val="37ED5C91"/>
    <w:rsid w:val="37F4701F"/>
    <w:rsid w:val="37F816EF"/>
    <w:rsid w:val="37F94635"/>
    <w:rsid w:val="37FA03AE"/>
    <w:rsid w:val="37FC2378"/>
    <w:rsid w:val="37FF7772"/>
    <w:rsid w:val="38003C16"/>
    <w:rsid w:val="380531F5"/>
    <w:rsid w:val="38073285"/>
    <w:rsid w:val="38080D1C"/>
    <w:rsid w:val="38084878"/>
    <w:rsid w:val="3809239F"/>
    <w:rsid w:val="380A6843"/>
    <w:rsid w:val="380B4369"/>
    <w:rsid w:val="3814321D"/>
    <w:rsid w:val="381476C1"/>
    <w:rsid w:val="381551E7"/>
    <w:rsid w:val="38163439"/>
    <w:rsid w:val="38194CD8"/>
    <w:rsid w:val="382611A3"/>
    <w:rsid w:val="38267DA4"/>
    <w:rsid w:val="382D0783"/>
    <w:rsid w:val="38303DCF"/>
    <w:rsid w:val="383438BF"/>
    <w:rsid w:val="3836588A"/>
    <w:rsid w:val="38392C84"/>
    <w:rsid w:val="383B53FB"/>
    <w:rsid w:val="383D6974"/>
    <w:rsid w:val="384004B6"/>
    <w:rsid w:val="38415FDC"/>
    <w:rsid w:val="38433B03"/>
    <w:rsid w:val="38433BC0"/>
    <w:rsid w:val="384358B1"/>
    <w:rsid w:val="384653A1"/>
    <w:rsid w:val="384D2E3D"/>
    <w:rsid w:val="384F6612"/>
    <w:rsid w:val="385775AE"/>
    <w:rsid w:val="385B0E4C"/>
    <w:rsid w:val="386121DB"/>
    <w:rsid w:val="38653A79"/>
    <w:rsid w:val="38675A43"/>
    <w:rsid w:val="386817BB"/>
    <w:rsid w:val="386C2B80"/>
    <w:rsid w:val="386C3059"/>
    <w:rsid w:val="386D4FA5"/>
    <w:rsid w:val="38710670"/>
    <w:rsid w:val="387119AC"/>
    <w:rsid w:val="387168C2"/>
    <w:rsid w:val="3872457D"/>
    <w:rsid w:val="38726196"/>
    <w:rsid w:val="38741F0E"/>
    <w:rsid w:val="38787C50"/>
    <w:rsid w:val="387D5266"/>
    <w:rsid w:val="387D6E41"/>
    <w:rsid w:val="387E2D8D"/>
    <w:rsid w:val="3881462B"/>
    <w:rsid w:val="388175B5"/>
    <w:rsid w:val="388303A3"/>
    <w:rsid w:val="388365F5"/>
    <w:rsid w:val="3885236D"/>
    <w:rsid w:val="3885411B"/>
    <w:rsid w:val="38871C41"/>
    <w:rsid w:val="38877E93"/>
    <w:rsid w:val="38887767"/>
    <w:rsid w:val="388C36FB"/>
    <w:rsid w:val="388F4F9A"/>
    <w:rsid w:val="389216BA"/>
    <w:rsid w:val="389600D6"/>
    <w:rsid w:val="389E51DD"/>
    <w:rsid w:val="38A02D03"/>
    <w:rsid w:val="38A10A8B"/>
    <w:rsid w:val="38A24CCD"/>
    <w:rsid w:val="38A26A7B"/>
    <w:rsid w:val="38A359B8"/>
    <w:rsid w:val="38AA5930"/>
    <w:rsid w:val="38AF73EA"/>
    <w:rsid w:val="38B60778"/>
    <w:rsid w:val="38B642D4"/>
    <w:rsid w:val="38BB18EB"/>
    <w:rsid w:val="38BB7B3D"/>
    <w:rsid w:val="38C70290"/>
    <w:rsid w:val="38C92729"/>
    <w:rsid w:val="38CC58A6"/>
    <w:rsid w:val="38CF5396"/>
    <w:rsid w:val="38D40BFF"/>
    <w:rsid w:val="38D806EF"/>
    <w:rsid w:val="38D8249D"/>
    <w:rsid w:val="38DE55D9"/>
    <w:rsid w:val="38E2331B"/>
    <w:rsid w:val="38E452E6"/>
    <w:rsid w:val="38E52E0C"/>
    <w:rsid w:val="38E928FC"/>
    <w:rsid w:val="38EC419A"/>
    <w:rsid w:val="38ED3A6E"/>
    <w:rsid w:val="38EE0521"/>
    <w:rsid w:val="38F66DC7"/>
    <w:rsid w:val="38F8669B"/>
    <w:rsid w:val="38F90665"/>
    <w:rsid w:val="38F95540"/>
    <w:rsid w:val="38FA68B7"/>
    <w:rsid w:val="38FC04B0"/>
    <w:rsid w:val="38FE7A29"/>
    <w:rsid w:val="390521DA"/>
    <w:rsid w:val="3905525C"/>
    <w:rsid w:val="39074B30"/>
    <w:rsid w:val="390C0398"/>
    <w:rsid w:val="390F43B7"/>
    <w:rsid w:val="390F4C36"/>
    <w:rsid w:val="39113C01"/>
    <w:rsid w:val="3912527E"/>
    <w:rsid w:val="3914724D"/>
    <w:rsid w:val="391517B8"/>
    <w:rsid w:val="39152EC2"/>
    <w:rsid w:val="391B05DB"/>
    <w:rsid w:val="391B682D"/>
    <w:rsid w:val="391D07F7"/>
    <w:rsid w:val="39203E44"/>
    <w:rsid w:val="3922196A"/>
    <w:rsid w:val="3925145A"/>
    <w:rsid w:val="3925647D"/>
    <w:rsid w:val="39273424"/>
    <w:rsid w:val="392751D2"/>
    <w:rsid w:val="39287DA4"/>
    <w:rsid w:val="392C4597"/>
    <w:rsid w:val="39335925"/>
    <w:rsid w:val="3938118D"/>
    <w:rsid w:val="393873DF"/>
    <w:rsid w:val="393B2A2C"/>
    <w:rsid w:val="393F076E"/>
    <w:rsid w:val="393F42CA"/>
    <w:rsid w:val="39447B32"/>
    <w:rsid w:val="394D4220"/>
    <w:rsid w:val="39504729"/>
    <w:rsid w:val="395104A1"/>
    <w:rsid w:val="3951224F"/>
    <w:rsid w:val="39551D3F"/>
    <w:rsid w:val="3958538C"/>
    <w:rsid w:val="395A7356"/>
    <w:rsid w:val="395D6E46"/>
    <w:rsid w:val="395F671A"/>
    <w:rsid w:val="3962445C"/>
    <w:rsid w:val="3962620A"/>
    <w:rsid w:val="39663F4D"/>
    <w:rsid w:val="39677CC5"/>
    <w:rsid w:val="396C0E37"/>
    <w:rsid w:val="396C7089"/>
    <w:rsid w:val="39754190"/>
    <w:rsid w:val="39783C80"/>
    <w:rsid w:val="397B72CC"/>
    <w:rsid w:val="39874E4E"/>
    <w:rsid w:val="398B39B3"/>
    <w:rsid w:val="398E5251"/>
    <w:rsid w:val="3991089E"/>
    <w:rsid w:val="39981C2C"/>
    <w:rsid w:val="399A1E48"/>
    <w:rsid w:val="399F745E"/>
    <w:rsid w:val="39A44A75"/>
    <w:rsid w:val="39A64349"/>
    <w:rsid w:val="39A71E6F"/>
    <w:rsid w:val="39A9208B"/>
    <w:rsid w:val="39B32F0A"/>
    <w:rsid w:val="39B34F87"/>
    <w:rsid w:val="39B5458C"/>
    <w:rsid w:val="39BA7DF4"/>
    <w:rsid w:val="39BC3B6C"/>
    <w:rsid w:val="39BC591B"/>
    <w:rsid w:val="39BD3F81"/>
    <w:rsid w:val="39BE5B37"/>
    <w:rsid w:val="39C72511"/>
    <w:rsid w:val="39C80763"/>
    <w:rsid w:val="39D013C6"/>
    <w:rsid w:val="39D23390"/>
    <w:rsid w:val="39DA0497"/>
    <w:rsid w:val="39E210F9"/>
    <w:rsid w:val="39E36AA1"/>
    <w:rsid w:val="39E41315"/>
    <w:rsid w:val="39E44E71"/>
    <w:rsid w:val="39E454D2"/>
    <w:rsid w:val="39E906DA"/>
    <w:rsid w:val="39EB4452"/>
    <w:rsid w:val="39ED01CA"/>
    <w:rsid w:val="39ED1F78"/>
    <w:rsid w:val="39F1794B"/>
    <w:rsid w:val="3A015A23"/>
    <w:rsid w:val="3A033549"/>
    <w:rsid w:val="3A0B0650"/>
    <w:rsid w:val="3A0C0885"/>
    <w:rsid w:val="3A10210A"/>
    <w:rsid w:val="3A146228"/>
    <w:rsid w:val="3A147389"/>
    <w:rsid w:val="3A173499"/>
    <w:rsid w:val="3A184B1B"/>
    <w:rsid w:val="3A1A4D37"/>
    <w:rsid w:val="3A1A6AE5"/>
    <w:rsid w:val="3A1C285D"/>
    <w:rsid w:val="3A1E65D5"/>
    <w:rsid w:val="3A1F234D"/>
    <w:rsid w:val="3A1F5EA9"/>
    <w:rsid w:val="3A233BEC"/>
    <w:rsid w:val="3A23599A"/>
    <w:rsid w:val="3A2664C1"/>
    <w:rsid w:val="3A2B2AA0"/>
    <w:rsid w:val="3A2D4A6A"/>
    <w:rsid w:val="3A2D6818"/>
    <w:rsid w:val="3A322081"/>
    <w:rsid w:val="3A331955"/>
    <w:rsid w:val="3A3A2CE3"/>
    <w:rsid w:val="3A3E27D3"/>
    <w:rsid w:val="3A3E7DD0"/>
    <w:rsid w:val="3A445910"/>
    <w:rsid w:val="3A4536E5"/>
    <w:rsid w:val="3A4835FE"/>
    <w:rsid w:val="3A485400"/>
    <w:rsid w:val="3A4B1E1E"/>
    <w:rsid w:val="3A4F49E1"/>
    <w:rsid w:val="3A5E2E76"/>
    <w:rsid w:val="3A6164C2"/>
    <w:rsid w:val="3A647D60"/>
    <w:rsid w:val="3A661D2A"/>
    <w:rsid w:val="3A686A7E"/>
    <w:rsid w:val="3A6A7A6C"/>
    <w:rsid w:val="3A6D130B"/>
    <w:rsid w:val="3A6D30B9"/>
    <w:rsid w:val="3A704957"/>
    <w:rsid w:val="3A712BA9"/>
    <w:rsid w:val="3A7B3A28"/>
    <w:rsid w:val="3A830B2E"/>
    <w:rsid w:val="3A8B0C83"/>
    <w:rsid w:val="3A8D72B7"/>
    <w:rsid w:val="3A914FF9"/>
    <w:rsid w:val="3A922B1F"/>
    <w:rsid w:val="3A955D37"/>
    <w:rsid w:val="3A970136"/>
    <w:rsid w:val="3A971EE4"/>
    <w:rsid w:val="3A982496"/>
    <w:rsid w:val="3A992100"/>
    <w:rsid w:val="3A993EAE"/>
    <w:rsid w:val="3A9B19D4"/>
    <w:rsid w:val="3A9C574C"/>
    <w:rsid w:val="3AA0348E"/>
    <w:rsid w:val="3AA55405"/>
    <w:rsid w:val="3AAA1C17"/>
    <w:rsid w:val="3AAC1E33"/>
    <w:rsid w:val="3AB07DC6"/>
    <w:rsid w:val="3AB111F7"/>
    <w:rsid w:val="3AB26D1E"/>
    <w:rsid w:val="3AB46F81"/>
    <w:rsid w:val="3AB94550"/>
    <w:rsid w:val="3ABD5DEE"/>
    <w:rsid w:val="3ABE660C"/>
    <w:rsid w:val="3AC0768C"/>
    <w:rsid w:val="3AC303B3"/>
    <w:rsid w:val="3AC32A70"/>
    <w:rsid w:val="3AC3717D"/>
    <w:rsid w:val="3AC44713"/>
    <w:rsid w:val="3AC5600A"/>
    <w:rsid w:val="3AC834FB"/>
    <w:rsid w:val="3AC972D3"/>
    <w:rsid w:val="3ACB0053"/>
    <w:rsid w:val="3ACD3B57"/>
    <w:rsid w:val="3ACF5B21"/>
    <w:rsid w:val="3AD13648"/>
    <w:rsid w:val="3AD153F6"/>
    <w:rsid w:val="3AD4466F"/>
    <w:rsid w:val="3ADB2D35"/>
    <w:rsid w:val="3ADC3D9A"/>
    <w:rsid w:val="3ADD023E"/>
    <w:rsid w:val="3AE07D2F"/>
    <w:rsid w:val="3AE113B1"/>
    <w:rsid w:val="3AE27603"/>
    <w:rsid w:val="3AE95405"/>
    <w:rsid w:val="3AE96BE3"/>
    <w:rsid w:val="3AEC66D3"/>
    <w:rsid w:val="3AED5FA8"/>
    <w:rsid w:val="3AEE23E3"/>
    <w:rsid w:val="3AEE244B"/>
    <w:rsid w:val="3AFC391A"/>
    <w:rsid w:val="3AFC4BC0"/>
    <w:rsid w:val="3AFE1F63"/>
    <w:rsid w:val="3B00217F"/>
    <w:rsid w:val="3B021A53"/>
    <w:rsid w:val="3B043A1D"/>
    <w:rsid w:val="3B07350D"/>
    <w:rsid w:val="3B0752BB"/>
    <w:rsid w:val="3B091033"/>
    <w:rsid w:val="3B0C16BA"/>
    <w:rsid w:val="3B141786"/>
    <w:rsid w:val="3B1479D8"/>
    <w:rsid w:val="3B152FA4"/>
    <w:rsid w:val="3B1874C8"/>
    <w:rsid w:val="3B1D050A"/>
    <w:rsid w:val="3B20637D"/>
    <w:rsid w:val="3B247C1B"/>
    <w:rsid w:val="3B2714BA"/>
    <w:rsid w:val="3B273268"/>
    <w:rsid w:val="3B293484"/>
    <w:rsid w:val="3B2C3DF2"/>
    <w:rsid w:val="3B2C6AD0"/>
    <w:rsid w:val="3B2F670A"/>
    <w:rsid w:val="3B333C93"/>
    <w:rsid w:val="3B345984"/>
    <w:rsid w:val="3B351E28"/>
    <w:rsid w:val="3B3616FD"/>
    <w:rsid w:val="3B36797A"/>
    <w:rsid w:val="3B381D4F"/>
    <w:rsid w:val="3B3B6D13"/>
    <w:rsid w:val="3B3E6803"/>
    <w:rsid w:val="3B3F4A55"/>
    <w:rsid w:val="3B40257B"/>
    <w:rsid w:val="3B410D79"/>
    <w:rsid w:val="3B451940"/>
    <w:rsid w:val="3B471B5C"/>
    <w:rsid w:val="3B491430"/>
    <w:rsid w:val="3B4A33FA"/>
    <w:rsid w:val="3B4C7172"/>
    <w:rsid w:val="3B505A43"/>
    <w:rsid w:val="3B521AA4"/>
    <w:rsid w:val="3B530501"/>
    <w:rsid w:val="3B550DF4"/>
    <w:rsid w:val="3B554279"/>
    <w:rsid w:val="3B567FF1"/>
    <w:rsid w:val="3B576E95"/>
    <w:rsid w:val="3B5F5750"/>
    <w:rsid w:val="3B5F6EA5"/>
    <w:rsid w:val="3B6224F2"/>
    <w:rsid w:val="3B693880"/>
    <w:rsid w:val="3B6C19C8"/>
    <w:rsid w:val="3B6C511E"/>
    <w:rsid w:val="3B6E533A"/>
    <w:rsid w:val="3B6E70E8"/>
    <w:rsid w:val="3B702E61"/>
    <w:rsid w:val="3B7346FF"/>
    <w:rsid w:val="3B762441"/>
    <w:rsid w:val="3B781D15"/>
    <w:rsid w:val="3B7823A5"/>
    <w:rsid w:val="3B7A5A8D"/>
    <w:rsid w:val="3B7B1805"/>
    <w:rsid w:val="3B7C1FEF"/>
    <w:rsid w:val="3B7F4E52"/>
    <w:rsid w:val="3B842468"/>
    <w:rsid w:val="3B8701AA"/>
    <w:rsid w:val="3B893F22"/>
    <w:rsid w:val="3B90393F"/>
    <w:rsid w:val="3B914B85"/>
    <w:rsid w:val="3B9308FD"/>
    <w:rsid w:val="3B985F13"/>
    <w:rsid w:val="3B9A1C8B"/>
    <w:rsid w:val="3B9C3465"/>
    <w:rsid w:val="3B9D177C"/>
    <w:rsid w:val="3B9F72A2"/>
    <w:rsid w:val="3BA174BE"/>
    <w:rsid w:val="3BA50630"/>
    <w:rsid w:val="3BA743A8"/>
    <w:rsid w:val="3BAE5737"/>
    <w:rsid w:val="3BB30F9F"/>
    <w:rsid w:val="3BB32D4D"/>
    <w:rsid w:val="3BB84807"/>
    <w:rsid w:val="3BBA0580"/>
    <w:rsid w:val="3BC073E4"/>
    <w:rsid w:val="3BC27434"/>
    <w:rsid w:val="3BC929F0"/>
    <w:rsid w:val="3BC9431F"/>
    <w:rsid w:val="3BCB62E9"/>
    <w:rsid w:val="3BD553B9"/>
    <w:rsid w:val="3BDC2C2F"/>
    <w:rsid w:val="3BE253E0"/>
    <w:rsid w:val="3BE41B48"/>
    <w:rsid w:val="3BE61494"/>
    <w:rsid w:val="3BE86E9B"/>
    <w:rsid w:val="3BED2703"/>
    <w:rsid w:val="3BF07AFD"/>
    <w:rsid w:val="3BF33A92"/>
    <w:rsid w:val="3BF43905"/>
    <w:rsid w:val="3BF910A8"/>
    <w:rsid w:val="3BFA6BCE"/>
    <w:rsid w:val="3C047258"/>
    <w:rsid w:val="3C065573"/>
    <w:rsid w:val="3C074E47"/>
    <w:rsid w:val="3C094B12"/>
    <w:rsid w:val="3C0C42A9"/>
    <w:rsid w:val="3C12795D"/>
    <w:rsid w:val="3C127B13"/>
    <w:rsid w:val="3C137C90"/>
    <w:rsid w:val="3C157564"/>
    <w:rsid w:val="3C17152E"/>
    <w:rsid w:val="3C1730F2"/>
    <w:rsid w:val="3C1A101E"/>
    <w:rsid w:val="3C1A2DCC"/>
    <w:rsid w:val="3C1F4887"/>
    <w:rsid w:val="3C2459F9"/>
    <w:rsid w:val="3C277297"/>
    <w:rsid w:val="3C28373B"/>
    <w:rsid w:val="3C2974B3"/>
    <w:rsid w:val="3C2C3893"/>
    <w:rsid w:val="3C312FA5"/>
    <w:rsid w:val="3C333E8E"/>
    <w:rsid w:val="3C335C3C"/>
    <w:rsid w:val="3C355E58"/>
    <w:rsid w:val="3C357C06"/>
    <w:rsid w:val="3C37572C"/>
    <w:rsid w:val="3C3C0F95"/>
    <w:rsid w:val="3C3C71E7"/>
    <w:rsid w:val="3C3E2F5F"/>
    <w:rsid w:val="3C3F0A85"/>
    <w:rsid w:val="3C4936B2"/>
    <w:rsid w:val="3C4B11D8"/>
    <w:rsid w:val="3C5502A8"/>
    <w:rsid w:val="3C597D99"/>
    <w:rsid w:val="3C5E0F0B"/>
    <w:rsid w:val="3C667DC0"/>
    <w:rsid w:val="3C6D114E"/>
    <w:rsid w:val="3C6D55F2"/>
    <w:rsid w:val="3C6F136A"/>
    <w:rsid w:val="3C722C08"/>
    <w:rsid w:val="3C77021F"/>
    <w:rsid w:val="3C7C3A87"/>
    <w:rsid w:val="3C7E15AD"/>
    <w:rsid w:val="3C7E77FF"/>
    <w:rsid w:val="3C7F0E81"/>
    <w:rsid w:val="3C8446EA"/>
    <w:rsid w:val="3C860462"/>
    <w:rsid w:val="3C88242C"/>
    <w:rsid w:val="3C8D17F0"/>
    <w:rsid w:val="3C940DD1"/>
    <w:rsid w:val="3C942B7F"/>
    <w:rsid w:val="3C9816CD"/>
    <w:rsid w:val="3C991F43"/>
    <w:rsid w:val="3C9A5CBB"/>
    <w:rsid w:val="3CA408E8"/>
    <w:rsid w:val="3CA66C99"/>
    <w:rsid w:val="3CAB7EC8"/>
    <w:rsid w:val="3CB054DF"/>
    <w:rsid w:val="3CB334BB"/>
    <w:rsid w:val="3CB6664A"/>
    <w:rsid w:val="3CB94393"/>
    <w:rsid w:val="3CBC1403"/>
    <w:rsid w:val="3CBC20D5"/>
    <w:rsid w:val="3CC05722"/>
    <w:rsid w:val="3CC52D38"/>
    <w:rsid w:val="3CC97305"/>
    <w:rsid w:val="3CCA034E"/>
    <w:rsid w:val="3CCA2A44"/>
    <w:rsid w:val="3CCD6091"/>
    <w:rsid w:val="3CD1792F"/>
    <w:rsid w:val="3CD613E9"/>
    <w:rsid w:val="3CD76F0F"/>
    <w:rsid w:val="3CDD2778"/>
    <w:rsid w:val="3CE07B72"/>
    <w:rsid w:val="3CE82ECA"/>
    <w:rsid w:val="3CEA6C43"/>
    <w:rsid w:val="3CEC29BB"/>
    <w:rsid w:val="3CED6733"/>
    <w:rsid w:val="3CF17FD1"/>
    <w:rsid w:val="3CF3094E"/>
    <w:rsid w:val="3CF70537"/>
    <w:rsid w:val="3CF7310E"/>
    <w:rsid w:val="3CFC3065"/>
    <w:rsid w:val="3D006466"/>
    <w:rsid w:val="3D00728C"/>
    <w:rsid w:val="3D070DF4"/>
    <w:rsid w:val="3D0A1093"/>
    <w:rsid w:val="3D0E0111"/>
    <w:rsid w:val="3D0F48FB"/>
    <w:rsid w:val="3D115F7D"/>
    <w:rsid w:val="3D143CBF"/>
    <w:rsid w:val="3D1C4922"/>
    <w:rsid w:val="3D1C71C0"/>
    <w:rsid w:val="3D1E4B3E"/>
    <w:rsid w:val="3D211F38"/>
    <w:rsid w:val="3D251A29"/>
    <w:rsid w:val="3D2757A1"/>
    <w:rsid w:val="3D281519"/>
    <w:rsid w:val="3D2C1009"/>
    <w:rsid w:val="3D2E4D81"/>
    <w:rsid w:val="3D346110"/>
    <w:rsid w:val="3D3879AE"/>
    <w:rsid w:val="3D3954D4"/>
    <w:rsid w:val="3D3B124C"/>
    <w:rsid w:val="3D3D3216"/>
    <w:rsid w:val="3D4D2D2E"/>
    <w:rsid w:val="3D4F2F4A"/>
    <w:rsid w:val="3D520E64"/>
    <w:rsid w:val="3D532A3A"/>
    <w:rsid w:val="3D566086"/>
    <w:rsid w:val="3D595B76"/>
    <w:rsid w:val="3D5B544A"/>
    <w:rsid w:val="3D5D11C3"/>
    <w:rsid w:val="3D6407A3"/>
    <w:rsid w:val="3D6469F5"/>
    <w:rsid w:val="3D65276D"/>
    <w:rsid w:val="3D69400B"/>
    <w:rsid w:val="3D6A7D83"/>
    <w:rsid w:val="3D7604D6"/>
    <w:rsid w:val="3D791D75"/>
    <w:rsid w:val="3D7A6218"/>
    <w:rsid w:val="3D7B79C7"/>
    <w:rsid w:val="3D7F55DD"/>
    <w:rsid w:val="3D820C29"/>
    <w:rsid w:val="3D874491"/>
    <w:rsid w:val="3D89645B"/>
    <w:rsid w:val="3D8A5D30"/>
    <w:rsid w:val="3D9170BE"/>
    <w:rsid w:val="3D931088"/>
    <w:rsid w:val="3D9315D9"/>
    <w:rsid w:val="3D9646D4"/>
    <w:rsid w:val="3D9B7F3D"/>
    <w:rsid w:val="3D9F7A2D"/>
    <w:rsid w:val="3DA54918"/>
    <w:rsid w:val="3DA9265A"/>
    <w:rsid w:val="3DAA0180"/>
    <w:rsid w:val="3DAB4624"/>
    <w:rsid w:val="3DB15A99"/>
    <w:rsid w:val="3DB42C81"/>
    <w:rsid w:val="3DB72FC9"/>
    <w:rsid w:val="3DBF6CA9"/>
    <w:rsid w:val="3DC41242"/>
    <w:rsid w:val="3DC6320C"/>
    <w:rsid w:val="3DC70D32"/>
    <w:rsid w:val="3DC75184"/>
    <w:rsid w:val="3DC96858"/>
    <w:rsid w:val="3DD2254E"/>
    <w:rsid w:val="3DD27E02"/>
    <w:rsid w:val="3DD35929"/>
    <w:rsid w:val="3DDA0A65"/>
    <w:rsid w:val="3DDA2813"/>
    <w:rsid w:val="3DDB658B"/>
    <w:rsid w:val="3DDC47DD"/>
    <w:rsid w:val="3DDD0555"/>
    <w:rsid w:val="3DDD67A7"/>
    <w:rsid w:val="3DE25B6C"/>
    <w:rsid w:val="3DE43692"/>
    <w:rsid w:val="3DE511B8"/>
    <w:rsid w:val="3DE90CA8"/>
    <w:rsid w:val="3DE9514C"/>
    <w:rsid w:val="3DEC2546"/>
    <w:rsid w:val="3DEE4511"/>
    <w:rsid w:val="3DF235DF"/>
    <w:rsid w:val="3DF32FC8"/>
    <w:rsid w:val="3DF5589F"/>
    <w:rsid w:val="3DFC6C2D"/>
    <w:rsid w:val="3DFF227A"/>
    <w:rsid w:val="3E03620E"/>
    <w:rsid w:val="3E043D34"/>
    <w:rsid w:val="3E0A667E"/>
    <w:rsid w:val="3E1C2E2C"/>
    <w:rsid w:val="3E23240C"/>
    <w:rsid w:val="3E2717D1"/>
    <w:rsid w:val="3E2E2B5F"/>
    <w:rsid w:val="3E2E7003"/>
    <w:rsid w:val="3E304B29"/>
    <w:rsid w:val="3E3068D7"/>
    <w:rsid w:val="3E3208A1"/>
    <w:rsid w:val="3E32264F"/>
    <w:rsid w:val="3E3363C7"/>
    <w:rsid w:val="3E3A1504"/>
    <w:rsid w:val="3E3A59A8"/>
    <w:rsid w:val="3E3B415D"/>
    <w:rsid w:val="3E3F2FBE"/>
    <w:rsid w:val="3E444130"/>
    <w:rsid w:val="3E4E3201"/>
    <w:rsid w:val="3E4F1453"/>
    <w:rsid w:val="3E530817"/>
    <w:rsid w:val="3E55633E"/>
    <w:rsid w:val="3E5C147A"/>
    <w:rsid w:val="3E5C7333"/>
    <w:rsid w:val="3E5C76CC"/>
    <w:rsid w:val="3E5E1696"/>
    <w:rsid w:val="3E6447D3"/>
    <w:rsid w:val="3E650AC7"/>
    <w:rsid w:val="3E682515"/>
    <w:rsid w:val="3E691EB3"/>
    <w:rsid w:val="3E6B4E2D"/>
    <w:rsid w:val="3E6D7B2B"/>
    <w:rsid w:val="3E6F60C9"/>
    <w:rsid w:val="3E75078E"/>
    <w:rsid w:val="3E7762B4"/>
    <w:rsid w:val="3E7E5894"/>
    <w:rsid w:val="3E7E7642"/>
    <w:rsid w:val="3E810EE1"/>
    <w:rsid w:val="3E834C59"/>
    <w:rsid w:val="3E887AC0"/>
    <w:rsid w:val="3E921340"/>
    <w:rsid w:val="3E952BDE"/>
    <w:rsid w:val="3E9A01F4"/>
    <w:rsid w:val="3E9B4698"/>
    <w:rsid w:val="3E9B631A"/>
    <w:rsid w:val="3E9C5D1B"/>
    <w:rsid w:val="3EA11583"/>
    <w:rsid w:val="3EA5307F"/>
    <w:rsid w:val="3EA82911"/>
    <w:rsid w:val="3EAB41B0"/>
    <w:rsid w:val="3EB23790"/>
    <w:rsid w:val="3EB43064"/>
    <w:rsid w:val="3EB72B54"/>
    <w:rsid w:val="3EB866EF"/>
    <w:rsid w:val="3EBE2135"/>
    <w:rsid w:val="3EC032DE"/>
    <w:rsid w:val="3ECB6600"/>
    <w:rsid w:val="3ECD05CA"/>
    <w:rsid w:val="3ECD2378"/>
    <w:rsid w:val="3ED25BE0"/>
    <w:rsid w:val="3ED454B4"/>
    <w:rsid w:val="3ED71449"/>
    <w:rsid w:val="3ED92ACB"/>
    <w:rsid w:val="3ED96F6F"/>
    <w:rsid w:val="3EDE7B4C"/>
    <w:rsid w:val="3EE651E8"/>
    <w:rsid w:val="3EE9642F"/>
    <w:rsid w:val="3EEF7B29"/>
    <w:rsid w:val="3EF06066"/>
    <w:rsid w:val="3EF100E6"/>
    <w:rsid w:val="3EF67D02"/>
    <w:rsid w:val="3EF73899"/>
    <w:rsid w:val="3EFC0C92"/>
    <w:rsid w:val="3EFE4C27"/>
    <w:rsid w:val="3F0044FB"/>
    <w:rsid w:val="3F004730"/>
    <w:rsid w:val="3F0264C5"/>
    <w:rsid w:val="3F0538C0"/>
    <w:rsid w:val="3F057D64"/>
    <w:rsid w:val="3F08531B"/>
    <w:rsid w:val="3F0B2EA0"/>
    <w:rsid w:val="3F0C10F2"/>
    <w:rsid w:val="3F11495A"/>
    <w:rsid w:val="3F134E72"/>
    <w:rsid w:val="3F1461F9"/>
    <w:rsid w:val="3F161F71"/>
    <w:rsid w:val="3F165ACD"/>
    <w:rsid w:val="3F1735F3"/>
    <w:rsid w:val="3F175ECD"/>
    <w:rsid w:val="3F1955BD"/>
    <w:rsid w:val="3F1E0E25"/>
    <w:rsid w:val="3F20694C"/>
    <w:rsid w:val="3F212971"/>
    <w:rsid w:val="3F220916"/>
    <w:rsid w:val="3F2226C4"/>
    <w:rsid w:val="3F253F62"/>
    <w:rsid w:val="3F283A52"/>
    <w:rsid w:val="3F2C3542"/>
    <w:rsid w:val="3F316A74"/>
    <w:rsid w:val="3F395C5F"/>
    <w:rsid w:val="3F397A0D"/>
    <w:rsid w:val="3F3B3785"/>
    <w:rsid w:val="3F3E3276"/>
    <w:rsid w:val="3F422D66"/>
    <w:rsid w:val="3F4563B2"/>
    <w:rsid w:val="3F4A5777"/>
    <w:rsid w:val="3F4C14EF"/>
    <w:rsid w:val="3F4F7231"/>
    <w:rsid w:val="3F52287D"/>
    <w:rsid w:val="3F544847"/>
    <w:rsid w:val="3F584337"/>
    <w:rsid w:val="3F591E5E"/>
    <w:rsid w:val="3F5C23E9"/>
    <w:rsid w:val="3F5E7474"/>
    <w:rsid w:val="3F60143E"/>
    <w:rsid w:val="3F62442F"/>
    <w:rsid w:val="3F650930"/>
    <w:rsid w:val="3F6530F9"/>
    <w:rsid w:val="3F6820A1"/>
    <w:rsid w:val="3F6C393F"/>
    <w:rsid w:val="3F6E3CB2"/>
    <w:rsid w:val="3F731171"/>
    <w:rsid w:val="3F760C61"/>
    <w:rsid w:val="3F7647BE"/>
    <w:rsid w:val="3F7722E4"/>
    <w:rsid w:val="3F7942AE"/>
    <w:rsid w:val="3F7E18C4"/>
    <w:rsid w:val="3F88629F"/>
    <w:rsid w:val="3F890995"/>
    <w:rsid w:val="3F8A6C2B"/>
    <w:rsid w:val="3F8F762D"/>
    <w:rsid w:val="3F9133A5"/>
    <w:rsid w:val="3F935E11"/>
    <w:rsid w:val="3F9808DB"/>
    <w:rsid w:val="3F9877AE"/>
    <w:rsid w:val="3F9B2476"/>
    <w:rsid w:val="3FA70E1B"/>
    <w:rsid w:val="3FAA090B"/>
    <w:rsid w:val="3FAC01DF"/>
    <w:rsid w:val="3FAD3008"/>
    <w:rsid w:val="3FAF7CCF"/>
    <w:rsid w:val="3FB05F21"/>
    <w:rsid w:val="3FB13A48"/>
    <w:rsid w:val="3FB37A4B"/>
    <w:rsid w:val="3FB5178A"/>
    <w:rsid w:val="3FB62E0C"/>
    <w:rsid w:val="3FB83028"/>
    <w:rsid w:val="3FB86B84"/>
    <w:rsid w:val="3FBF6165"/>
    <w:rsid w:val="3FC03C8B"/>
    <w:rsid w:val="3FC574F3"/>
    <w:rsid w:val="3FC62130"/>
    <w:rsid w:val="3FC86191"/>
    <w:rsid w:val="3FCC262F"/>
    <w:rsid w:val="3FCE45FA"/>
    <w:rsid w:val="3FD15E98"/>
    <w:rsid w:val="3FD55988"/>
    <w:rsid w:val="3FD61700"/>
    <w:rsid w:val="3FD87226"/>
    <w:rsid w:val="3FDB0AC5"/>
    <w:rsid w:val="3FDD2A8F"/>
    <w:rsid w:val="3FE45BCB"/>
    <w:rsid w:val="3FE66318"/>
    <w:rsid w:val="3FEC0F24"/>
    <w:rsid w:val="3FEC7BBC"/>
    <w:rsid w:val="3FED73CA"/>
    <w:rsid w:val="3FEE25A6"/>
    <w:rsid w:val="3FF213FE"/>
    <w:rsid w:val="3FF37BBC"/>
    <w:rsid w:val="3FFA719D"/>
    <w:rsid w:val="400001F1"/>
    <w:rsid w:val="400022D9"/>
    <w:rsid w:val="40061FE5"/>
    <w:rsid w:val="40064970"/>
    <w:rsid w:val="4007339F"/>
    <w:rsid w:val="400973E0"/>
    <w:rsid w:val="400C6ED0"/>
    <w:rsid w:val="400D3374"/>
    <w:rsid w:val="4013200C"/>
    <w:rsid w:val="40161AFD"/>
    <w:rsid w:val="40175FA1"/>
    <w:rsid w:val="401B7113"/>
    <w:rsid w:val="401C35B7"/>
    <w:rsid w:val="401F09B1"/>
    <w:rsid w:val="4021297B"/>
    <w:rsid w:val="40254028"/>
    <w:rsid w:val="40324B88"/>
    <w:rsid w:val="4033445D"/>
    <w:rsid w:val="4037219F"/>
    <w:rsid w:val="40387CC5"/>
    <w:rsid w:val="403A3A3D"/>
    <w:rsid w:val="403A57EB"/>
    <w:rsid w:val="40491F46"/>
    <w:rsid w:val="40493C80"/>
    <w:rsid w:val="404B5C4A"/>
    <w:rsid w:val="405759DA"/>
    <w:rsid w:val="40580367"/>
    <w:rsid w:val="405C39B3"/>
    <w:rsid w:val="405C44FB"/>
    <w:rsid w:val="405C7E57"/>
    <w:rsid w:val="40610FCA"/>
    <w:rsid w:val="40622331"/>
    <w:rsid w:val="40662A84"/>
    <w:rsid w:val="406867FC"/>
    <w:rsid w:val="406D3E12"/>
    <w:rsid w:val="4070745F"/>
    <w:rsid w:val="4072249C"/>
    <w:rsid w:val="40736F4F"/>
    <w:rsid w:val="407671FC"/>
    <w:rsid w:val="407C22A8"/>
    <w:rsid w:val="407D1B7C"/>
    <w:rsid w:val="40817506"/>
    <w:rsid w:val="40827192"/>
    <w:rsid w:val="408353E4"/>
    <w:rsid w:val="4084115C"/>
    <w:rsid w:val="40866C82"/>
    <w:rsid w:val="40896772"/>
    <w:rsid w:val="408A49C4"/>
    <w:rsid w:val="408B6047"/>
    <w:rsid w:val="409018AF"/>
    <w:rsid w:val="40956EC5"/>
    <w:rsid w:val="409A7AF7"/>
    <w:rsid w:val="40A67324"/>
    <w:rsid w:val="40AD6541"/>
    <w:rsid w:val="40B05AAD"/>
    <w:rsid w:val="40B13A14"/>
    <w:rsid w:val="40B173DB"/>
    <w:rsid w:val="40B76E3C"/>
    <w:rsid w:val="40BB2DD0"/>
    <w:rsid w:val="40BC26A4"/>
    <w:rsid w:val="40BF2194"/>
    <w:rsid w:val="40C477AB"/>
    <w:rsid w:val="40C61775"/>
    <w:rsid w:val="40C652D1"/>
    <w:rsid w:val="40CB2789"/>
    <w:rsid w:val="40CB28E7"/>
    <w:rsid w:val="40CC70B0"/>
    <w:rsid w:val="40D20119"/>
    <w:rsid w:val="40D33D6E"/>
    <w:rsid w:val="40D865F2"/>
    <w:rsid w:val="40DB5220"/>
    <w:rsid w:val="40E045E4"/>
    <w:rsid w:val="40E439A9"/>
    <w:rsid w:val="40E65973"/>
    <w:rsid w:val="40E816EB"/>
    <w:rsid w:val="40EA5463"/>
    <w:rsid w:val="40F30B62"/>
    <w:rsid w:val="40FA25BE"/>
    <w:rsid w:val="40FC6F44"/>
    <w:rsid w:val="41016309"/>
    <w:rsid w:val="4105229D"/>
    <w:rsid w:val="41067DC3"/>
    <w:rsid w:val="410773DF"/>
    <w:rsid w:val="410B7187"/>
    <w:rsid w:val="410D1152"/>
    <w:rsid w:val="410F7001"/>
    <w:rsid w:val="411424E0"/>
    <w:rsid w:val="4114428E"/>
    <w:rsid w:val="411A73CB"/>
    <w:rsid w:val="411B386E"/>
    <w:rsid w:val="411E510D"/>
    <w:rsid w:val="41200E85"/>
    <w:rsid w:val="41210759"/>
    <w:rsid w:val="41214BFD"/>
    <w:rsid w:val="412169AB"/>
    <w:rsid w:val="41230975"/>
    <w:rsid w:val="412344D1"/>
    <w:rsid w:val="41270465"/>
    <w:rsid w:val="41272213"/>
    <w:rsid w:val="412C5A7C"/>
    <w:rsid w:val="412D70FE"/>
    <w:rsid w:val="412E0CE8"/>
    <w:rsid w:val="412F08E5"/>
    <w:rsid w:val="412F2E76"/>
    <w:rsid w:val="412F3A1A"/>
    <w:rsid w:val="41320BB8"/>
    <w:rsid w:val="41391F47"/>
    <w:rsid w:val="413A0B2D"/>
    <w:rsid w:val="413C5593"/>
    <w:rsid w:val="41436921"/>
    <w:rsid w:val="414C312D"/>
    <w:rsid w:val="414F3518"/>
    <w:rsid w:val="4151103E"/>
    <w:rsid w:val="41540B2E"/>
    <w:rsid w:val="415723CD"/>
    <w:rsid w:val="415820B8"/>
    <w:rsid w:val="415D3E87"/>
    <w:rsid w:val="415E19AD"/>
    <w:rsid w:val="41656898"/>
    <w:rsid w:val="4167271B"/>
    <w:rsid w:val="41686388"/>
    <w:rsid w:val="416C231C"/>
    <w:rsid w:val="416F5968"/>
    <w:rsid w:val="4170233D"/>
    <w:rsid w:val="41740393"/>
    <w:rsid w:val="41742F7F"/>
    <w:rsid w:val="41760AA5"/>
    <w:rsid w:val="41782A6F"/>
    <w:rsid w:val="41790595"/>
    <w:rsid w:val="41831414"/>
    <w:rsid w:val="41850CE8"/>
    <w:rsid w:val="418807D8"/>
    <w:rsid w:val="41886A2A"/>
    <w:rsid w:val="418F600A"/>
    <w:rsid w:val="41913B31"/>
    <w:rsid w:val="419378A9"/>
    <w:rsid w:val="41960106"/>
    <w:rsid w:val="4198071E"/>
    <w:rsid w:val="41986C6D"/>
    <w:rsid w:val="41990C37"/>
    <w:rsid w:val="419D0727"/>
    <w:rsid w:val="419E7FFC"/>
    <w:rsid w:val="41A9097B"/>
    <w:rsid w:val="41AA074E"/>
    <w:rsid w:val="41AC44C7"/>
    <w:rsid w:val="41AE46E3"/>
    <w:rsid w:val="41AF401A"/>
    <w:rsid w:val="41AF6CFB"/>
    <w:rsid w:val="41B31CF9"/>
    <w:rsid w:val="41B617E9"/>
    <w:rsid w:val="41B65345"/>
    <w:rsid w:val="41C31810"/>
    <w:rsid w:val="41C55588"/>
    <w:rsid w:val="41C72E85"/>
    <w:rsid w:val="41C77552"/>
    <w:rsid w:val="41CA7043"/>
    <w:rsid w:val="41CF6407"/>
    <w:rsid w:val="41D028AB"/>
    <w:rsid w:val="41D61543"/>
    <w:rsid w:val="41D848FB"/>
    <w:rsid w:val="41DB2FFE"/>
    <w:rsid w:val="41E00614"/>
    <w:rsid w:val="41E40104"/>
    <w:rsid w:val="41E53E7C"/>
    <w:rsid w:val="41E77BF5"/>
    <w:rsid w:val="41E81277"/>
    <w:rsid w:val="41E9396D"/>
    <w:rsid w:val="41EA3241"/>
    <w:rsid w:val="41EC3A3C"/>
    <w:rsid w:val="41F06AA9"/>
    <w:rsid w:val="41F1637D"/>
    <w:rsid w:val="41F320F5"/>
    <w:rsid w:val="41F540C0"/>
    <w:rsid w:val="41F61594"/>
    <w:rsid w:val="41F63994"/>
    <w:rsid w:val="41FF4F3E"/>
    <w:rsid w:val="41FF6CEC"/>
    <w:rsid w:val="42002A64"/>
    <w:rsid w:val="420267DC"/>
    <w:rsid w:val="420324D5"/>
    <w:rsid w:val="420559F8"/>
    <w:rsid w:val="42073093"/>
    <w:rsid w:val="420C31B7"/>
    <w:rsid w:val="42100EF9"/>
    <w:rsid w:val="421309EA"/>
    <w:rsid w:val="42164036"/>
    <w:rsid w:val="42167C79"/>
    <w:rsid w:val="421A1D78"/>
    <w:rsid w:val="421F738E"/>
    <w:rsid w:val="42204EB5"/>
    <w:rsid w:val="422363B0"/>
    <w:rsid w:val="422B7AE1"/>
    <w:rsid w:val="4230334A"/>
    <w:rsid w:val="42350960"/>
    <w:rsid w:val="423746D8"/>
    <w:rsid w:val="42375CB6"/>
    <w:rsid w:val="42380F46"/>
    <w:rsid w:val="423A5F76"/>
    <w:rsid w:val="42407E9D"/>
    <w:rsid w:val="42424E2B"/>
    <w:rsid w:val="42426BD9"/>
    <w:rsid w:val="42472441"/>
    <w:rsid w:val="424741EF"/>
    <w:rsid w:val="424B0183"/>
    <w:rsid w:val="424D3EFC"/>
    <w:rsid w:val="424E1A22"/>
    <w:rsid w:val="425A2175"/>
    <w:rsid w:val="425D7EB7"/>
    <w:rsid w:val="425F778B"/>
    <w:rsid w:val="42641245"/>
    <w:rsid w:val="42664FBD"/>
    <w:rsid w:val="42680DF6"/>
    <w:rsid w:val="42694606"/>
    <w:rsid w:val="426E4640"/>
    <w:rsid w:val="426E5C20"/>
    <w:rsid w:val="42756FAE"/>
    <w:rsid w:val="42770F78"/>
    <w:rsid w:val="42786A9F"/>
    <w:rsid w:val="427D40B5"/>
    <w:rsid w:val="42813BA5"/>
    <w:rsid w:val="428212EB"/>
    <w:rsid w:val="42890CAC"/>
    <w:rsid w:val="428C42F8"/>
    <w:rsid w:val="4292190E"/>
    <w:rsid w:val="42975177"/>
    <w:rsid w:val="429D6505"/>
    <w:rsid w:val="42A42166"/>
    <w:rsid w:val="42A45AE6"/>
    <w:rsid w:val="42A6360C"/>
    <w:rsid w:val="42A930FC"/>
    <w:rsid w:val="42B555FD"/>
    <w:rsid w:val="42B775C7"/>
    <w:rsid w:val="42BE6BA7"/>
    <w:rsid w:val="42C10446"/>
    <w:rsid w:val="42C341BE"/>
    <w:rsid w:val="42C41CE4"/>
    <w:rsid w:val="42CD3F43"/>
    <w:rsid w:val="42CD6DEA"/>
    <w:rsid w:val="42CE4911"/>
    <w:rsid w:val="42D068DB"/>
    <w:rsid w:val="42D13D54"/>
    <w:rsid w:val="42D71A17"/>
    <w:rsid w:val="42D9578F"/>
    <w:rsid w:val="42DA1507"/>
    <w:rsid w:val="42DC527F"/>
    <w:rsid w:val="42E303BC"/>
    <w:rsid w:val="42E3216A"/>
    <w:rsid w:val="42E34F87"/>
    <w:rsid w:val="42E61C5A"/>
    <w:rsid w:val="42E87780"/>
    <w:rsid w:val="42EB101F"/>
    <w:rsid w:val="42EF4FB3"/>
    <w:rsid w:val="42F1333E"/>
    <w:rsid w:val="42F8373B"/>
    <w:rsid w:val="42FC147E"/>
    <w:rsid w:val="42FD1F8B"/>
    <w:rsid w:val="43010842"/>
    <w:rsid w:val="43040332"/>
    <w:rsid w:val="430A1DED"/>
    <w:rsid w:val="430B346F"/>
    <w:rsid w:val="43124987"/>
    <w:rsid w:val="43160791"/>
    <w:rsid w:val="431F37EA"/>
    <w:rsid w:val="432509D4"/>
    <w:rsid w:val="432602A9"/>
    <w:rsid w:val="432664FB"/>
    <w:rsid w:val="432A7D99"/>
    <w:rsid w:val="432C1DDD"/>
    <w:rsid w:val="43313DD4"/>
    <w:rsid w:val="433230F1"/>
    <w:rsid w:val="43326C4D"/>
    <w:rsid w:val="43364E51"/>
    <w:rsid w:val="43370708"/>
    <w:rsid w:val="43430E5B"/>
    <w:rsid w:val="434626F9"/>
    <w:rsid w:val="4348021F"/>
    <w:rsid w:val="43520580"/>
    <w:rsid w:val="435766B4"/>
    <w:rsid w:val="4359242C"/>
    <w:rsid w:val="435B2648"/>
    <w:rsid w:val="435B61A4"/>
    <w:rsid w:val="435C1F1C"/>
    <w:rsid w:val="435E3EE6"/>
    <w:rsid w:val="436112E1"/>
    <w:rsid w:val="43650DD1"/>
    <w:rsid w:val="43655275"/>
    <w:rsid w:val="43664B49"/>
    <w:rsid w:val="43670FED"/>
    <w:rsid w:val="4368266F"/>
    <w:rsid w:val="43713C1A"/>
    <w:rsid w:val="4374370A"/>
    <w:rsid w:val="43761230"/>
    <w:rsid w:val="43762FDE"/>
    <w:rsid w:val="43776D56"/>
    <w:rsid w:val="43790D20"/>
    <w:rsid w:val="43792ACE"/>
    <w:rsid w:val="437D47AD"/>
    <w:rsid w:val="437E1E93"/>
    <w:rsid w:val="437E6337"/>
    <w:rsid w:val="43827BD5"/>
    <w:rsid w:val="43835804"/>
    <w:rsid w:val="438A4CDB"/>
    <w:rsid w:val="438A6A89"/>
    <w:rsid w:val="438D351C"/>
    <w:rsid w:val="438E11C7"/>
    <w:rsid w:val="43911BC6"/>
    <w:rsid w:val="43923B90"/>
    <w:rsid w:val="43963680"/>
    <w:rsid w:val="439711A6"/>
    <w:rsid w:val="43972F54"/>
    <w:rsid w:val="439B47F3"/>
    <w:rsid w:val="439B4BBE"/>
    <w:rsid w:val="43A538C3"/>
    <w:rsid w:val="43A63197"/>
    <w:rsid w:val="43A75D32"/>
    <w:rsid w:val="43AF64F0"/>
    <w:rsid w:val="43B12268"/>
    <w:rsid w:val="43B43B06"/>
    <w:rsid w:val="43B458B4"/>
    <w:rsid w:val="43B6461B"/>
    <w:rsid w:val="43B6787E"/>
    <w:rsid w:val="43BA2D18"/>
    <w:rsid w:val="43BE4985"/>
    <w:rsid w:val="43C006FD"/>
    <w:rsid w:val="43C13681"/>
    <w:rsid w:val="43C55D14"/>
    <w:rsid w:val="43C62D7F"/>
    <w:rsid w:val="43CA332A"/>
    <w:rsid w:val="43CD6976"/>
    <w:rsid w:val="43D321DE"/>
    <w:rsid w:val="43D441A9"/>
    <w:rsid w:val="43D45F57"/>
    <w:rsid w:val="43D83C99"/>
    <w:rsid w:val="43D85A47"/>
    <w:rsid w:val="43E04A33"/>
    <w:rsid w:val="43E73EDC"/>
    <w:rsid w:val="43EF2D90"/>
    <w:rsid w:val="43F3462F"/>
    <w:rsid w:val="43FE1BC4"/>
    <w:rsid w:val="44095C00"/>
    <w:rsid w:val="440E76BA"/>
    <w:rsid w:val="440F163C"/>
    <w:rsid w:val="4413082D"/>
    <w:rsid w:val="441445A5"/>
    <w:rsid w:val="44153672"/>
    <w:rsid w:val="4416656F"/>
    <w:rsid w:val="441A605F"/>
    <w:rsid w:val="441B5933"/>
    <w:rsid w:val="441C3545"/>
    <w:rsid w:val="441D78FE"/>
    <w:rsid w:val="44226CC2"/>
    <w:rsid w:val="442347E8"/>
    <w:rsid w:val="443241B5"/>
    <w:rsid w:val="444430DC"/>
    <w:rsid w:val="444A5133"/>
    <w:rsid w:val="444E3841"/>
    <w:rsid w:val="444E3F5B"/>
    <w:rsid w:val="4450382F"/>
    <w:rsid w:val="445157F9"/>
    <w:rsid w:val="44523EC1"/>
    <w:rsid w:val="44546EB9"/>
    <w:rsid w:val="44587568"/>
    <w:rsid w:val="445B7548"/>
    <w:rsid w:val="446217B4"/>
    <w:rsid w:val="44625310"/>
    <w:rsid w:val="44660CEC"/>
    <w:rsid w:val="44670B79"/>
    <w:rsid w:val="446948F1"/>
    <w:rsid w:val="446E0159"/>
    <w:rsid w:val="4473751E"/>
    <w:rsid w:val="44753B35"/>
    <w:rsid w:val="447717D6"/>
    <w:rsid w:val="44797F00"/>
    <w:rsid w:val="447A4C00"/>
    <w:rsid w:val="447C0AC8"/>
    <w:rsid w:val="44823C05"/>
    <w:rsid w:val="448654A3"/>
    <w:rsid w:val="4487121B"/>
    <w:rsid w:val="44872FC9"/>
    <w:rsid w:val="44896D41"/>
    <w:rsid w:val="44901E7E"/>
    <w:rsid w:val="44906321"/>
    <w:rsid w:val="449556E6"/>
    <w:rsid w:val="4496320C"/>
    <w:rsid w:val="449776B0"/>
    <w:rsid w:val="449D0A3E"/>
    <w:rsid w:val="44A1052F"/>
    <w:rsid w:val="44A2710B"/>
    <w:rsid w:val="44A27E03"/>
    <w:rsid w:val="44A3507E"/>
    <w:rsid w:val="44BA15F0"/>
    <w:rsid w:val="44BA6EFA"/>
    <w:rsid w:val="44BC6C57"/>
    <w:rsid w:val="44C10289"/>
    <w:rsid w:val="44C923DE"/>
    <w:rsid w:val="44CC6C2E"/>
    <w:rsid w:val="44D77AAC"/>
    <w:rsid w:val="44DC3315"/>
    <w:rsid w:val="44DF14C8"/>
    <w:rsid w:val="44E4666D"/>
    <w:rsid w:val="44E53C9A"/>
    <w:rsid w:val="44E67A68"/>
    <w:rsid w:val="44E81CBA"/>
    <w:rsid w:val="44E87F0C"/>
    <w:rsid w:val="44EB79FC"/>
    <w:rsid w:val="44ED5522"/>
    <w:rsid w:val="44EE4DF6"/>
    <w:rsid w:val="44F468B0"/>
    <w:rsid w:val="44F62D94"/>
    <w:rsid w:val="44F92119"/>
    <w:rsid w:val="44FC7513"/>
    <w:rsid w:val="44FF34A7"/>
    <w:rsid w:val="45014B29"/>
    <w:rsid w:val="45034D45"/>
    <w:rsid w:val="45063999"/>
    <w:rsid w:val="4509235A"/>
    <w:rsid w:val="450D1720"/>
    <w:rsid w:val="450E2B5C"/>
    <w:rsid w:val="45101210"/>
    <w:rsid w:val="45120AE5"/>
    <w:rsid w:val="451505D5"/>
    <w:rsid w:val="451A5BEB"/>
    <w:rsid w:val="451F1CD7"/>
    <w:rsid w:val="45202DCD"/>
    <w:rsid w:val="45216F7A"/>
    <w:rsid w:val="45244CBC"/>
    <w:rsid w:val="45264590"/>
    <w:rsid w:val="452803B1"/>
    <w:rsid w:val="452A1AEE"/>
    <w:rsid w:val="452A22D2"/>
    <w:rsid w:val="452B7957"/>
    <w:rsid w:val="452D6B44"/>
    <w:rsid w:val="452E1696"/>
    <w:rsid w:val="45336CAD"/>
    <w:rsid w:val="45390767"/>
    <w:rsid w:val="45392515"/>
    <w:rsid w:val="453E18DA"/>
    <w:rsid w:val="453E7B2C"/>
    <w:rsid w:val="453F23E9"/>
    <w:rsid w:val="453F5652"/>
    <w:rsid w:val="453F7F9F"/>
    <w:rsid w:val="45401AF6"/>
    <w:rsid w:val="4545710C"/>
    <w:rsid w:val="454C31E3"/>
    <w:rsid w:val="454D4212"/>
    <w:rsid w:val="454F3AE7"/>
    <w:rsid w:val="454F7F8B"/>
    <w:rsid w:val="45505AB1"/>
    <w:rsid w:val="455448C0"/>
    <w:rsid w:val="455455A1"/>
    <w:rsid w:val="455530C7"/>
    <w:rsid w:val="4558701D"/>
    <w:rsid w:val="455A248C"/>
    <w:rsid w:val="455E01CE"/>
    <w:rsid w:val="45637592"/>
    <w:rsid w:val="4565330A"/>
    <w:rsid w:val="45682D36"/>
    <w:rsid w:val="45695656"/>
    <w:rsid w:val="45717F01"/>
    <w:rsid w:val="45723C79"/>
    <w:rsid w:val="45754AE2"/>
    <w:rsid w:val="45763769"/>
    <w:rsid w:val="45774351"/>
    <w:rsid w:val="45795008"/>
    <w:rsid w:val="457C0654"/>
    <w:rsid w:val="457D6C89"/>
    <w:rsid w:val="457E261E"/>
    <w:rsid w:val="45815C6A"/>
    <w:rsid w:val="45833790"/>
    <w:rsid w:val="45837C34"/>
    <w:rsid w:val="4584768D"/>
    <w:rsid w:val="4588349D"/>
    <w:rsid w:val="458D460F"/>
    <w:rsid w:val="459040FF"/>
    <w:rsid w:val="4594599D"/>
    <w:rsid w:val="45963C95"/>
    <w:rsid w:val="45965BB9"/>
    <w:rsid w:val="4597548E"/>
    <w:rsid w:val="45977244"/>
    <w:rsid w:val="459B6D2C"/>
    <w:rsid w:val="459E3CDB"/>
    <w:rsid w:val="459E4A6E"/>
    <w:rsid w:val="45A04342"/>
    <w:rsid w:val="45B147A1"/>
    <w:rsid w:val="45B15221"/>
    <w:rsid w:val="45B222C8"/>
    <w:rsid w:val="45C1250B"/>
    <w:rsid w:val="45C36283"/>
    <w:rsid w:val="45CA7611"/>
    <w:rsid w:val="45CC5137"/>
    <w:rsid w:val="45CD7101"/>
    <w:rsid w:val="45CF69D6"/>
    <w:rsid w:val="45D40490"/>
    <w:rsid w:val="45D67D64"/>
    <w:rsid w:val="45D86D8A"/>
    <w:rsid w:val="45E0753B"/>
    <w:rsid w:val="45E32481"/>
    <w:rsid w:val="45E82A98"/>
    <w:rsid w:val="45EE1552"/>
    <w:rsid w:val="45F43BFF"/>
    <w:rsid w:val="45F4643C"/>
    <w:rsid w:val="45F60406"/>
    <w:rsid w:val="45F621B4"/>
    <w:rsid w:val="45FE550D"/>
    <w:rsid w:val="45FE72BB"/>
    <w:rsid w:val="46001285"/>
    <w:rsid w:val="46004DE1"/>
    <w:rsid w:val="460348D1"/>
    <w:rsid w:val="46054AED"/>
    <w:rsid w:val="4613720A"/>
    <w:rsid w:val="461B1C1B"/>
    <w:rsid w:val="461C2E0A"/>
    <w:rsid w:val="461C6516"/>
    <w:rsid w:val="46205483"/>
    <w:rsid w:val="462431C5"/>
    <w:rsid w:val="46276298"/>
    <w:rsid w:val="462907DC"/>
    <w:rsid w:val="462C207A"/>
    <w:rsid w:val="462C7957"/>
    <w:rsid w:val="462E7BA0"/>
    <w:rsid w:val="46317690"/>
    <w:rsid w:val="46357180"/>
    <w:rsid w:val="46380A1F"/>
    <w:rsid w:val="463D6035"/>
    <w:rsid w:val="463F3ACA"/>
    <w:rsid w:val="4642189D"/>
    <w:rsid w:val="46494FE1"/>
    <w:rsid w:val="464B69A4"/>
    <w:rsid w:val="464C0026"/>
    <w:rsid w:val="464C44CA"/>
    <w:rsid w:val="464E3D9E"/>
    <w:rsid w:val="46517D32"/>
    <w:rsid w:val="4654512D"/>
    <w:rsid w:val="465670F7"/>
    <w:rsid w:val="465B7F6F"/>
    <w:rsid w:val="465E2D85"/>
    <w:rsid w:val="465F5FAB"/>
    <w:rsid w:val="4663559F"/>
    <w:rsid w:val="466435C2"/>
    <w:rsid w:val="466A41DE"/>
    <w:rsid w:val="466C691A"/>
    <w:rsid w:val="466E2692"/>
    <w:rsid w:val="46731A57"/>
    <w:rsid w:val="46780E1B"/>
    <w:rsid w:val="467C4DAF"/>
    <w:rsid w:val="46843C64"/>
    <w:rsid w:val="46873754"/>
    <w:rsid w:val="468B4FF2"/>
    <w:rsid w:val="468E063F"/>
    <w:rsid w:val="4690085B"/>
    <w:rsid w:val="46911EDD"/>
    <w:rsid w:val="4698770F"/>
    <w:rsid w:val="469D2F78"/>
    <w:rsid w:val="469F284C"/>
    <w:rsid w:val="46A14816"/>
    <w:rsid w:val="46A2058E"/>
    <w:rsid w:val="46A21030"/>
    <w:rsid w:val="46A301FD"/>
    <w:rsid w:val="46A47E62"/>
    <w:rsid w:val="46A80BCA"/>
    <w:rsid w:val="46AE6F33"/>
    <w:rsid w:val="46B06807"/>
    <w:rsid w:val="46B34549"/>
    <w:rsid w:val="46C16C66"/>
    <w:rsid w:val="46C30AC2"/>
    <w:rsid w:val="46C6602A"/>
    <w:rsid w:val="46C67DD9"/>
    <w:rsid w:val="46C73B51"/>
    <w:rsid w:val="46C93D6D"/>
    <w:rsid w:val="46CB1893"/>
    <w:rsid w:val="46D63D94"/>
    <w:rsid w:val="46D701E1"/>
    <w:rsid w:val="46DD3374"/>
    <w:rsid w:val="46E2098A"/>
    <w:rsid w:val="46E6047B"/>
    <w:rsid w:val="46EB5A91"/>
    <w:rsid w:val="46EB783F"/>
    <w:rsid w:val="46ED7A5B"/>
    <w:rsid w:val="46F04E55"/>
    <w:rsid w:val="46F56910"/>
    <w:rsid w:val="46F74436"/>
    <w:rsid w:val="46F87D23"/>
    <w:rsid w:val="46F95198"/>
    <w:rsid w:val="46F96400"/>
    <w:rsid w:val="46FA3F26"/>
    <w:rsid w:val="46FB7453"/>
    <w:rsid w:val="47070831"/>
    <w:rsid w:val="47084895"/>
    <w:rsid w:val="470D1EAB"/>
    <w:rsid w:val="470E79D1"/>
    <w:rsid w:val="4710374A"/>
    <w:rsid w:val="47114556"/>
    <w:rsid w:val="47150183"/>
    <w:rsid w:val="47170634"/>
    <w:rsid w:val="471843AC"/>
    <w:rsid w:val="471C5C4A"/>
    <w:rsid w:val="471F1BDF"/>
    <w:rsid w:val="47213261"/>
    <w:rsid w:val="47217D1E"/>
    <w:rsid w:val="47240FA3"/>
    <w:rsid w:val="47267C30"/>
    <w:rsid w:val="472F5737"/>
    <w:rsid w:val="473710C2"/>
    <w:rsid w:val="473867FC"/>
    <w:rsid w:val="473F7B8B"/>
    <w:rsid w:val="47411B55"/>
    <w:rsid w:val="47462CC7"/>
    <w:rsid w:val="47480B36"/>
    <w:rsid w:val="474B40A1"/>
    <w:rsid w:val="47501D98"/>
    <w:rsid w:val="475A6773"/>
    <w:rsid w:val="475F3D89"/>
    <w:rsid w:val="47633879"/>
    <w:rsid w:val="47640900"/>
    <w:rsid w:val="4764581D"/>
    <w:rsid w:val="4766336A"/>
    <w:rsid w:val="47665118"/>
    <w:rsid w:val="476B6BD2"/>
    <w:rsid w:val="476E221E"/>
    <w:rsid w:val="476F66C2"/>
    <w:rsid w:val="47737835"/>
    <w:rsid w:val="47743CD8"/>
    <w:rsid w:val="47767A51"/>
    <w:rsid w:val="477A6E15"/>
    <w:rsid w:val="477B5067"/>
    <w:rsid w:val="47835CCA"/>
    <w:rsid w:val="47841A42"/>
    <w:rsid w:val="478657BA"/>
    <w:rsid w:val="47884E42"/>
    <w:rsid w:val="47897144"/>
    <w:rsid w:val="478A7058"/>
    <w:rsid w:val="478C2F7C"/>
    <w:rsid w:val="479003E6"/>
    <w:rsid w:val="47903914"/>
    <w:rsid w:val="4792415F"/>
    <w:rsid w:val="47947ED7"/>
    <w:rsid w:val="47997CE8"/>
    <w:rsid w:val="479A3D49"/>
    <w:rsid w:val="479C322F"/>
    <w:rsid w:val="479C4FDD"/>
    <w:rsid w:val="479F09BE"/>
    <w:rsid w:val="47A07250"/>
    <w:rsid w:val="47A125F4"/>
    <w:rsid w:val="47A345BE"/>
    <w:rsid w:val="47A53E92"/>
    <w:rsid w:val="47A619B8"/>
    <w:rsid w:val="47AC3472"/>
    <w:rsid w:val="47B30D77"/>
    <w:rsid w:val="47B440D5"/>
    <w:rsid w:val="47B642F1"/>
    <w:rsid w:val="47B85E42"/>
    <w:rsid w:val="47C307BC"/>
    <w:rsid w:val="47C66004"/>
    <w:rsid w:val="47C84024"/>
    <w:rsid w:val="47CA38F8"/>
    <w:rsid w:val="47CA56A6"/>
    <w:rsid w:val="47CB7671"/>
    <w:rsid w:val="47CC58C3"/>
    <w:rsid w:val="47D06A35"/>
    <w:rsid w:val="47D227AD"/>
    <w:rsid w:val="47D604EF"/>
    <w:rsid w:val="47D91D8D"/>
    <w:rsid w:val="47D93B3C"/>
    <w:rsid w:val="47DA06FF"/>
    <w:rsid w:val="47E250E6"/>
    <w:rsid w:val="47E30E5E"/>
    <w:rsid w:val="47E66258"/>
    <w:rsid w:val="47E80223"/>
    <w:rsid w:val="47EA5D49"/>
    <w:rsid w:val="47EC7D13"/>
    <w:rsid w:val="47EF3AA7"/>
    <w:rsid w:val="47F334C4"/>
    <w:rsid w:val="47F72214"/>
    <w:rsid w:val="47F92762"/>
    <w:rsid w:val="47F95F8C"/>
    <w:rsid w:val="47FC782A"/>
    <w:rsid w:val="47FE7A46"/>
    <w:rsid w:val="48030BB8"/>
    <w:rsid w:val="48036E0A"/>
    <w:rsid w:val="480F1C53"/>
    <w:rsid w:val="481E1E96"/>
    <w:rsid w:val="482B4A23"/>
    <w:rsid w:val="482C6361"/>
    <w:rsid w:val="48311BC9"/>
    <w:rsid w:val="48384D06"/>
    <w:rsid w:val="483A2895"/>
    <w:rsid w:val="483A4518"/>
    <w:rsid w:val="483B2A48"/>
    <w:rsid w:val="483F42E6"/>
    <w:rsid w:val="484216E1"/>
    <w:rsid w:val="48425B85"/>
    <w:rsid w:val="4847319B"/>
    <w:rsid w:val="48496F13"/>
    <w:rsid w:val="484D62D8"/>
    <w:rsid w:val="484D75B3"/>
    <w:rsid w:val="484E10AB"/>
    <w:rsid w:val="48537D92"/>
    <w:rsid w:val="485633DE"/>
    <w:rsid w:val="48592ECE"/>
    <w:rsid w:val="485D651B"/>
    <w:rsid w:val="48627FD5"/>
    <w:rsid w:val="486677BF"/>
    <w:rsid w:val="486716D5"/>
    <w:rsid w:val="4867383D"/>
    <w:rsid w:val="48684EBF"/>
    <w:rsid w:val="48693111"/>
    <w:rsid w:val="48757D08"/>
    <w:rsid w:val="487B2E45"/>
    <w:rsid w:val="487B4BF3"/>
    <w:rsid w:val="48822425"/>
    <w:rsid w:val="4885562E"/>
    <w:rsid w:val="48904B42"/>
    <w:rsid w:val="48931F3C"/>
    <w:rsid w:val="489363E0"/>
    <w:rsid w:val="48964F48"/>
    <w:rsid w:val="48981C49"/>
    <w:rsid w:val="48A26B2D"/>
    <w:rsid w:val="48A759E8"/>
    <w:rsid w:val="48AC74A2"/>
    <w:rsid w:val="48B32CAF"/>
    <w:rsid w:val="48B462F8"/>
    <w:rsid w:val="48B56357"/>
    <w:rsid w:val="48B85E47"/>
    <w:rsid w:val="48BA1BBF"/>
    <w:rsid w:val="48CD6A89"/>
    <w:rsid w:val="48D10CB7"/>
    <w:rsid w:val="48D2515B"/>
    <w:rsid w:val="48D34A2F"/>
    <w:rsid w:val="48D36555"/>
    <w:rsid w:val="48D85747"/>
    <w:rsid w:val="48E409EA"/>
    <w:rsid w:val="48E629B4"/>
    <w:rsid w:val="48E96000"/>
    <w:rsid w:val="48EB1D78"/>
    <w:rsid w:val="48EB47DC"/>
    <w:rsid w:val="48EB621C"/>
    <w:rsid w:val="48F13107"/>
    <w:rsid w:val="48F30C2D"/>
    <w:rsid w:val="48F549A5"/>
    <w:rsid w:val="48F97216"/>
    <w:rsid w:val="48FA020D"/>
    <w:rsid w:val="48FD385A"/>
    <w:rsid w:val="48FF5824"/>
    <w:rsid w:val="4902013C"/>
    <w:rsid w:val="49037A9E"/>
    <w:rsid w:val="49060960"/>
    <w:rsid w:val="4916491B"/>
    <w:rsid w:val="49170DBF"/>
    <w:rsid w:val="49172B6D"/>
    <w:rsid w:val="49177011"/>
    <w:rsid w:val="491829E2"/>
    <w:rsid w:val="491A265E"/>
    <w:rsid w:val="491C0184"/>
    <w:rsid w:val="491D214E"/>
    <w:rsid w:val="492139EC"/>
    <w:rsid w:val="492360B3"/>
    <w:rsid w:val="49276B29"/>
    <w:rsid w:val="492E6109"/>
    <w:rsid w:val="49301E81"/>
    <w:rsid w:val="49325BF9"/>
    <w:rsid w:val="49373210"/>
    <w:rsid w:val="49374FBE"/>
    <w:rsid w:val="493A685C"/>
    <w:rsid w:val="493E459E"/>
    <w:rsid w:val="49463453"/>
    <w:rsid w:val="49471290"/>
    <w:rsid w:val="494B6CBB"/>
    <w:rsid w:val="494D2A33"/>
    <w:rsid w:val="49520049"/>
    <w:rsid w:val="49543DC1"/>
    <w:rsid w:val="495A6EFE"/>
    <w:rsid w:val="495E4DEF"/>
    <w:rsid w:val="495E69EE"/>
    <w:rsid w:val="495F2766"/>
    <w:rsid w:val="495F4514"/>
    <w:rsid w:val="496025C5"/>
    <w:rsid w:val="4961028C"/>
    <w:rsid w:val="49627B61"/>
    <w:rsid w:val="49697141"/>
    <w:rsid w:val="496F08EC"/>
    <w:rsid w:val="49712F73"/>
    <w:rsid w:val="4972103F"/>
    <w:rsid w:val="497A30FC"/>
    <w:rsid w:val="49860B5D"/>
    <w:rsid w:val="498875C7"/>
    <w:rsid w:val="498A77E3"/>
    <w:rsid w:val="498F4DFA"/>
    <w:rsid w:val="498F78C0"/>
    <w:rsid w:val="49935F6C"/>
    <w:rsid w:val="49975A5C"/>
    <w:rsid w:val="499760D6"/>
    <w:rsid w:val="499A554C"/>
    <w:rsid w:val="499C7151"/>
    <w:rsid w:val="499C7517"/>
    <w:rsid w:val="499F0DB5"/>
    <w:rsid w:val="49A40179"/>
    <w:rsid w:val="49A62143"/>
    <w:rsid w:val="49AB2384"/>
    <w:rsid w:val="49B22896"/>
    <w:rsid w:val="49BA799D"/>
    <w:rsid w:val="49BC54C3"/>
    <w:rsid w:val="49BE12C9"/>
    <w:rsid w:val="49BE748D"/>
    <w:rsid w:val="49BF6D61"/>
    <w:rsid w:val="49CB5E06"/>
    <w:rsid w:val="49CD26CE"/>
    <w:rsid w:val="49D4280C"/>
    <w:rsid w:val="49D46CB0"/>
    <w:rsid w:val="49E1317B"/>
    <w:rsid w:val="49E30CA1"/>
    <w:rsid w:val="49E65B40"/>
    <w:rsid w:val="49F509D5"/>
    <w:rsid w:val="4A0368E5"/>
    <w:rsid w:val="4A080708"/>
    <w:rsid w:val="4A0C644A"/>
    <w:rsid w:val="4A0D4DC1"/>
    <w:rsid w:val="4A0D5D1E"/>
    <w:rsid w:val="4A1452FF"/>
    <w:rsid w:val="4A162E25"/>
    <w:rsid w:val="4A187215"/>
    <w:rsid w:val="4A197060"/>
    <w:rsid w:val="4A266DE0"/>
    <w:rsid w:val="4A282B58"/>
    <w:rsid w:val="4A3414FD"/>
    <w:rsid w:val="4A3634C7"/>
    <w:rsid w:val="4A392FB7"/>
    <w:rsid w:val="4A3B0ADD"/>
    <w:rsid w:val="4A3D4856"/>
    <w:rsid w:val="4A431740"/>
    <w:rsid w:val="4A477482"/>
    <w:rsid w:val="4A4831FA"/>
    <w:rsid w:val="4A522363"/>
    <w:rsid w:val="4A5438B8"/>
    <w:rsid w:val="4A5B4CDC"/>
    <w:rsid w:val="4A5D0A54"/>
    <w:rsid w:val="4A6242BC"/>
    <w:rsid w:val="4A62606A"/>
    <w:rsid w:val="4A631DE2"/>
    <w:rsid w:val="4A655B5A"/>
    <w:rsid w:val="4A6A3171"/>
    <w:rsid w:val="4A6A4F1F"/>
    <w:rsid w:val="4A6F4C2B"/>
    <w:rsid w:val="4A7144FF"/>
    <w:rsid w:val="4A742241"/>
    <w:rsid w:val="4A743FEF"/>
    <w:rsid w:val="4A783AE0"/>
    <w:rsid w:val="4A7B3665"/>
    <w:rsid w:val="4A802994"/>
    <w:rsid w:val="4A8204BA"/>
    <w:rsid w:val="4A82495E"/>
    <w:rsid w:val="4A875AD1"/>
    <w:rsid w:val="4A8847AA"/>
    <w:rsid w:val="4A89343A"/>
    <w:rsid w:val="4A897A9B"/>
    <w:rsid w:val="4A8C758B"/>
    <w:rsid w:val="4A8E53AE"/>
    <w:rsid w:val="4A8F0E29"/>
    <w:rsid w:val="4A913A8A"/>
    <w:rsid w:val="4A9B3349"/>
    <w:rsid w:val="4A9D2073"/>
    <w:rsid w:val="4A9E2E1A"/>
    <w:rsid w:val="4A9F106C"/>
    <w:rsid w:val="4AA04DE4"/>
    <w:rsid w:val="4AA246B9"/>
    <w:rsid w:val="4AA541A9"/>
    <w:rsid w:val="4AA743C5"/>
    <w:rsid w:val="4AAC432F"/>
    <w:rsid w:val="4AB0495E"/>
    <w:rsid w:val="4ABB1C1E"/>
    <w:rsid w:val="4ABE526B"/>
    <w:rsid w:val="4ABF34BD"/>
    <w:rsid w:val="4AC00FE3"/>
    <w:rsid w:val="4AC2566C"/>
    <w:rsid w:val="4AC26B09"/>
    <w:rsid w:val="4AC42881"/>
    <w:rsid w:val="4AC565F9"/>
    <w:rsid w:val="4AC76815"/>
    <w:rsid w:val="4AC77877"/>
    <w:rsid w:val="4ACC5BD9"/>
    <w:rsid w:val="4ACC7988"/>
    <w:rsid w:val="4ACF6009"/>
    <w:rsid w:val="4AD4683C"/>
    <w:rsid w:val="4AD66A58"/>
    <w:rsid w:val="4AD8632C"/>
    <w:rsid w:val="4ADB1F8E"/>
    <w:rsid w:val="4AE44CD1"/>
    <w:rsid w:val="4AE7656F"/>
    <w:rsid w:val="4AE922E8"/>
    <w:rsid w:val="4AE9678B"/>
    <w:rsid w:val="4AEC627C"/>
    <w:rsid w:val="4AEC69C1"/>
    <w:rsid w:val="4AEF3676"/>
    <w:rsid w:val="4AEF4D63"/>
    <w:rsid w:val="4AF313B8"/>
    <w:rsid w:val="4AF55130"/>
    <w:rsid w:val="4AF64A04"/>
    <w:rsid w:val="4AFB026D"/>
    <w:rsid w:val="4AFC64BF"/>
    <w:rsid w:val="4B005883"/>
    <w:rsid w:val="4B047819"/>
    <w:rsid w:val="4B09298A"/>
    <w:rsid w:val="4B0C247A"/>
    <w:rsid w:val="4B0C5FD6"/>
    <w:rsid w:val="4B0E08CB"/>
    <w:rsid w:val="4B115364"/>
    <w:rsid w:val="4B133808"/>
    <w:rsid w:val="4B1530DD"/>
    <w:rsid w:val="4B1650A7"/>
    <w:rsid w:val="4B180E1F"/>
    <w:rsid w:val="4B1B446B"/>
    <w:rsid w:val="4B1D4687"/>
    <w:rsid w:val="4B201A81"/>
    <w:rsid w:val="4B223A4B"/>
    <w:rsid w:val="4B257098"/>
    <w:rsid w:val="4B2C6678"/>
    <w:rsid w:val="4B307F16"/>
    <w:rsid w:val="4B313C8F"/>
    <w:rsid w:val="4B3612A5"/>
    <w:rsid w:val="4B3814C1"/>
    <w:rsid w:val="4B3866CA"/>
    <w:rsid w:val="4B3C4B0D"/>
    <w:rsid w:val="4B3F3E3F"/>
    <w:rsid w:val="4B413ED2"/>
    <w:rsid w:val="4B46598C"/>
    <w:rsid w:val="4B481704"/>
    <w:rsid w:val="4B4B11F4"/>
    <w:rsid w:val="4B533C05"/>
    <w:rsid w:val="4B58121B"/>
    <w:rsid w:val="4B5C2F33"/>
    <w:rsid w:val="4B5D6832"/>
    <w:rsid w:val="4B5F07FC"/>
    <w:rsid w:val="4B616322"/>
    <w:rsid w:val="4B6202EC"/>
    <w:rsid w:val="4B6422B6"/>
    <w:rsid w:val="4B645E12"/>
    <w:rsid w:val="4B667DDC"/>
    <w:rsid w:val="4B683B54"/>
    <w:rsid w:val="4B69167A"/>
    <w:rsid w:val="4B6C4CC7"/>
    <w:rsid w:val="4B6D2F19"/>
    <w:rsid w:val="4B7324F9"/>
    <w:rsid w:val="4B757667"/>
    <w:rsid w:val="4B771FE9"/>
    <w:rsid w:val="4B7C7600"/>
    <w:rsid w:val="4B7D226C"/>
    <w:rsid w:val="4B80775D"/>
    <w:rsid w:val="4B8535CF"/>
    <w:rsid w:val="4B8A1D1C"/>
    <w:rsid w:val="4B8D5369"/>
    <w:rsid w:val="4B8D7117"/>
    <w:rsid w:val="4B8E10E1"/>
    <w:rsid w:val="4B9009B5"/>
    <w:rsid w:val="4B935045"/>
    <w:rsid w:val="4B9530C4"/>
    <w:rsid w:val="4B95421D"/>
    <w:rsid w:val="4B971D44"/>
    <w:rsid w:val="4BA206E8"/>
    <w:rsid w:val="4BA32DDE"/>
    <w:rsid w:val="4BA34B8C"/>
    <w:rsid w:val="4BA44460"/>
    <w:rsid w:val="4BA83F51"/>
    <w:rsid w:val="4BAA11D4"/>
    <w:rsid w:val="4BAD3A3F"/>
    <w:rsid w:val="4BB02E05"/>
    <w:rsid w:val="4BB072A9"/>
    <w:rsid w:val="4BB26B7D"/>
    <w:rsid w:val="4BB859AC"/>
    <w:rsid w:val="4BBC79FC"/>
    <w:rsid w:val="4BBD7B47"/>
    <w:rsid w:val="4BCC5D64"/>
    <w:rsid w:val="4BD20FCE"/>
    <w:rsid w:val="4BD42F98"/>
    <w:rsid w:val="4BD47D6D"/>
    <w:rsid w:val="4BD56D10"/>
    <w:rsid w:val="4BD9235C"/>
    <w:rsid w:val="4BD96800"/>
    <w:rsid w:val="4BDE3E16"/>
    <w:rsid w:val="4BE13907"/>
    <w:rsid w:val="4BE3142D"/>
    <w:rsid w:val="4BE46688"/>
    <w:rsid w:val="4BE551A5"/>
    <w:rsid w:val="4BE614DC"/>
    <w:rsid w:val="4BEB211D"/>
    <w:rsid w:val="4BEB6533"/>
    <w:rsid w:val="4BED22AB"/>
    <w:rsid w:val="4BF278C2"/>
    <w:rsid w:val="4BF52F0E"/>
    <w:rsid w:val="4BF54CBC"/>
    <w:rsid w:val="4BFA0524"/>
    <w:rsid w:val="4C003D8D"/>
    <w:rsid w:val="4C0513A3"/>
    <w:rsid w:val="4C066EC9"/>
    <w:rsid w:val="4C0849EF"/>
    <w:rsid w:val="4C0A0767"/>
    <w:rsid w:val="4C0D2006"/>
    <w:rsid w:val="4C170728"/>
    <w:rsid w:val="4C196BFC"/>
    <w:rsid w:val="4C1E2465"/>
    <w:rsid w:val="4C20166C"/>
    <w:rsid w:val="4C20442F"/>
    <w:rsid w:val="4C2061DD"/>
    <w:rsid w:val="4C207F8B"/>
    <w:rsid w:val="4C213D03"/>
    <w:rsid w:val="4C237A7B"/>
    <w:rsid w:val="4C286E40"/>
    <w:rsid w:val="4C2A705C"/>
    <w:rsid w:val="4C2F01CE"/>
    <w:rsid w:val="4C2F4672"/>
    <w:rsid w:val="4C303F46"/>
    <w:rsid w:val="4C312198"/>
    <w:rsid w:val="4C324162"/>
    <w:rsid w:val="4C3752D5"/>
    <w:rsid w:val="4C387E6A"/>
    <w:rsid w:val="4C392DFB"/>
    <w:rsid w:val="4C3954F1"/>
    <w:rsid w:val="4C404189"/>
    <w:rsid w:val="4C405DD4"/>
    <w:rsid w:val="4C417F01"/>
    <w:rsid w:val="4C453E95"/>
    <w:rsid w:val="4C455C43"/>
    <w:rsid w:val="4C4F0870"/>
    <w:rsid w:val="4C523EBC"/>
    <w:rsid w:val="4C577725"/>
    <w:rsid w:val="4C5916EF"/>
    <w:rsid w:val="4C5B5467"/>
    <w:rsid w:val="4C5B5755"/>
    <w:rsid w:val="4C5D11DF"/>
    <w:rsid w:val="4C60096A"/>
    <w:rsid w:val="4C6065D9"/>
    <w:rsid w:val="4C606B2A"/>
    <w:rsid w:val="4C64349E"/>
    <w:rsid w:val="4C651E42"/>
    <w:rsid w:val="4C6562E6"/>
    <w:rsid w:val="4C662E2D"/>
    <w:rsid w:val="4C6C6A83"/>
    <w:rsid w:val="4C793B3F"/>
    <w:rsid w:val="4C7C6027"/>
    <w:rsid w:val="4C7E73A7"/>
    <w:rsid w:val="4C8049A8"/>
    <w:rsid w:val="4C863FF4"/>
    <w:rsid w:val="4C87000A"/>
    <w:rsid w:val="4C8853A9"/>
    <w:rsid w:val="4C9D782D"/>
    <w:rsid w:val="4CA30BBC"/>
    <w:rsid w:val="4CA7245A"/>
    <w:rsid w:val="4CA94424"/>
    <w:rsid w:val="4CAC181F"/>
    <w:rsid w:val="4CAE1A3B"/>
    <w:rsid w:val="4CB30DFF"/>
    <w:rsid w:val="4CB84667"/>
    <w:rsid w:val="4CBD1DD3"/>
    <w:rsid w:val="4CC4300C"/>
    <w:rsid w:val="4CC50B32"/>
    <w:rsid w:val="4CC53937"/>
    <w:rsid w:val="4CC90623"/>
    <w:rsid w:val="4CCF19B1"/>
    <w:rsid w:val="4CD11285"/>
    <w:rsid w:val="4CD62D3F"/>
    <w:rsid w:val="4CD6689C"/>
    <w:rsid w:val="4CD80866"/>
    <w:rsid w:val="4CDB0356"/>
    <w:rsid w:val="4CDD7C2A"/>
    <w:rsid w:val="4CDF1BF4"/>
    <w:rsid w:val="4CE216E4"/>
    <w:rsid w:val="4CEA2347"/>
    <w:rsid w:val="4CEF795D"/>
    <w:rsid w:val="4CF03E01"/>
    <w:rsid w:val="4CF5766A"/>
    <w:rsid w:val="4CF9674C"/>
    <w:rsid w:val="4CFB09F8"/>
    <w:rsid w:val="4D001B6A"/>
    <w:rsid w:val="4D005885"/>
    <w:rsid w:val="4D057181"/>
    <w:rsid w:val="4D072EF9"/>
    <w:rsid w:val="4D0A29E9"/>
    <w:rsid w:val="4D0A5413"/>
    <w:rsid w:val="4D0C49B3"/>
    <w:rsid w:val="4D0F61C4"/>
    <w:rsid w:val="4D113D78"/>
    <w:rsid w:val="4D135D42"/>
    <w:rsid w:val="4D151ABA"/>
    <w:rsid w:val="4D157283"/>
    <w:rsid w:val="4D19055F"/>
    <w:rsid w:val="4D1A0E7E"/>
    <w:rsid w:val="4D1A2C2C"/>
    <w:rsid w:val="4D1A70D0"/>
    <w:rsid w:val="4D1E46E0"/>
    <w:rsid w:val="4D221AE1"/>
    <w:rsid w:val="4D265A75"/>
    <w:rsid w:val="4D2770F7"/>
    <w:rsid w:val="4D292E6F"/>
    <w:rsid w:val="4D2A6229"/>
    <w:rsid w:val="4D2E2B7B"/>
    <w:rsid w:val="4D341814"/>
    <w:rsid w:val="4D3637DE"/>
    <w:rsid w:val="4D36558C"/>
    <w:rsid w:val="4D381304"/>
    <w:rsid w:val="4D3857A8"/>
    <w:rsid w:val="4D3F08E5"/>
    <w:rsid w:val="4D4203D5"/>
    <w:rsid w:val="4D423B58"/>
    <w:rsid w:val="4D461C73"/>
    <w:rsid w:val="4D4B54DB"/>
    <w:rsid w:val="4D502AF2"/>
    <w:rsid w:val="4D53225C"/>
    <w:rsid w:val="4D5D2548"/>
    <w:rsid w:val="4D5F7326"/>
    <w:rsid w:val="4D64659D"/>
    <w:rsid w:val="4D6E11CA"/>
    <w:rsid w:val="4D6E37DE"/>
    <w:rsid w:val="4D700A9E"/>
    <w:rsid w:val="4D70479B"/>
    <w:rsid w:val="4D704F42"/>
    <w:rsid w:val="4D720CBA"/>
    <w:rsid w:val="4D73233C"/>
    <w:rsid w:val="4D7367E0"/>
    <w:rsid w:val="4D7560B4"/>
    <w:rsid w:val="4D761E2D"/>
    <w:rsid w:val="4D785BA5"/>
    <w:rsid w:val="4D7B5AD0"/>
    <w:rsid w:val="4D7D140D"/>
    <w:rsid w:val="4D7D31BB"/>
    <w:rsid w:val="4D7F5185"/>
    <w:rsid w:val="4D7F6F33"/>
    <w:rsid w:val="4D810EFD"/>
    <w:rsid w:val="4D862070"/>
    <w:rsid w:val="4D866514"/>
    <w:rsid w:val="4D897DB2"/>
    <w:rsid w:val="4D907392"/>
    <w:rsid w:val="4D986247"/>
    <w:rsid w:val="4D9A3D6D"/>
    <w:rsid w:val="4D9A5B1B"/>
    <w:rsid w:val="4D9C5D37"/>
    <w:rsid w:val="4D9C7AE5"/>
    <w:rsid w:val="4DA30E74"/>
    <w:rsid w:val="4DA644C0"/>
    <w:rsid w:val="4DA70238"/>
    <w:rsid w:val="4DA8648A"/>
    <w:rsid w:val="4DAB7D28"/>
    <w:rsid w:val="4DAC584E"/>
    <w:rsid w:val="4DB03590"/>
    <w:rsid w:val="4DB07591"/>
    <w:rsid w:val="4DB12E65"/>
    <w:rsid w:val="4DB15627"/>
    <w:rsid w:val="4DB52955"/>
    <w:rsid w:val="4DB84715"/>
    <w:rsid w:val="4DBC1F35"/>
    <w:rsid w:val="4DBF37D4"/>
    <w:rsid w:val="4DBF5582"/>
    <w:rsid w:val="4DC134BA"/>
    <w:rsid w:val="4DC1579E"/>
    <w:rsid w:val="4DC204EB"/>
    <w:rsid w:val="4DC4703C"/>
    <w:rsid w:val="4DCD6520"/>
    <w:rsid w:val="4DD94895"/>
    <w:rsid w:val="4DDA23BB"/>
    <w:rsid w:val="4DDA7F5C"/>
    <w:rsid w:val="4DDC25D7"/>
    <w:rsid w:val="4DE1374A"/>
    <w:rsid w:val="4DE163BF"/>
    <w:rsid w:val="4DE33966"/>
    <w:rsid w:val="4DEA6AA2"/>
    <w:rsid w:val="4DEB2042"/>
    <w:rsid w:val="4DF27705"/>
    <w:rsid w:val="4DF809CE"/>
    <w:rsid w:val="4DFB6F66"/>
    <w:rsid w:val="4DFE42FC"/>
    <w:rsid w:val="4E061402"/>
    <w:rsid w:val="4E094A4F"/>
    <w:rsid w:val="4E0A3E8A"/>
    <w:rsid w:val="4E0F6509"/>
    <w:rsid w:val="4E127DA7"/>
    <w:rsid w:val="4E1753BE"/>
    <w:rsid w:val="4E18437E"/>
    <w:rsid w:val="4E1C0C26"/>
    <w:rsid w:val="4E1C29D4"/>
    <w:rsid w:val="4E1D798E"/>
    <w:rsid w:val="4E200716"/>
    <w:rsid w:val="4E2023C2"/>
    <w:rsid w:val="4E233D62"/>
    <w:rsid w:val="4E255D2C"/>
    <w:rsid w:val="4E261AA5"/>
    <w:rsid w:val="4E2875CB"/>
    <w:rsid w:val="4E293D18"/>
    <w:rsid w:val="4E2F6BAB"/>
    <w:rsid w:val="4E3E0B9C"/>
    <w:rsid w:val="4E3E6DEE"/>
    <w:rsid w:val="4E4168DE"/>
    <w:rsid w:val="4E43401B"/>
    <w:rsid w:val="4E45017D"/>
    <w:rsid w:val="4E451F2B"/>
    <w:rsid w:val="4E4A12EF"/>
    <w:rsid w:val="4E5B79A0"/>
    <w:rsid w:val="4E604FB7"/>
    <w:rsid w:val="4E606BBB"/>
    <w:rsid w:val="4E61488B"/>
    <w:rsid w:val="4E6A373F"/>
    <w:rsid w:val="4E6B3BF2"/>
    <w:rsid w:val="4E6C395B"/>
    <w:rsid w:val="4E712D20"/>
    <w:rsid w:val="4E720846"/>
    <w:rsid w:val="4E74375B"/>
    <w:rsid w:val="4E760336"/>
    <w:rsid w:val="4E766588"/>
    <w:rsid w:val="4E797E26"/>
    <w:rsid w:val="4E7B3B9E"/>
    <w:rsid w:val="4E7E368F"/>
    <w:rsid w:val="4E7F169D"/>
    <w:rsid w:val="4E8011B5"/>
    <w:rsid w:val="4E802F63"/>
    <w:rsid w:val="4E872A00"/>
    <w:rsid w:val="4E8A5B90"/>
    <w:rsid w:val="4E8F31A6"/>
    <w:rsid w:val="4E916F1E"/>
    <w:rsid w:val="4E937D1C"/>
    <w:rsid w:val="4E962449"/>
    <w:rsid w:val="4E966494"/>
    <w:rsid w:val="4E9702AC"/>
    <w:rsid w:val="4EA01857"/>
    <w:rsid w:val="4EA03605"/>
    <w:rsid w:val="4EA34EA3"/>
    <w:rsid w:val="4EA533B8"/>
    <w:rsid w:val="4EA561E7"/>
    <w:rsid w:val="4EA56E6D"/>
    <w:rsid w:val="4EAF55F6"/>
    <w:rsid w:val="4EB032D6"/>
    <w:rsid w:val="4EB26E94"/>
    <w:rsid w:val="4EB42C0C"/>
    <w:rsid w:val="4EBD41B7"/>
    <w:rsid w:val="4EBE1CDD"/>
    <w:rsid w:val="4EBE7A67"/>
    <w:rsid w:val="4EC05A55"/>
    <w:rsid w:val="4EC609B7"/>
    <w:rsid w:val="4EC72940"/>
    <w:rsid w:val="4EC92B5C"/>
    <w:rsid w:val="4ED27537"/>
    <w:rsid w:val="4ED60DD5"/>
    <w:rsid w:val="4EDE3549"/>
    <w:rsid w:val="4EDE412D"/>
    <w:rsid w:val="4EDE5EDB"/>
    <w:rsid w:val="4EDF107B"/>
    <w:rsid w:val="4EE5726A"/>
    <w:rsid w:val="4EE71234"/>
    <w:rsid w:val="4EEA4880"/>
    <w:rsid w:val="4EEE25C2"/>
    <w:rsid w:val="4EEF1E97"/>
    <w:rsid w:val="4EF342DE"/>
    <w:rsid w:val="4EF85299"/>
    <w:rsid w:val="4EFA0F67"/>
    <w:rsid w:val="4EFE20DA"/>
    <w:rsid w:val="4F0022F6"/>
    <w:rsid w:val="4F0516BA"/>
    <w:rsid w:val="4F0771E0"/>
    <w:rsid w:val="4F0F2539"/>
    <w:rsid w:val="4F1162B1"/>
    <w:rsid w:val="4F132029"/>
    <w:rsid w:val="4F1D754B"/>
    <w:rsid w:val="4F22226C"/>
    <w:rsid w:val="4F277882"/>
    <w:rsid w:val="4F287CCE"/>
    <w:rsid w:val="4F2A2ECF"/>
    <w:rsid w:val="4F343D4D"/>
    <w:rsid w:val="4F391364"/>
    <w:rsid w:val="4F3F1455"/>
    <w:rsid w:val="4F440434"/>
    <w:rsid w:val="4F471CD3"/>
    <w:rsid w:val="4F4D5D7D"/>
    <w:rsid w:val="4F4E4E0F"/>
    <w:rsid w:val="4F4F2935"/>
    <w:rsid w:val="4F50502B"/>
    <w:rsid w:val="4F530677"/>
    <w:rsid w:val="4F5368C9"/>
    <w:rsid w:val="4F561F16"/>
    <w:rsid w:val="4F562811"/>
    <w:rsid w:val="4F583EE0"/>
    <w:rsid w:val="4F5D5052"/>
    <w:rsid w:val="4F5F526E"/>
    <w:rsid w:val="4F610FE6"/>
    <w:rsid w:val="4F6771D1"/>
    <w:rsid w:val="4F68550E"/>
    <w:rsid w:val="4F6F234F"/>
    <w:rsid w:val="4F7003C5"/>
    <w:rsid w:val="4F732AC8"/>
    <w:rsid w:val="4F770156"/>
    <w:rsid w:val="4F786330"/>
    <w:rsid w:val="4F7A5C04"/>
    <w:rsid w:val="4F7C5E20"/>
    <w:rsid w:val="4F8366F9"/>
    <w:rsid w:val="4F876573"/>
    <w:rsid w:val="4F895E47"/>
    <w:rsid w:val="4F8B7E11"/>
    <w:rsid w:val="4F8C3B89"/>
    <w:rsid w:val="4F8E7901"/>
    <w:rsid w:val="4F912F4E"/>
    <w:rsid w:val="4F924D5E"/>
    <w:rsid w:val="4F9273F2"/>
    <w:rsid w:val="4F974A08"/>
    <w:rsid w:val="4F9A44F8"/>
    <w:rsid w:val="4F9C3DCC"/>
    <w:rsid w:val="4F9E7653"/>
    <w:rsid w:val="4FA42499"/>
    <w:rsid w:val="4FA64C4B"/>
    <w:rsid w:val="4FA72771"/>
    <w:rsid w:val="4FAD5E6E"/>
    <w:rsid w:val="4FAE3B00"/>
    <w:rsid w:val="4FB05ACA"/>
    <w:rsid w:val="4FB21777"/>
    <w:rsid w:val="4FB629B4"/>
    <w:rsid w:val="4FB72A18"/>
    <w:rsid w:val="4FBC446F"/>
    <w:rsid w:val="4FBC53FA"/>
    <w:rsid w:val="4FBE7AD8"/>
    <w:rsid w:val="4FC21359"/>
    <w:rsid w:val="4FC450D1"/>
    <w:rsid w:val="4FC6709B"/>
    <w:rsid w:val="4FCB46B2"/>
    <w:rsid w:val="4FCE23B2"/>
    <w:rsid w:val="4FD14C30"/>
    <w:rsid w:val="4FD57274"/>
    <w:rsid w:val="4FD73056"/>
    <w:rsid w:val="4FD81D51"/>
    <w:rsid w:val="4FD95020"/>
    <w:rsid w:val="4FDA2B47"/>
    <w:rsid w:val="4FDA66A3"/>
    <w:rsid w:val="4FDE2637"/>
    <w:rsid w:val="4FE13ED5"/>
    <w:rsid w:val="4FE27115"/>
    <w:rsid w:val="4FEB6B02"/>
    <w:rsid w:val="4FED287A"/>
    <w:rsid w:val="4FEE65F2"/>
    <w:rsid w:val="4FF27E90"/>
    <w:rsid w:val="4FF54280"/>
    <w:rsid w:val="4FFA6D45"/>
    <w:rsid w:val="4FFC0D0F"/>
    <w:rsid w:val="4FFF25AD"/>
    <w:rsid w:val="500B0F52"/>
    <w:rsid w:val="50111D04"/>
    <w:rsid w:val="50125E3D"/>
    <w:rsid w:val="50146059"/>
    <w:rsid w:val="501A1195"/>
    <w:rsid w:val="502838B2"/>
    <w:rsid w:val="502D711A"/>
    <w:rsid w:val="502F2E92"/>
    <w:rsid w:val="503009B9"/>
    <w:rsid w:val="503474FD"/>
    <w:rsid w:val="5038161B"/>
    <w:rsid w:val="503A5393"/>
    <w:rsid w:val="503E30D6"/>
    <w:rsid w:val="50413A07"/>
    <w:rsid w:val="50414974"/>
    <w:rsid w:val="504306EC"/>
    <w:rsid w:val="50446212"/>
    <w:rsid w:val="50463D38"/>
    <w:rsid w:val="504667CC"/>
    <w:rsid w:val="504A7CCC"/>
    <w:rsid w:val="504B57F2"/>
    <w:rsid w:val="504D3DB0"/>
    <w:rsid w:val="50502E09"/>
    <w:rsid w:val="50506121"/>
    <w:rsid w:val="5052092F"/>
    <w:rsid w:val="50526B81"/>
    <w:rsid w:val="50593A6B"/>
    <w:rsid w:val="505F4DFA"/>
    <w:rsid w:val="50615016"/>
    <w:rsid w:val="50650662"/>
    <w:rsid w:val="506B1E14"/>
    <w:rsid w:val="50700DB5"/>
    <w:rsid w:val="507408A5"/>
    <w:rsid w:val="507460F2"/>
    <w:rsid w:val="507B7A10"/>
    <w:rsid w:val="507E7976"/>
    <w:rsid w:val="50836D3A"/>
    <w:rsid w:val="508451DC"/>
    <w:rsid w:val="50870B84"/>
    <w:rsid w:val="508807F5"/>
    <w:rsid w:val="508825A3"/>
    <w:rsid w:val="508B5BEF"/>
    <w:rsid w:val="508C2093"/>
    <w:rsid w:val="508D1967"/>
    <w:rsid w:val="508D5E0B"/>
    <w:rsid w:val="508D7BB9"/>
    <w:rsid w:val="50926F7D"/>
    <w:rsid w:val="50937B6E"/>
    <w:rsid w:val="50942CF5"/>
    <w:rsid w:val="50964CC0"/>
    <w:rsid w:val="50A373DC"/>
    <w:rsid w:val="50A5584E"/>
    <w:rsid w:val="50A56CB1"/>
    <w:rsid w:val="50A606DB"/>
    <w:rsid w:val="50B11AF9"/>
    <w:rsid w:val="50B45146"/>
    <w:rsid w:val="50B74C36"/>
    <w:rsid w:val="50B810F3"/>
    <w:rsid w:val="50BA65E4"/>
    <w:rsid w:val="50BB0282"/>
    <w:rsid w:val="50C25AB5"/>
    <w:rsid w:val="50C44837"/>
    <w:rsid w:val="50C51101"/>
    <w:rsid w:val="50C8299F"/>
    <w:rsid w:val="50CA2BBB"/>
    <w:rsid w:val="50CD4459"/>
    <w:rsid w:val="50CE013F"/>
    <w:rsid w:val="50CF1F80"/>
    <w:rsid w:val="50CF3D2E"/>
    <w:rsid w:val="50D17AA6"/>
    <w:rsid w:val="50D21A70"/>
    <w:rsid w:val="50D650BC"/>
    <w:rsid w:val="50DB0924"/>
    <w:rsid w:val="50E517A3"/>
    <w:rsid w:val="50E53551"/>
    <w:rsid w:val="50E721EF"/>
    <w:rsid w:val="50E7305E"/>
    <w:rsid w:val="50E81293"/>
    <w:rsid w:val="50E83041"/>
    <w:rsid w:val="50F27B43"/>
    <w:rsid w:val="50F33EC0"/>
    <w:rsid w:val="50F639B0"/>
    <w:rsid w:val="50F934A0"/>
    <w:rsid w:val="50FB4B23"/>
    <w:rsid w:val="50FE1CE5"/>
    <w:rsid w:val="5100038B"/>
    <w:rsid w:val="510559A1"/>
    <w:rsid w:val="51065BD7"/>
    <w:rsid w:val="51085492"/>
    <w:rsid w:val="510C6D30"/>
    <w:rsid w:val="510D4C5B"/>
    <w:rsid w:val="510F337D"/>
    <w:rsid w:val="51142088"/>
    <w:rsid w:val="51143E36"/>
    <w:rsid w:val="5119144D"/>
    <w:rsid w:val="511931FB"/>
    <w:rsid w:val="512027DB"/>
    <w:rsid w:val="51204589"/>
    <w:rsid w:val="5124051D"/>
    <w:rsid w:val="51271DBC"/>
    <w:rsid w:val="512956ED"/>
    <w:rsid w:val="51295B34"/>
    <w:rsid w:val="512C1180"/>
    <w:rsid w:val="512E4EF8"/>
    <w:rsid w:val="512F6EC2"/>
    <w:rsid w:val="51363DAD"/>
    <w:rsid w:val="51383FC9"/>
    <w:rsid w:val="513D15DF"/>
    <w:rsid w:val="5144296E"/>
    <w:rsid w:val="51452242"/>
    <w:rsid w:val="514857F0"/>
    <w:rsid w:val="51497F84"/>
    <w:rsid w:val="514E10F6"/>
    <w:rsid w:val="51542485"/>
    <w:rsid w:val="51595CED"/>
    <w:rsid w:val="515B09A1"/>
    <w:rsid w:val="515D57DD"/>
    <w:rsid w:val="515E4C34"/>
    <w:rsid w:val="515F763E"/>
    <w:rsid w:val="51656440"/>
    <w:rsid w:val="5166324A"/>
    <w:rsid w:val="51714DE5"/>
    <w:rsid w:val="517364CA"/>
    <w:rsid w:val="51752B27"/>
    <w:rsid w:val="51791EEB"/>
    <w:rsid w:val="518014CC"/>
    <w:rsid w:val="5180327A"/>
    <w:rsid w:val="51835B64"/>
    <w:rsid w:val="51840FBC"/>
    <w:rsid w:val="51870AAC"/>
    <w:rsid w:val="518845C1"/>
    <w:rsid w:val="518935BB"/>
    <w:rsid w:val="518C7E71"/>
    <w:rsid w:val="5190050C"/>
    <w:rsid w:val="519311FF"/>
    <w:rsid w:val="51937451"/>
    <w:rsid w:val="519531C9"/>
    <w:rsid w:val="51954F77"/>
    <w:rsid w:val="519A7A59"/>
    <w:rsid w:val="51A55A26"/>
    <w:rsid w:val="51A57EC9"/>
    <w:rsid w:val="51AC0513"/>
    <w:rsid w:val="51AE7DE7"/>
    <w:rsid w:val="51B64EEE"/>
    <w:rsid w:val="51BA49DE"/>
    <w:rsid w:val="51BB20EF"/>
    <w:rsid w:val="51BF0FF3"/>
    <w:rsid w:val="51BF1FF4"/>
    <w:rsid w:val="51C25640"/>
    <w:rsid w:val="51D05FAF"/>
    <w:rsid w:val="51D11D27"/>
    <w:rsid w:val="51D13AD5"/>
    <w:rsid w:val="51D33CF1"/>
    <w:rsid w:val="51D35A9F"/>
    <w:rsid w:val="51E23F34"/>
    <w:rsid w:val="51E41A5B"/>
    <w:rsid w:val="51E43809"/>
    <w:rsid w:val="51E9516C"/>
    <w:rsid w:val="51ED4DB3"/>
    <w:rsid w:val="51EE0B2B"/>
    <w:rsid w:val="51EE4687"/>
    <w:rsid w:val="51F162B1"/>
    <w:rsid w:val="51F24178"/>
    <w:rsid w:val="51FD48CA"/>
    <w:rsid w:val="51FE0D6E"/>
    <w:rsid w:val="51FE4019"/>
    <w:rsid w:val="51FF0643"/>
    <w:rsid w:val="520774F7"/>
    <w:rsid w:val="5208399B"/>
    <w:rsid w:val="520A5C72"/>
    <w:rsid w:val="520B348B"/>
    <w:rsid w:val="520D7203"/>
    <w:rsid w:val="520E4D2A"/>
    <w:rsid w:val="52164189"/>
    <w:rsid w:val="52173BDE"/>
    <w:rsid w:val="52175619"/>
    <w:rsid w:val="5217598C"/>
    <w:rsid w:val="521A1920"/>
    <w:rsid w:val="521C11F4"/>
    <w:rsid w:val="521C7FFB"/>
    <w:rsid w:val="521F0CE5"/>
    <w:rsid w:val="5224454D"/>
    <w:rsid w:val="52291B63"/>
    <w:rsid w:val="52293911"/>
    <w:rsid w:val="522B43D6"/>
    <w:rsid w:val="523302EC"/>
    <w:rsid w:val="52344790"/>
    <w:rsid w:val="52377DDC"/>
    <w:rsid w:val="523924E1"/>
    <w:rsid w:val="523A167B"/>
    <w:rsid w:val="523A5B1F"/>
    <w:rsid w:val="523E73BD"/>
    <w:rsid w:val="52412A09"/>
    <w:rsid w:val="52426781"/>
    <w:rsid w:val="52432C25"/>
    <w:rsid w:val="52483D98"/>
    <w:rsid w:val="524A1938"/>
    <w:rsid w:val="524A3FB4"/>
    <w:rsid w:val="52500E9E"/>
    <w:rsid w:val="5253098E"/>
    <w:rsid w:val="52554706"/>
    <w:rsid w:val="5264494A"/>
    <w:rsid w:val="526606C2"/>
    <w:rsid w:val="5266475B"/>
    <w:rsid w:val="52721545"/>
    <w:rsid w:val="527821A3"/>
    <w:rsid w:val="527C6137"/>
    <w:rsid w:val="528B7935"/>
    <w:rsid w:val="528F4D76"/>
    <w:rsid w:val="528F5E6A"/>
    <w:rsid w:val="52903990"/>
    <w:rsid w:val="52945E8C"/>
    <w:rsid w:val="52990A97"/>
    <w:rsid w:val="529945F3"/>
    <w:rsid w:val="529C2335"/>
    <w:rsid w:val="529E42FF"/>
    <w:rsid w:val="52A15B9E"/>
    <w:rsid w:val="52A336C4"/>
    <w:rsid w:val="52A631B4"/>
    <w:rsid w:val="52A66D10"/>
    <w:rsid w:val="52AA2CA4"/>
    <w:rsid w:val="52AA6800"/>
    <w:rsid w:val="52AF3E17"/>
    <w:rsid w:val="52B14033"/>
    <w:rsid w:val="52B23BD5"/>
    <w:rsid w:val="52BB0A0D"/>
    <w:rsid w:val="52BC0BAE"/>
    <w:rsid w:val="52BF7DD2"/>
    <w:rsid w:val="52C06024"/>
    <w:rsid w:val="52CB0C33"/>
    <w:rsid w:val="52CF44B9"/>
    <w:rsid w:val="52D23FA9"/>
    <w:rsid w:val="52DB10B0"/>
    <w:rsid w:val="52DB2E5E"/>
    <w:rsid w:val="52DE294E"/>
    <w:rsid w:val="52E33AC0"/>
    <w:rsid w:val="52E37F64"/>
    <w:rsid w:val="52E71802"/>
    <w:rsid w:val="52E77A54"/>
    <w:rsid w:val="52EF06B7"/>
    <w:rsid w:val="52F3415D"/>
    <w:rsid w:val="52F61A46"/>
    <w:rsid w:val="53093984"/>
    <w:rsid w:val="530A54F1"/>
    <w:rsid w:val="530C1FE7"/>
    <w:rsid w:val="530C3017"/>
    <w:rsid w:val="530F0D59"/>
    <w:rsid w:val="53130849"/>
    <w:rsid w:val="531511DA"/>
    <w:rsid w:val="531719BC"/>
    <w:rsid w:val="531935A4"/>
    <w:rsid w:val="5321043D"/>
    <w:rsid w:val="532145E9"/>
    <w:rsid w:val="53234805"/>
    <w:rsid w:val="532A5B93"/>
    <w:rsid w:val="532E7431"/>
    <w:rsid w:val="5334431C"/>
    <w:rsid w:val="53364538"/>
    <w:rsid w:val="53394028"/>
    <w:rsid w:val="5349426B"/>
    <w:rsid w:val="53511372"/>
    <w:rsid w:val="535624E4"/>
    <w:rsid w:val="5356677C"/>
    <w:rsid w:val="535B3F9E"/>
    <w:rsid w:val="535B5D4C"/>
    <w:rsid w:val="535D3873"/>
    <w:rsid w:val="535E4FF9"/>
    <w:rsid w:val="535F2480"/>
    <w:rsid w:val="53630D86"/>
    <w:rsid w:val="53694469"/>
    <w:rsid w:val="536A5F90"/>
    <w:rsid w:val="536B319B"/>
    <w:rsid w:val="536C1D08"/>
    <w:rsid w:val="5374721F"/>
    <w:rsid w:val="537806AC"/>
    <w:rsid w:val="537F5EDF"/>
    <w:rsid w:val="53837051"/>
    <w:rsid w:val="5386726D"/>
    <w:rsid w:val="53894668"/>
    <w:rsid w:val="538C6936"/>
    <w:rsid w:val="53915C12"/>
    <w:rsid w:val="53933738"/>
    <w:rsid w:val="53942278"/>
    <w:rsid w:val="539450C8"/>
    <w:rsid w:val="53963229"/>
    <w:rsid w:val="53963B33"/>
    <w:rsid w:val="53964FD7"/>
    <w:rsid w:val="539F20DD"/>
    <w:rsid w:val="539F3E8B"/>
    <w:rsid w:val="53A05837"/>
    <w:rsid w:val="53A34DF3"/>
    <w:rsid w:val="53A616BE"/>
    <w:rsid w:val="53A72D40"/>
    <w:rsid w:val="53AC0356"/>
    <w:rsid w:val="53BA6F17"/>
    <w:rsid w:val="53BB4A3D"/>
    <w:rsid w:val="53C07FC2"/>
    <w:rsid w:val="53C71634"/>
    <w:rsid w:val="53CE29C2"/>
    <w:rsid w:val="53CE4770"/>
    <w:rsid w:val="53D02297"/>
    <w:rsid w:val="53D14261"/>
    <w:rsid w:val="53D37FD9"/>
    <w:rsid w:val="53D506F4"/>
    <w:rsid w:val="53D61877"/>
    <w:rsid w:val="53DC50DF"/>
    <w:rsid w:val="53E421E6"/>
    <w:rsid w:val="53E915AA"/>
    <w:rsid w:val="53E932F1"/>
    <w:rsid w:val="53E95CCC"/>
    <w:rsid w:val="53EB5322"/>
    <w:rsid w:val="53EB70D0"/>
    <w:rsid w:val="53EC109A"/>
    <w:rsid w:val="53ED2917"/>
    <w:rsid w:val="53EE6BC1"/>
    <w:rsid w:val="53F00B8B"/>
    <w:rsid w:val="53F1220D"/>
    <w:rsid w:val="53F73CC7"/>
    <w:rsid w:val="53F817ED"/>
    <w:rsid w:val="53FA37B7"/>
    <w:rsid w:val="53FC752F"/>
    <w:rsid w:val="53FF492A"/>
    <w:rsid w:val="540006A2"/>
    <w:rsid w:val="540301AA"/>
    <w:rsid w:val="54042E5B"/>
    <w:rsid w:val="540E1011"/>
    <w:rsid w:val="540E3B7C"/>
    <w:rsid w:val="541128AF"/>
    <w:rsid w:val="541648CE"/>
    <w:rsid w:val="541859EC"/>
    <w:rsid w:val="54185AF9"/>
    <w:rsid w:val="541D1254"/>
    <w:rsid w:val="541D21E1"/>
    <w:rsid w:val="541E2C15"/>
    <w:rsid w:val="541F4FCC"/>
    <w:rsid w:val="54210ABC"/>
    <w:rsid w:val="54244390"/>
    <w:rsid w:val="542556BE"/>
    <w:rsid w:val="542645AC"/>
    <w:rsid w:val="542919A7"/>
    <w:rsid w:val="54300F87"/>
    <w:rsid w:val="54324CFF"/>
    <w:rsid w:val="54370568"/>
    <w:rsid w:val="5438608E"/>
    <w:rsid w:val="543A0058"/>
    <w:rsid w:val="543C792C"/>
    <w:rsid w:val="544113E6"/>
    <w:rsid w:val="54433EFC"/>
    <w:rsid w:val="54532EC8"/>
    <w:rsid w:val="5454111A"/>
    <w:rsid w:val="5455279C"/>
    <w:rsid w:val="545804DE"/>
    <w:rsid w:val="545A0CF3"/>
    <w:rsid w:val="54660E4D"/>
    <w:rsid w:val="54680721"/>
    <w:rsid w:val="54694499"/>
    <w:rsid w:val="546E385E"/>
    <w:rsid w:val="546E7D01"/>
    <w:rsid w:val="54703A7A"/>
    <w:rsid w:val="54727444"/>
    <w:rsid w:val="547846DC"/>
    <w:rsid w:val="547C41CC"/>
    <w:rsid w:val="547C4C67"/>
    <w:rsid w:val="547E6196"/>
    <w:rsid w:val="5483555B"/>
    <w:rsid w:val="54866DF9"/>
    <w:rsid w:val="548B08B3"/>
    <w:rsid w:val="548D0188"/>
    <w:rsid w:val="5492579E"/>
    <w:rsid w:val="5495703C"/>
    <w:rsid w:val="54965B12"/>
    <w:rsid w:val="54992FD0"/>
    <w:rsid w:val="549938DE"/>
    <w:rsid w:val="549A4653"/>
    <w:rsid w:val="549F610D"/>
    <w:rsid w:val="54A0435F"/>
    <w:rsid w:val="54A159E1"/>
    <w:rsid w:val="54A83213"/>
    <w:rsid w:val="54A86D6F"/>
    <w:rsid w:val="54AD73FE"/>
    <w:rsid w:val="54AD7DC2"/>
    <w:rsid w:val="54AE00FE"/>
    <w:rsid w:val="54B020C8"/>
    <w:rsid w:val="54B22CCC"/>
    <w:rsid w:val="54B2440D"/>
    <w:rsid w:val="54B81330"/>
    <w:rsid w:val="54BB2F47"/>
    <w:rsid w:val="54BC6CBF"/>
    <w:rsid w:val="54BF40B9"/>
    <w:rsid w:val="54C067AF"/>
    <w:rsid w:val="54C3004D"/>
    <w:rsid w:val="54C96C61"/>
    <w:rsid w:val="54CA271A"/>
    <w:rsid w:val="54CF4877"/>
    <w:rsid w:val="54D47B64"/>
    <w:rsid w:val="54D9161F"/>
    <w:rsid w:val="54DE6C35"/>
    <w:rsid w:val="54E16725"/>
    <w:rsid w:val="54E3249D"/>
    <w:rsid w:val="54ED50CA"/>
    <w:rsid w:val="54ED5EEC"/>
    <w:rsid w:val="54F226E1"/>
    <w:rsid w:val="54F2623D"/>
    <w:rsid w:val="54F4174B"/>
    <w:rsid w:val="54F77CF7"/>
    <w:rsid w:val="54F975CB"/>
    <w:rsid w:val="54FE4BE1"/>
    <w:rsid w:val="55055F70"/>
    <w:rsid w:val="55081F04"/>
    <w:rsid w:val="550D751A"/>
    <w:rsid w:val="551D59AF"/>
    <w:rsid w:val="551E7032"/>
    <w:rsid w:val="55202DAA"/>
    <w:rsid w:val="55236D3E"/>
    <w:rsid w:val="552503C0"/>
    <w:rsid w:val="55257D91"/>
    <w:rsid w:val="552606B9"/>
    <w:rsid w:val="552705DC"/>
    <w:rsid w:val="5527238A"/>
    <w:rsid w:val="552D196B"/>
    <w:rsid w:val="552D54C7"/>
    <w:rsid w:val="552E25A8"/>
    <w:rsid w:val="55304C19"/>
    <w:rsid w:val="55384597"/>
    <w:rsid w:val="5539030F"/>
    <w:rsid w:val="553D1BAE"/>
    <w:rsid w:val="554271C4"/>
    <w:rsid w:val="55432F3C"/>
    <w:rsid w:val="55456CB4"/>
    <w:rsid w:val="554967A4"/>
    <w:rsid w:val="554F368F"/>
    <w:rsid w:val="555111B5"/>
    <w:rsid w:val="55530F92"/>
    <w:rsid w:val="55546EF7"/>
    <w:rsid w:val="5559450E"/>
    <w:rsid w:val="555962BC"/>
    <w:rsid w:val="555A12FD"/>
    <w:rsid w:val="555E5F59"/>
    <w:rsid w:val="556233C2"/>
    <w:rsid w:val="55630EE8"/>
    <w:rsid w:val="55674E7D"/>
    <w:rsid w:val="556C2493"/>
    <w:rsid w:val="556E5844"/>
    <w:rsid w:val="557032EB"/>
    <w:rsid w:val="55717AA9"/>
    <w:rsid w:val="55747599"/>
    <w:rsid w:val="55766E6E"/>
    <w:rsid w:val="55780E38"/>
    <w:rsid w:val="55816DF8"/>
    <w:rsid w:val="55821CB6"/>
    <w:rsid w:val="55825812"/>
    <w:rsid w:val="5583158B"/>
    <w:rsid w:val="558F6181"/>
    <w:rsid w:val="55913CA7"/>
    <w:rsid w:val="55915A56"/>
    <w:rsid w:val="5594082D"/>
    <w:rsid w:val="55954D7C"/>
    <w:rsid w:val="559B0682"/>
    <w:rsid w:val="559B4B26"/>
    <w:rsid w:val="559E63C4"/>
    <w:rsid w:val="55A20145"/>
    <w:rsid w:val="55A2242B"/>
    <w:rsid w:val="55A41C2D"/>
    <w:rsid w:val="55AA6B17"/>
    <w:rsid w:val="55AC288F"/>
    <w:rsid w:val="55B10A36"/>
    <w:rsid w:val="55B856D8"/>
    <w:rsid w:val="55B91086"/>
    <w:rsid w:val="55C10EFF"/>
    <w:rsid w:val="55CB21FF"/>
    <w:rsid w:val="55CB540B"/>
    <w:rsid w:val="55D368E3"/>
    <w:rsid w:val="55D6790C"/>
    <w:rsid w:val="55D87B28"/>
    <w:rsid w:val="55DB4F23"/>
    <w:rsid w:val="55E22755"/>
    <w:rsid w:val="55EC2C79"/>
    <w:rsid w:val="55EC35D4"/>
    <w:rsid w:val="55EE4C56"/>
    <w:rsid w:val="55F3226C"/>
    <w:rsid w:val="55F34962"/>
    <w:rsid w:val="55F54236"/>
    <w:rsid w:val="55FC40BC"/>
    <w:rsid w:val="56004989"/>
    <w:rsid w:val="56010E2D"/>
    <w:rsid w:val="56026953"/>
    <w:rsid w:val="560721BC"/>
    <w:rsid w:val="560921A1"/>
    <w:rsid w:val="56150435"/>
    <w:rsid w:val="561548D9"/>
    <w:rsid w:val="56156687"/>
    <w:rsid w:val="561623FF"/>
    <w:rsid w:val="561D19DF"/>
    <w:rsid w:val="5621327D"/>
    <w:rsid w:val="562C1C22"/>
    <w:rsid w:val="562D0092"/>
    <w:rsid w:val="56310FE7"/>
    <w:rsid w:val="56327239"/>
    <w:rsid w:val="5633442A"/>
    <w:rsid w:val="56336B0D"/>
    <w:rsid w:val="563435BF"/>
    <w:rsid w:val="56352885"/>
    <w:rsid w:val="563805C7"/>
    <w:rsid w:val="563F54B2"/>
    <w:rsid w:val="56404CD3"/>
    <w:rsid w:val="56474D13"/>
    <w:rsid w:val="56494582"/>
    <w:rsid w:val="56501D52"/>
    <w:rsid w:val="565371AF"/>
    <w:rsid w:val="565C2507"/>
    <w:rsid w:val="565F7902"/>
    <w:rsid w:val="566118CC"/>
    <w:rsid w:val="56625644"/>
    <w:rsid w:val="56660C90"/>
    <w:rsid w:val="56666EE2"/>
    <w:rsid w:val="56694C24"/>
    <w:rsid w:val="566B44F9"/>
    <w:rsid w:val="566C3C73"/>
    <w:rsid w:val="5675517D"/>
    <w:rsid w:val="56777341"/>
    <w:rsid w:val="567A2458"/>
    <w:rsid w:val="567C48E2"/>
    <w:rsid w:val="567F61F6"/>
    <w:rsid w:val="568D26C1"/>
    <w:rsid w:val="5697228A"/>
    <w:rsid w:val="569972B8"/>
    <w:rsid w:val="569E48CE"/>
    <w:rsid w:val="56A30136"/>
    <w:rsid w:val="56A63783"/>
    <w:rsid w:val="56A7547E"/>
    <w:rsid w:val="56A83928"/>
    <w:rsid w:val="56A93273"/>
    <w:rsid w:val="56AB2B47"/>
    <w:rsid w:val="56B22127"/>
    <w:rsid w:val="56B539C6"/>
    <w:rsid w:val="56B57E6A"/>
    <w:rsid w:val="56B75990"/>
    <w:rsid w:val="56BF4844"/>
    <w:rsid w:val="56C9121F"/>
    <w:rsid w:val="56CA56C3"/>
    <w:rsid w:val="56D007FF"/>
    <w:rsid w:val="56D06A51"/>
    <w:rsid w:val="56D24578"/>
    <w:rsid w:val="56D26326"/>
    <w:rsid w:val="56D57BC4"/>
    <w:rsid w:val="56D9030D"/>
    <w:rsid w:val="56DB78D0"/>
    <w:rsid w:val="56DC2CB4"/>
    <w:rsid w:val="56E147BB"/>
    <w:rsid w:val="56E237B3"/>
    <w:rsid w:val="56EE0C86"/>
    <w:rsid w:val="56F00EA2"/>
    <w:rsid w:val="56F52014"/>
    <w:rsid w:val="56F72E32"/>
    <w:rsid w:val="56F73FDE"/>
    <w:rsid w:val="56F91B04"/>
    <w:rsid w:val="56FA2452"/>
    <w:rsid w:val="57004867"/>
    <w:rsid w:val="570404A9"/>
    <w:rsid w:val="5706732A"/>
    <w:rsid w:val="570C5CDB"/>
    <w:rsid w:val="570D462C"/>
    <w:rsid w:val="570D55B0"/>
    <w:rsid w:val="5714693E"/>
    <w:rsid w:val="57160908"/>
    <w:rsid w:val="571B6AF5"/>
    <w:rsid w:val="571C3A45"/>
    <w:rsid w:val="571E1DB9"/>
    <w:rsid w:val="572052E3"/>
    <w:rsid w:val="57284198"/>
    <w:rsid w:val="57295295"/>
    <w:rsid w:val="572A43B4"/>
    <w:rsid w:val="572A7F10"/>
    <w:rsid w:val="572B1EDA"/>
    <w:rsid w:val="572C012C"/>
    <w:rsid w:val="572D7A00"/>
    <w:rsid w:val="57302597"/>
    <w:rsid w:val="57323268"/>
    <w:rsid w:val="57340D8E"/>
    <w:rsid w:val="57342B3C"/>
    <w:rsid w:val="57361F9D"/>
    <w:rsid w:val="573945F7"/>
    <w:rsid w:val="573B211D"/>
    <w:rsid w:val="574A05B2"/>
    <w:rsid w:val="574C257C"/>
    <w:rsid w:val="57541431"/>
    <w:rsid w:val="575B27BF"/>
    <w:rsid w:val="575C0124"/>
    <w:rsid w:val="575E22AF"/>
    <w:rsid w:val="576511D6"/>
    <w:rsid w:val="57664CC0"/>
    <w:rsid w:val="57671164"/>
    <w:rsid w:val="5768617E"/>
    <w:rsid w:val="576A47B0"/>
    <w:rsid w:val="576B22D6"/>
    <w:rsid w:val="576D42A0"/>
    <w:rsid w:val="576F626A"/>
    <w:rsid w:val="57700B76"/>
    <w:rsid w:val="577473DD"/>
    <w:rsid w:val="57770C7B"/>
    <w:rsid w:val="5778511F"/>
    <w:rsid w:val="5779221D"/>
    <w:rsid w:val="577C5FCD"/>
    <w:rsid w:val="577D0987"/>
    <w:rsid w:val="577E025B"/>
    <w:rsid w:val="577E46FF"/>
    <w:rsid w:val="578515EA"/>
    <w:rsid w:val="578A30A4"/>
    <w:rsid w:val="57914433"/>
    <w:rsid w:val="57945CD1"/>
    <w:rsid w:val="579B705F"/>
    <w:rsid w:val="579E445A"/>
    <w:rsid w:val="57A001D2"/>
    <w:rsid w:val="57A31A70"/>
    <w:rsid w:val="57A71560"/>
    <w:rsid w:val="57A92D8C"/>
    <w:rsid w:val="57A97AC7"/>
    <w:rsid w:val="57B43C7D"/>
    <w:rsid w:val="57B65C47"/>
    <w:rsid w:val="57B974E6"/>
    <w:rsid w:val="57BE68AA"/>
    <w:rsid w:val="57C00874"/>
    <w:rsid w:val="57C06AC6"/>
    <w:rsid w:val="57C53081"/>
    <w:rsid w:val="57CA34A1"/>
    <w:rsid w:val="57CA5BA4"/>
    <w:rsid w:val="57D065BB"/>
    <w:rsid w:val="57D165DD"/>
    <w:rsid w:val="57D460CD"/>
    <w:rsid w:val="57D85BBE"/>
    <w:rsid w:val="57DE6F4C"/>
    <w:rsid w:val="57E00F16"/>
    <w:rsid w:val="57E36310"/>
    <w:rsid w:val="57EA769F"/>
    <w:rsid w:val="57EE3633"/>
    <w:rsid w:val="57F14ED1"/>
    <w:rsid w:val="57F64F51"/>
    <w:rsid w:val="57F65472"/>
    <w:rsid w:val="57F97B98"/>
    <w:rsid w:val="57FA1FD8"/>
    <w:rsid w:val="57FB7AFE"/>
    <w:rsid w:val="57FE314A"/>
    <w:rsid w:val="58005114"/>
    <w:rsid w:val="580249E9"/>
    <w:rsid w:val="5802676E"/>
    <w:rsid w:val="58041E50"/>
    <w:rsid w:val="5809221B"/>
    <w:rsid w:val="58094B8C"/>
    <w:rsid w:val="580A1AEF"/>
    <w:rsid w:val="580F5357"/>
    <w:rsid w:val="580F7106"/>
    <w:rsid w:val="5818420C"/>
    <w:rsid w:val="581B1F4E"/>
    <w:rsid w:val="581B2000"/>
    <w:rsid w:val="581D136C"/>
    <w:rsid w:val="581F37ED"/>
    <w:rsid w:val="582839F9"/>
    <w:rsid w:val="5829466B"/>
    <w:rsid w:val="58296419"/>
    <w:rsid w:val="582B03E3"/>
    <w:rsid w:val="582C415B"/>
    <w:rsid w:val="58306AD3"/>
    <w:rsid w:val="583152CE"/>
    <w:rsid w:val="5832052D"/>
    <w:rsid w:val="58337298"/>
    <w:rsid w:val="58337722"/>
    <w:rsid w:val="58354DBE"/>
    <w:rsid w:val="58365C64"/>
    <w:rsid w:val="58366D88"/>
    <w:rsid w:val="58385F74"/>
    <w:rsid w:val="5838665C"/>
    <w:rsid w:val="583B614D"/>
    <w:rsid w:val="5842572D"/>
    <w:rsid w:val="58472D43"/>
    <w:rsid w:val="585A2A77"/>
    <w:rsid w:val="585B7E33"/>
    <w:rsid w:val="585F6FDE"/>
    <w:rsid w:val="58615BB3"/>
    <w:rsid w:val="586236D9"/>
    <w:rsid w:val="58632671"/>
    <w:rsid w:val="58656000"/>
    <w:rsid w:val="58690F0C"/>
    <w:rsid w:val="586C7CA8"/>
    <w:rsid w:val="587A4EC7"/>
    <w:rsid w:val="587D6765"/>
    <w:rsid w:val="587F072F"/>
    <w:rsid w:val="58810003"/>
    <w:rsid w:val="588144B9"/>
    <w:rsid w:val="5886561A"/>
    <w:rsid w:val="588C440A"/>
    <w:rsid w:val="588F2810"/>
    <w:rsid w:val="589866DF"/>
    <w:rsid w:val="589A2E73"/>
    <w:rsid w:val="58A106A5"/>
    <w:rsid w:val="58A41F44"/>
    <w:rsid w:val="58AC2BA6"/>
    <w:rsid w:val="58AD0DF8"/>
    <w:rsid w:val="58B008E9"/>
    <w:rsid w:val="58B24661"/>
    <w:rsid w:val="58BD6B62"/>
    <w:rsid w:val="58BE1257"/>
    <w:rsid w:val="58C1728A"/>
    <w:rsid w:val="58C223CA"/>
    <w:rsid w:val="58C3686E"/>
    <w:rsid w:val="58C425E6"/>
    <w:rsid w:val="58C46142"/>
    <w:rsid w:val="58C47EF0"/>
    <w:rsid w:val="58C62CC4"/>
    <w:rsid w:val="58CD4FF7"/>
    <w:rsid w:val="58D04AE7"/>
    <w:rsid w:val="58D75E75"/>
    <w:rsid w:val="58D8399B"/>
    <w:rsid w:val="58DC7930"/>
    <w:rsid w:val="58DD0FB2"/>
    <w:rsid w:val="58DE7204"/>
    <w:rsid w:val="58E01551"/>
    <w:rsid w:val="58E30CBE"/>
    <w:rsid w:val="58E40592"/>
    <w:rsid w:val="58F03289"/>
    <w:rsid w:val="58F05189"/>
    <w:rsid w:val="58F05EF3"/>
    <w:rsid w:val="58F22CAF"/>
    <w:rsid w:val="58F24A5D"/>
    <w:rsid w:val="58FE78A6"/>
    <w:rsid w:val="58FF717A"/>
    <w:rsid w:val="59032E40"/>
    <w:rsid w:val="5906675A"/>
    <w:rsid w:val="590824D3"/>
    <w:rsid w:val="590D6AC3"/>
    <w:rsid w:val="59101387"/>
    <w:rsid w:val="59103135"/>
    <w:rsid w:val="59123351"/>
    <w:rsid w:val="59151B75"/>
    <w:rsid w:val="59154BEF"/>
    <w:rsid w:val="59162E41"/>
    <w:rsid w:val="59172716"/>
    <w:rsid w:val="5919648E"/>
    <w:rsid w:val="591A2206"/>
    <w:rsid w:val="591C1ADA"/>
    <w:rsid w:val="591C5F7E"/>
    <w:rsid w:val="591D7EBC"/>
    <w:rsid w:val="591E497A"/>
    <w:rsid w:val="591F781C"/>
    <w:rsid w:val="59213594"/>
    <w:rsid w:val="59232E69"/>
    <w:rsid w:val="5923730C"/>
    <w:rsid w:val="59260BAB"/>
    <w:rsid w:val="592A2449"/>
    <w:rsid w:val="592F5CB1"/>
    <w:rsid w:val="593257A1"/>
    <w:rsid w:val="593C3F2A"/>
    <w:rsid w:val="59413C36"/>
    <w:rsid w:val="59423986"/>
    <w:rsid w:val="594554D5"/>
    <w:rsid w:val="59462FFB"/>
    <w:rsid w:val="594828CF"/>
    <w:rsid w:val="594D6137"/>
    <w:rsid w:val="594F6A6D"/>
    <w:rsid w:val="59513D66"/>
    <w:rsid w:val="59513E7A"/>
    <w:rsid w:val="59536686"/>
    <w:rsid w:val="595A2602"/>
    <w:rsid w:val="595E0345"/>
    <w:rsid w:val="5960230F"/>
    <w:rsid w:val="59617E35"/>
    <w:rsid w:val="596209A6"/>
    <w:rsid w:val="596A0A97"/>
    <w:rsid w:val="596A6CE9"/>
    <w:rsid w:val="596C0CB3"/>
    <w:rsid w:val="596D4A2C"/>
    <w:rsid w:val="597102E2"/>
    <w:rsid w:val="597162CA"/>
    <w:rsid w:val="59727F77"/>
    <w:rsid w:val="59735C70"/>
    <w:rsid w:val="59771406"/>
    <w:rsid w:val="597C07CB"/>
    <w:rsid w:val="597E09E7"/>
    <w:rsid w:val="59810D74"/>
    <w:rsid w:val="59814033"/>
    <w:rsid w:val="59822285"/>
    <w:rsid w:val="598D0C2A"/>
    <w:rsid w:val="5991071A"/>
    <w:rsid w:val="59914276"/>
    <w:rsid w:val="599C1996"/>
    <w:rsid w:val="59A44A9E"/>
    <w:rsid w:val="59A74B39"/>
    <w:rsid w:val="59A815C0"/>
    <w:rsid w:val="59AF0BA0"/>
    <w:rsid w:val="59B12B6A"/>
    <w:rsid w:val="59B9557B"/>
    <w:rsid w:val="59BB1895"/>
    <w:rsid w:val="59C35481"/>
    <w:rsid w:val="59C363FA"/>
    <w:rsid w:val="59CC1752"/>
    <w:rsid w:val="59D2488F"/>
    <w:rsid w:val="59D423B5"/>
    <w:rsid w:val="59D625D1"/>
    <w:rsid w:val="59D679C1"/>
    <w:rsid w:val="59DF59FB"/>
    <w:rsid w:val="59E00D5A"/>
    <w:rsid w:val="59E22D24"/>
    <w:rsid w:val="59E52814"/>
    <w:rsid w:val="59E545C2"/>
    <w:rsid w:val="59E720E8"/>
    <w:rsid w:val="59E779BD"/>
    <w:rsid w:val="59EA607C"/>
    <w:rsid w:val="59EC76FE"/>
    <w:rsid w:val="59ED1B53"/>
    <w:rsid w:val="59ED3476"/>
    <w:rsid w:val="59F362D1"/>
    <w:rsid w:val="59F9006D"/>
    <w:rsid w:val="59FB5B93"/>
    <w:rsid w:val="5A032C9A"/>
    <w:rsid w:val="5A0529AB"/>
    <w:rsid w:val="5A0A4204"/>
    <w:rsid w:val="5A0E58C7"/>
    <w:rsid w:val="5A0F2F38"/>
    <w:rsid w:val="5A1629CD"/>
    <w:rsid w:val="5A1804F3"/>
    <w:rsid w:val="5A19426B"/>
    <w:rsid w:val="5A1B4488"/>
    <w:rsid w:val="5A1D1FAE"/>
    <w:rsid w:val="5A1E129F"/>
    <w:rsid w:val="5A2212C8"/>
    <w:rsid w:val="5A2A46CB"/>
    <w:rsid w:val="5A2A6479"/>
    <w:rsid w:val="5A2C0C87"/>
    <w:rsid w:val="5A3317D1"/>
    <w:rsid w:val="5A350349"/>
    <w:rsid w:val="5A3B0686"/>
    <w:rsid w:val="5A403EEE"/>
    <w:rsid w:val="5A4C2893"/>
    <w:rsid w:val="5A4E03B9"/>
    <w:rsid w:val="5A537BBF"/>
    <w:rsid w:val="5A544481"/>
    <w:rsid w:val="5A56101C"/>
    <w:rsid w:val="5A5654C0"/>
    <w:rsid w:val="5A582FE6"/>
    <w:rsid w:val="5A5C0D28"/>
    <w:rsid w:val="5A5D05FC"/>
    <w:rsid w:val="5A6000EC"/>
    <w:rsid w:val="5A615ED6"/>
    <w:rsid w:val="5A61633E"/>
    <w:rsid w:val="5A6951F3"/>
    <w:rsid w:val="5A6C083F"/>
    <w:rsid w:val="5A6C6A91"/>
    <w:rsid w:val="5A6E1867"/>
    <w:rsid w:val="5A6E45B7"/>
    <w:rsid w:val="5A7122F9"/>
    <w:rsid w:val="5A737E20"/>
    <w:rsid w:val="5A7B0A82"/>
    <w:rsid w:val="5A7B6CD4"/>
    <w:rsid w:val="5A7D2A4C"/>
    <w:rsid w:val="5A8028EF"/>
    <w:rsid w:val="5A82329A"/>
    <w:rsid w:val="5A84202D"/>
    <w:rsid w:val="5A843DDB"/>
    <w:rsid w:val="5A865DA5"/>
    <w:rsid w:val="5A875679"/>
    <w:rsid w:val="5A8C0EE1"/>
    <w:rsid w:val="5A8D0BBF"/>
    <w:rsid w:val="5A9009D2"/>
    <w:rsid w:val="5A93401E"/>
    <w:rsid w:val="5A955FE8"/>
    <w:rsid w:val="5A971D60"/>
    <w:rsid w:val="5A9A1850"/>
    <w:rsid w:val="5A9A53AC"/>
    <w:rsid w:val="5A9C7376"/>
    <w:rsid w:val="5AA25F8B"/>
    <w:rsid w:val="5AA601F5"/>
    <w:rsid w:val="5AA8626D"/>
    <w:rsid w:val="5AAB1367"/>
    <w:rsid w:val="5AAC3332"/>
    <w:rsid w:val="5AB3021C"/>
    <w:rsid w:val="5AB346C0"/>
    <w:rsid w:val="5AB3646E"/>
    <w:rsid w:val="5AB81CD6"/>
    <w:rsid w:val="5ABA5A4E"/>
    <w:rsid w:val="5ABF6F9F"/>
    <w:rsid w:val="5AC32B55"/>
    <w:rsid w:val="5AC4067B"/>
    <w:rsid w:val="5AC468CD"/>
    <w:rsid w:val="5AC95C92"/>
    <w:rsid w:val="5AD3266C"/>
    <w:rsid w:val="5AD7215D"/>
    <w:rsid w:val="5AE8436A"/>
    <w:rsid w:val="5AEB20AC"/>
    <w:rsid w:val="5AEB31F8"/>
    <w:rsid w:val="5AEB3E5A"/>
    <w:rsid w:val="5AEB5C08"/>
    <w:rsid w:val="5AF05812"/>
    <w:rsid w:val="5AF745AD"/>
    <w:rsid w:val="5AFC6067"/>
    <w:rsid w:val="5AFE1277"/>
    <w:rsid w:val="5AFF3461"/>
    <w:rsid w:val="5B022F52"/>
    <w:rsid w:val="5B044F1C"/>
    <w:rsid w:val="5B070568"/>
    <w:rsid w:val="5B092532"/>
    <w:rsid w:val="5B0D1D81"/>
    <w:rsid w:val="5B0D3DD0"/>
    <w:rsid w:val="5B174C4F"/>
    <w:rsid w:val="5B1E422F"/>
    <w:rsid w:val="5B1E5FDD"/>
    <w:rsid w:val="5B1F1D55"/>
    <w:rsid w:val="5B24111A"/>
    <w:rsid w:val="5B2630E4"/>
    <w:rsid w:val="5B273CBB"/>
    <w:rsid w:val="5B294864"/>
    <w:rsid w:val="5B2D4472"/>
    <w:rsid w:val="5B323C03"/>
    <w:rsid w:val="5B345801"/>
    <w:rsid w:val="5B3550D5"/>
    <w:rsid w:val="5B372BFB"/>
    <w:rsid w:val="5B373A6F"/>
    <w:rsid w:val="5B392E17"/>
    <w:rsid w:val="5B3A26EB"/>
    <w:rsid w:val="5B3E042E"/>
    <w:rsid w:val="5B3E083D"/>
    <w:rsid w:val="5B411CCC"/>
    <w:rsid w:val="5B417F1E"/>
    <w:rsid w:val="5B4B2B4A"/>
    <w:rsid w:val="5B505E97"/>
    <w:rsid w:val="5B5419FF"/>
    <w:rsid w:val="5B595267"/>
    <w:rsid w:val="5B597015"/>
    <w:rsid w:val="5B5C6B06"/>
    <w:rsid w:val="5B5F2152"/>
    <w:rsid w:val="5B6854AA"/>
    <w:rsid w:val="5B6B4F9B"/>
    <w:rsid w:val="5B6D2C9B"/>
    <w:rsid w:val="5B70610D"/>
    <w:rsid w:val="5B7200D7"/>
    <w:rsid w:val="5B745BFD"/>
    <w:rsid w:val="5B751975"/>
    <w:rsid w:val="5B767BC7"/>
    <w:rsid w:val="5B794741"/>
    <w:rsid w:val="5B7C7CA2"/>
    <w:rsid w:val="5B8533DE"/>
    <w:rsid w:val="5B8878FB"/>
    <w:rsid w:val="5B922527"/>
    <w:rsid w:val="5B955B74"/>
    <w:rsid w:val="5B977B3E"/>
    <w:rsid w:val="5B9B5880"/>
    <w:rsid w:val="5B9C33A6"/>
    <w:rsid w:val="5B9C5154"/>
    <w:rsid w:val="5B9E711E"/>
    <w:rsid w:val="5BA150F8"/>
    <w:rsid w:val="5BA26C0E"/>
    <w:rsid w:val="5BBC1352"/>
    <w:rsid w:val="5BC86087"/>
    <w:rsid w:val="5BC87CF7"/>
    <w:rsid w:val="5BCD17B1"/>
    <w:rsid w:val="5BCF1086"/>
    <w:rsid w:val="5BD112A2"/>
    <w:rsid w:val="5BD42B40"/>
    <w:rsid w:val="5BD60459"/>
    <w:rsid w:val="5BD74175"/>
    <w:rsid w:val="5BD82630"/>
    <w:rsid w:val="5BD90156"/>
    <w:rsid w:val="5BDB0444"/>
    <w:rsid w:val="5BDD7C46"/>
    <w:rsid w:val="5BE03293"/>
    <w:rsid w:val="5BE07DE8"/>
    <w:rsid w:val="5BE10DB9"/>
    <w:rsid w:val="5BE6111B"/>
    <w:rsid w:val="5BE663CF"/>
    <w:rsid w:val="5BEA5669"/>
    <w:rsid w:val="5BEC1C38"/>
    <w:rsid w:val="5BEF179D"/>
    <w:rsid w:val="5BF907F8"/>
    <w:rsid w:val="5BF925A6"/>
    <w:rsid w:val="5BFB1E7B"/>
    <w:rsid w:val="5BFB631F"/>
    <w:rsid w:val="5BFC633D"/>
    <w:rsid w:val="5C00128F"/>
    <w:rsid w:val="5C007491"/>
    <w:rsid w:val="5C050F4B"/>
    <w:rsid w:val="5C05719D"/>
    <w:rsid w:val="5C082390"/>
    <w:rsid w:val="5C090A3C"/>
    <w:rsid w:val="5C0C052C"/>
    <w:rsid w:val="5C0C5E32"/>
    <w:rsid w:val="5C0F3B78"/>
    <w:rsid w:val="5C125416"/>
    <w:rsid w:val="5C1A3007"/>
    <w:rsid w:val="5C1F025F"/>
    <w:rsid w:val="5C21481C"/>
    <w:rsid w:val="5C221AFD"/>
    <w:rsid w:val="5C225659"/>
    <w:rsid w:val="5C270EC2"/>
    <w:rsid w:val="5C292E8C"/>
    <w:rsid w:val="5C2D3FFE"/>
    <w:rsid w:val="5C2E04A2"/>
    <w:rsid w:val="5C321615"/>
    <w:rsid w:val="5C341831"/>
    <w:rsid w:val="5C3655A9"/>
    <w:rsid w:val="5C3929A3"/>
    <w:rsid w:val="5C3B12C6"/>
    <w:rsid w:val="5C3E7FB9"/>
    <w:rsid w:val="5C4001D5"/>
    <w:rsid w:val="5C403D31"/>
    <w:rsid w:val="5C427AAA"/>
    <w:rsid w:val="5C451348"/>
    <w:rsid w:val="5C456C89"/>
    <w:rsid w:val="5C4B1054"/>
    <w:rsid w:val="5C4C26D6"/>
    <w:rsid w:val="5C533A65"/>
    <w:rsid w:val="5C5477DD"/>
    <w:rsid w:val="5C563555"/>
    <w:rsid w:val="5C58551F"/>
    <w:rsid w:val="5C5E240A"/>
    <w:rsid w:val="5C61405A"/>
    <w:rsid w:val="5C62014C"/>
    <w:rsid w:val="5C675762"/>
    <w:rsid w:val="5C69772C"/>
    <w:rsid w:val="5C6A7000"/>
    <w:rsid w:val="5C6B34A4"/>
    <w:rsid w:val="5C6C2D78"/>
    <w:rsid w:val="5C71038F"/>
    <w:rsid w:val="5C757E7F"/>
    <w:rsid w:val="5C763BF7"/>
    <w:rsid w:val="5C7779C1"/>
    <w:rsid w:val="5C797243"/>
    <w:rsid w:val="5C7B5491"/>
    <w:rsid w:val="5C86202D"/>
    <w:rsid w:val="5C891B7C"/>
    <w:rsid w:val="5C89392A"/>
    <w:rsid w:val="5C8A31FF"/>
    <w:rsid w:val="5C902F0B"/>
    <w:rsid w:val="5C9522CF"/>
    <w:rsid w:val="5C9704CD"/>
    <w:rsid w:val="5C983B6D"/>
    <w:rsid w:val="5C9A3B6D"/>
    <w:rsid w:val="5C9A78E6"/>
    <w:rsid w:val="5C9D1184"/>
    <w:rsid w:val="5CA22C3E"/>
    <w:rsid w:val="5CAB1AF3"/>
    <w:rsid w:val="5CAB38A1"/>
    <w:rsid w:val="5CAE513F"/>
    <w:rsid w:val="5CB5471F"/>
    <w:rsid w:val="5CBA3AE4"/>
    <w:rsid w:val="5CBC5AAE"/>
    <w:rsid w:val="5CBD35D4"/>
    <w:rsid w:val="5CC11316"/>
    <w:rsid w:val="5CC901CB"/>
    <w:rsid w:val="5CCB5CF1"/>
    <w:rsid w:val="5CCB7A9F"/>
    <w:rsid w:val="5CD03307"/>
    <w:rsid w:val="5CD050B5"/>
    <w:rsid w:val="5CD2315B"/>
    <w:rsid w:val="5CD46F4D"/>
    <w:rsid w:val="5CDB3A5A"/>
    <w:rsid w:val="5CDC6150"/>
    <w:rsid w:val="5CE21551"/>
    <w:rsid w:val="5CE9261B"/>
    <w:rsid w:val="5CEB1EEF"/>
    <w:rsid w:val="5CF05758"/>
    <w:rsid w:val="5CFC234E"/>
    <w:rsid w:val="5D013F78"/>
    <w:rsid w:val="5D064F7B"/>
    <w:rsid w:val="5D07484F"/>
    <w:rsid w:val="5D085269"/>
    <w:rsid w:val="5D0905C7"/>
    <w:rsid w:val="5D094A6B"/>
    <w:rsid w:val="5D0E5BDE"/>
    <w:rsid w:val="5D101956"/>
    <w:rsid w:val="5D120C2C"/>
    <w:rsid w:val="5D131446"/>
    <w:rsid w:val="5D177188"/>
    <w:rsid w:val="5D183B9A"/>
    <w:rsid w:val="5D1A27D4"/>
    <w:rsid w:val="5D243653"/>
    <w:rsid w:val="5D267DAB"/>
    <w:rsid w:val="5D2A6606"/>
    <w:rsid w:val="5D2F56AE"/>
    <w:rsid w:val="5D30024A"/>
    <w:rsid w:val="5D373386"/>
    <w:rsid w:val="5D395350"/>
    <w:rsid w:val="5D417D61"/>
    <w:rsid w:val="5D431D2B"/>
    <w:rsid w:val="5D4B5084"/>
    <w:rsid w:val="5D50555C"/>
    <w:rsid w:val="5D515502"/>
    <w:rsid w:val="5D5201C0"/>
    <w:rsid w:val="5D542FDA"/>
    <w:rsid w:val="5D543F38"/>
    <w:rsid w:val="5D58502F"/>
    <w:rsid w:val="5D5A1089"/>
    <w:rsid w:val="5D5A2E78"/>
    <w:rsid w:val="5D5A52C7"/>
    <w:rsid w:val="5D5A7075"/>
    <w:rsid w:val="5D5B2449"/>
    <w:rsid w:val="5D5C4B9B"/>
    <w:rsid w:val="5D6112A6"/>
    <w:rsid w:val="5D6323CD"/>
    <w:rsid w:val="5D635F29"/>
    <w:rsid w:val="5D6554C1"/>
    <w:rsid w:val="5D665A1A"/>
    <w:rsid w:val="5D6879E4"/>
    <w:rsid w:val="5D6D0B56"/>
    <w:rsid w:val="5D700646"/>
    <w:rsid w:val="5D731EE5"/>
    <w:rsid w:val="5D7874FB"/>
    <w:rsid w:val="5D7C6FEB"/>
    <w:rsid w:val="5D7D034F"/>
    <w:rsid w:val="5D7E0FB5"/>
    <w:rsid w:val="5D804D2D"/>
    <w:rsid w:val="5D885990"/>
    <w:rsid w:val="5D8A795A"/>
    <w:rsid w:val="5D8D2FA6"/>
    <w:rsid w:val="5D9057B4"/>
    <w:rsid w:val="5D924A61"/>
    <w:rsid w:val="5D9500AD"/>
    <w:rsid w:val="5D9E3405"/>
    <w:rsid w:val="5DA0717E"/>
    <w:rsid w:val="5DA14CA4"/>
    <w:rsid w:val="5DA16A52"/>
    <w:rsid w:val="5DA532CF"/>
    <w:rsid w:val="5DA56542"/>
    <w:rsid w:val="5DA6050C"/>
    <w:rsid w:val="5DA6543C"/>
    <w:rsid w:val="5DA84284"/>
    <w:rsid w:val="5DAB167E"/>
    <w:rsid w:val="5DB70023"/>
    <w:rsid w:val="5DBB5D65"/>
    <w:rsid w:val="5DCB2E25"/>
    <w:rsid w:val="5DD230AF"/>
    <w:rsid w:val="5DD45079"/>
    <w:rsid w:val="5DD52A57"/>
    <w:rsid w:val="5DD76917"/>
    <w:rsid w:val="5DDE1A54"/>
    <w:rsid w:val="5DE204BD"/>
    <w:rsid w:val="5DE60909"/>
    <w:rsid w:val="5DE66B5A"/>
    <w:rsid w:val="5DE942B2"/>
    <w:rsid w:val="5DEA03F9"/>
    <w:rsid w:val="5DED1C97"/>
    <w:rsid w:val="5DEF61CF"/>
    <w:rsid w:val="5DEF78BB"/>
    <w:rsid w:val="5DF66D9E"/>
    <w:rsid w:val="5DF70D68"/>
    <w:rsid w:val="5E023994"/>
    <w:rsid w:val="5E044B93"/>
    <w:rsid w:val="5E056FE1"/>
    <w:rsid w:val="5E070FAB"/>
    <w:rsid w:val="5E0758E6"/>
    <w:rsid w:val="5E0771FD"/>
    <w:rsid w:val="5E08087F"/>
    <w:rsid w:val="5E096A51"/>
    <w:rsid w:val="5E0A2849"/>
    <w:rsid w:val="5E0A45F7"/>
    <w:rsid w:val="5E0B036F"/>
    <w:rsid w:val="5E0D1CDF"/>
    <w:rsid w:val="5E127A61"/>
    <w:rsid w:val="5E1377F0"/>
    <w:rsid w:val="5E142A7A"/>
    <w:rsid w:val="5E1B4A56"/>
    <w:rsid w:val="5E2002BE"/>
    <w:rsid w:val="5E2558D5"/>
    <w:rsid w:val="5E2751A9"/>
    <w:rsid w:val="5E287173"/>
    <w:rsid w:val="5E2A6A47"/>
    <w:rsid w:val="5E316028"/>
    <w:rsid w:val="5E331DA0"/>
    <w:rsid w:val="5E341674"/>
    <w:rsid w:val="5E367222"/>
    <w:rsid w:val="5E385608"/>
    <w:rsid w:val="5E40270F"/>
    <w:rsid w:val="5E415A77"/>
    <w:rsid w:val="5E4701A8"/>
    <w:rsid w:val="5E47584B"/>
    <w:rsid w:val="5E4E4E2C"/>
    <w:rsid w:val="5E4E6BDA"/>
    <w:rsid w:val="5E4F64AE"/>
    <w:rsid w:val="5E556E45"/>
    <w:rsid w:val="5E581806"/>
    <w:rsid w:val="5E5835B4"/>
    <w:rsid w:val="5E5A37D0"/>
    <w:rsid w:val="5E5C4733"/>
    <w:rsid w:val="5E5E4943"/>
    <w:rsid w:val="5E60690D"/>
    <w:rsid w:val="5E6A153A"/>
    <w:rsid w:val="5E6A32E8"/>
    <w:rsid w:val="5E6E2DD8"/>
    <w:rsid w:val="5E702B14"/>
    <w:rsid w:val="5E76762E"/>
    <w:rsid w:val="5E7B3747"/>
    <w:rsid w:val="5E7B72A3"/>
    <w:rsid w:val="5E7D301B"/>
    <w:rsid w:val="5E7F5CDD"/>
    <w:rsid w:val="5E7F65D8"/>
    <w:rsid w:val="5E8048B9"/>
    <w:rsid w:val="5E826883"/>
    <w:rsid w:val="5E8425FB"/>
    <w:rsid w:val="5E895E64"/>
    <w:rsid w:val="5E8B1BDC"/>
    <w:rsid w:val="5E8E347A"/>
    <w:rsid w:val="5E993BCD"/>
    <w:rsid w:val="5E99597B"/>
    <w:rsid w:val="5E9B5B97"/>
    <w:rsid w:val="5E9F11E3"/>
    <w:rsid w:val="5E9F2613"/>
    <w:rsid w:val="5EA20CD3"/>
    <w:rsid w:val="5EA26F25"/>
    <w:rsid w:val="5EA507C4"/>
    <w:rsid w:val="5EA92062"/>
    <w:rsid w:val="5EAC56AE"/>
    <w:rsid w:val="5EB17168"/>
    <w:rsid w:val="5EB24B3F"/>
    <w:rsid w:val="5EB629D1"/>
    <w:rsid w:val="5EB84053"/>
    <w:rsid w:val="5EBB7FE7"/>
    <w:rsid w:val="5EBD78BB"/>
    <w:rsid w:val="5EC17554"/>
    <w:rsid w:val="5ECE3876"/>
    <w:rsid w:val="5ED510A9"/>
    <w:rsid w:val="5EE4309A"/>
    <w:rsid w:val="5EE4753E"/>
    <w:rsid w:val="5EE66E8C"/>
    <w:rsid w:val="5EEB4428"/>
    <w:rsid w:val="5EEE216B"/>
    <w:rsid w:val="5EEE5CC7"/>
    <w:rsid w:val="5EF534F9"/>
    <w:rsid w:val="5EF62DCD"/>
    <w:rsid w:val="5EF7101F"/>
    <w:rsid w:val="5EFB03E4"/>
    <w:rsid w:val="5EFD415C"/>
    <w:rsid w:val="5EFD42DE"/>
    <w:rsid w:val="5EFF17CF"/>
    <w:rsid w:val="5F026CC0"/>
    <w:rsid w:val="5F0674B4"/>
    <w:rsid w:val="5F08322C"/>
    <w:rsid w:val="5F092881"/>
    <w:rsid w:val="5F0B0627"/>
    <w:rsid w:val="5F0B6879"/>
    <w:rsid w:val="5F1453B3"/>
    <w:rsid w:val="5F17346F"/>
    <w:rsid w:val="5F180F96"/>
    <w:rsid w:val="5F1A4D0E"/>
    <w:rsid w:val="5F1C0A86"/>
    <w:rsid w:val="5F1D65AC"/>
    <w:rsid w:val="5F1F6E28"/>
    <w:rsid w:val="5F2142EE"/>
    <w:rsid w:val="5F2636B2"/>
    <w:rsid w:val="5F2913F5"/>
    <w:rsid w:val="5F2A5ECB"/>
    <w:rsid w:val="5F2B1411"/>
    <w:rsid w:val="5F2B218A"/>
    <w:rsid w:val="5F2D4A41"/>
    <w:rsid w:val="5F2E07B9"/>
    <w:rsid w:val="5F2E65C5"/>
    <w:rsid w:val="5F30008D"/>
    <w:rsid w:val="5F3062DF"/>
    <w:rsid w:val="5F32465D"/>
    <w:rsid w:val="5F37766E"/>
    <w:rsid w:val="5F381638"/>
    <w:rsid w:val="5F3C1128"/>
    <w:rsid w:val="5F3C4C84"/>
    <w:rsid w:val="5F3D27AA"/>
    <w:rsid w:val="5F411581"/>
    <w:rsid w:val="5F41673E"/>
    <w:rsid w:val="5F451F03"/>
    <w:rsid w:val="5F48187B"/>
    <w:rsid w:val="5F4841D2"/>
    <w:rsid w:val="5F4E619C"/>
    <w:rsid w:val="5F4E6765"/>
    <w:rsid w:val="5F5024DD"/>
    <w:rsid w:val="5F530220"/>
    <w:rsid w:val="5F546472"/>
    <w:rsid w:val="5F553F98"/>
    <w:rsid w:val="5F557AF4"/>
    <w:rsid w:val="5F57386C"/>
    <w:rsid w:val="5F583033"/>
    <w:rsid w:val="5F585836"/>
    <w:rsid w:val="5F5A15AE"/>
    <w:rsid w:val="5F630463"/>
    <w:rsid w:val="5F64242D"/>
    <w:rsid w:val="5F6D308F"/>
    <w:rsid w:val="5F6E6E08"/>
    <w:rsid w:val="5F700DD2"/>
    <w:rsid w:val="5F70492E"/>
    <w:rsid w:val="5F7A1C50"/>
    <w:rsid w:val="5F7D6C03"/>
    <w:rsid w:val="5F8108E9"/>
    <w:rsid w:val="5F816B3B"/>
    <w:rsid w:val="5F824661"/>
    <w:rsid w:val="5F85487D"/>
    <w:rsid w:val="5F903ADE"/>
    <w:rsid w:val="5F9525E6"/>
    <w:rsid w:val="5F990328"/>
    <w:rsid w:val="5F9A7BFD"/>
    <w:rsid w:val="5F9B218C"/>
    <w:rsid w:val="5F9C3975"/>
    <w:rsid w:val="5F9E149B"/>
    <w:rsid w:val="5F9F5213"/>
    <w:rsid w:val="5FA10F8B"/>
    <w:rsid w:val="5FA97E40"/>
    <w:rsid w:val="5FAA5C20"/>
    <w:rsid w:val="5FAE5456"/>
    <w:rsid w:val="5FAF1783"/>
    <w:rsid w:val="5FAF6EC1"/>
    <w:rsid w:val="5FB567E4"/>
    <w:rsid w:val="5FBC4017"/>
    <w:rsid w:val="5FBC7B73"/>
    <w:rsid w:val="5FBD2955"/>
    <w:rsid w:val="5FBE2734"/>
    <w:rsid w:val="5FC627A0"/>
    <w:rsid w:val="5FCA6734"/>
    <w:rsid w:val="5FCD1D80"/>
    <w:rsid w:val="5FCD3B2E"/>
    <w:rsid w:val="5FCD7FD2"/>
    <w:rsid w:val="5FD4310E"/>
    <w:rsid w:val="5FE1582B"/>
    <w:rsid w:val="5FEB66AA"/>
    <w:rsid w:val="5FED5F7E"/>
    <w:rsid w:val="5FEF1CF6"/>
    <w:rsid w:val="5FF217E7"/>
    <w:rsid w:val="5FF92B75"/>
    <w:rsid w:val="60011A2A"/>
    <w:rsid w:val="60017C7C"/>
    <w:rsid w:val="600339F4"/>
    <w:rsid w:val="600532C8"/>
    <w:rsid w:val="600734E4"/>
    <w:rsid w:val="600D4872"/>
    <w:rsid w:val="600D6620"/>
    <w:rsid w:val="600E24AE"/>
    <w:rsid w:val="60104B30"/>
    <w:rsid w:val="6014175D"/>
    <w:rsid w:val="6017749F"/>
    <w:rsid w:val="60196D73"/>
    <w:rsid w:val="601C6864"/>
    <w:rsid w:val="602045A6"/>
    <w:rsid w:val="602120CC"/>
    <w:rsid w:val="60237BF2"/>
    <w:rsid w:val="602776E2"/>
    <w:rsid w:val="60285208"/>
    <w:rsid w:val="602C2F4B"/>
    <w:rsid w:val="602D64AE"/>
    <w:rsid w:val="602D6CC3"/>
    <w:rsid w:val="6031230F"/>
    <w:rsid w:val="60316CD8"/>
    <w:rsid w:val="603242D9"/>
    <w:rsid w:val="603C4D81"/>
    <w:rsid w:val="60402552"/>
    <w:rsid w:val="60430294"/>
    <w:rsid w:val="60433DF0"/>
    <w:rsid w:val="60483AFC"/>
    <w:rsid w:val="604C0EF7"/>
    <w:rsid w:val="605129B1"/>
    <w:rsid w:val="6054424F"/>
    <w:rsid w:val="60563B24"/>
    <w:rsid w:val="60571A5A"/>
    <w:rsid w:val="605D02D1"/>
    <w:rsid w:val="605E0C2A"/>
    <w:rsid w:val="60602BF4"/>
    <w:rsid w:val="6062696C"/>
    <w:rsid w:val="60636240"/>
    <w:rsid w:val="6065645C"/>
    <w:rsid w:val="60664487"/>
    <w:rsid w:val="606A3A73"/>
    <w:rsid w:val="606C1599"/>
    <w:rsid w:val="606C77EB"/>
    <w:rsid w:val="606F1089"/>
    <w:rsid w:val="607246D5"/>
    <w:rsid w:val="60771CEC"/>
    <w:rsid w:val="60791F08"/>
    <w:rsid w:val="607B5C80"/>
    <w:rsid w:val="607D270E"/>
    <w:rsid w:val="607D37A6"/>
    <w:rsid w:val="607F642D"/>
    <w:rsid w:val="608763D3"/>
    <w:rsid w:val="60886391"/>
    <w:rsid w:val="608A7C71"/>
    <w:rsid w:val="608C1C3B"/>
    <w:rsid w:val="608E7761"/>
    <w:rsid w:val="608F4B22"/>
    <w:rsid w:val="60934D78"/>
    <w:rsid w:val="609558DE"/>
    <w:rsid w:val="6098238E"/>
    <w:rsid w:val="609B4806"/>
    <w:rsid w:val="609F196E"/>
    <w:rsid w:val="60A26D69"/>
    <w:rsid w:val="60A43C99"/>
    <w:rsid w:val="60A9459B"/>
    <w:rsid w:val="60AA0313"/>
    <w:rsid w:val="60AA5E68"/>
    <w:rsid w:val="60AF76D8"/>
    <w:rsid w:val="60B151FE"/>
    <w:rsid w:val="60BA0556"/>
    <w:rsid w:val="60C70EC5"/>
    <w:rsid w:val="60CE4002"/>
    <w:rsid w:val="60D2408B"/>
    <w:rsid w:val="60D5627E"/>
    <w:rsid w:val="60D62EB6"/>
    <w:rsid w:val="60E2116F"/>
    <w:rsid w:val="60E47381"/>
    <w:rsid w:val="60E6759D"/>
    <w:rsid w:val="60E70C20"/>
    <w:rsid w:val="60E90E3C"/>
    <w:rsid w:val="60E92BEA"/>
    <w:rsid w:val="60F11A9E"/>
    <w:rsid w:val="60F26B9A"/>
    <w:rsid w:val="60F670B5"/>
    <w:rsid w:val="60F84F65"/>
    <w:rsid w:val="60FB0B6F"/>
    <w:rsid w:val="60FF41BB"/>
    <w:rsid w:val="61007F33"/>
    <w:rsid w:val="6105554A"/>
    <w:rsid w:val="610A540C"/>
    <w:rsid w:val="610C4B2A"/>
    <w:rsid w:val="611063C8"/>
    <w:rsid w:val="61112140"/>
    <w:rsid w:val="61133E1C"/>
    <w:rsid w:val="611834CF"/>
    <w:rsid w:val="6118702B"/>
    <w:rsid w:val="611A7247"/>
    <w:rsid w:val="611C2FBF"/>
    <w:rsid w:val="611D0AE5"/>
    <w:rsid w:val="611D2893"/>
    <w:rsid w:val="611F2AAF"/>
    <w:rsid w:val="61227EAA"/>
    <w:rsid w:val="612400C6"/>
    <w:rsid w:val="61243C22"/>
    <w:rsid w:val="61251748"/>
    <w:rsid w:val="6127276B"/>
    <w:rsid w:val="612754C0"/>
    <w:rsid w:val="6129748A"/>
    <w:rsid w:val="61300818"/>
    <w:rsid w:val="61370C95"/>
    <w:rsid w:val="613876CD"/>
    <w:rsid w:val="61390342"/>
    <w:rsid w:val="613C7EC8"/>
    <w:rsid w:val="613E7387"/>
    <w:rsid w:val="613F0A5C"/>
    <w:rsid w:val="613F280A"/>
    <w:rsid w:val="61412A26"/>
    <w:rsid w:val="61444683"/>
    <w:rsid w:val="614909B6"/>
    <w:rsid w:val="614B18B3"/>
    <w:rsid w:val="614B7400"/>
    <w:rsid w:val="614D1FBB"/>
    <w:rsid w:val="614E5143"/>
    <w:rsid w:val="614E6EF1"/>
    <w:rsid w:val="61532759"/>
    <w:rsid w:val="61565DA5"/>
    <w:rsid w:val="61587D6F"/>
    <w:rsid w:val="615D0EE2"/>
    <w:rsid w:val="615D3D60"/>
    <w:rsid w:val="615D5386"/>
    <w:rsid w:val="615E15B0"/>
    <w:rsid w:val="615E238B"/>
    <w:rsid w:val="615E2F40"/>
    <w:rsid w:val="61686204"/>
    <w:rsid w:val="616D52C5"/>
    <w:rsid w:val="616E1341"/>
    <w:rsid w:val="616E7593"/>
    <w:rsid w:val="617A5F38"/>
    <w:rsid w:val="617D3332"/>
    <w:rsid w:val="617E77D6"/>
    <w:rsid w:val="6180154D"/>
    <w:rsid w:val="61812E22"/>
    <w:rsid w:val="618172C6"/>
    <w:rsid w:val="61860438"/>
    <w:rsid w:val="618E3791"/>
    <w:rsid w:val="61946FF9"/>
    <w:rsid w:val="61952D71"/>
    <w:rsid w:val="619C7C5C"/>
    <w:rsid w:val="61A11716"/>
    <w:rsid w:val="61AE5BE1"/>
    <w:rsid w:val="61AE798F"/>
    <w:rsid w:val="61B34FA6"/>
    <w:rsid w:val="61B72380"/>
    <w:rsid w:val="61B825BC"/>
    <w:rsid w:val="61B96A60"/>
    <w:rsid w:val="61BB4A60"/>
    <w:rsid w:val="61BE4076"/>
    <w:rsid w:val="61BF1B9C"/>
    <w:rsid w:val="61C15914"/>
    <w:rsid w:val="61C64A0E"/>
    <w:rsid w:val="61C77368"/>
    <w:rsid w:val="61C80A6F"/>
    <w:rsid w:val="61CB6793"/>
    <w:rsid w:val="61CD42B9"/>
    <w:rsid w:val="61CF0031"/>
    <w:rsid w:val="61DE2022"/>
    <w:rsid w:val="61F07FA8"/>
    <w:rsid w:val="61F335F4"/>
    <w:rsid w:val="61F47A98"/>
    <w:rsid w:val="61F555BE"/>
    <w:rsid w:val="61F74F7D"/>
    <w:rsid w:val="61FC06FB"/>
    <w:rsid w:val="61FD0DEF"/>
    <w:rsid w:val="61FF01EB"/>
    <w:rsid w:val="6200521E"/>
    <w:rsid w:val="6200643D"/>
    <w:rsid w:val="620121B5"/>
    <w:rsid w:val="62031A89"/>
    <w:rsid w:val="62065A1D"/>
    <w:rsid w:val="6208709F"/>
    <w:rsid w:val="620B6B90"/>
    <w:rsid w:val="620D6DAC"/>
    <w:rsid w:val="6211064A"/>
    <w:rsid w:val="62165C60"/>
    <w:rsid w:val="621C6FEF"/>
    <w:rsid w:val="621E2D67"/>
    <w:rsid w:val="621F4188"/>
    <w:rsid w:val="62206ADF"/>
    <w:rsid w:val="6223037D"/>
    <w:rsid w:val="6223212B"/>
    <w:rsid w:val="62291F0A"/>
    <w:rsid w:val="623205C0"/>
    <w:rsid w:val="6232236E"/>
    <w:rsid w:val="623428D5"/>
    <w:rsid w:val="62343A8E"/>
    <w:rsid w:val="623600B0"/>
    <w:rsid w:val="623954AB"/>
    <w:rsid w:val="623A1223"/>
    <w:rsid w:val="623B56C7"/>
    <w:rsid w:val="624327CD"/>
    <w:rsid w:val="62467BC8"/>
    <w:rsid w:val="62483940"/>
    <w:rsid w:val="624D71A8"/>
    <w:rsid w:val="624F1172"/>
    <w:rsid w:val="62500A46"/>
    <w:rsid w:val="62534003"/>
    <w:rsid w:val="625352F3"/>
    <w:rsid w:val="62540537"/>
    <w:rsid w:val="626562A0"/>
    <w:rsid w:val="62662018"/>
    <w:rsid w:val="626A5FAC"/>
    <w:rsid w:val="626A7D5A"/>
    <w:rsid w:val="626B1286"/>
    <w:rsid w:val="626C278F"/>
    <w:rsid w:val="626D15F8"/>
    <w:rsid w:val="626D6F86"/>
    <w:rsid w:val="62712E97"/>
    <w:rsid w:val="62775FD3"/>
    <w:rsid w:val="62782477"/>
    <w:rsid w:val="627B5AC3"/>
    <w:rsid w:val="627D7A8D"/>
    <w:rsid w:val="627F09F4"/>
    <w:rsid w:val="62810498"/>
    <w:rsid w:val="628D38D1"/>
    <w:rsid w:val="629152E7"/>
    <w:rsid w:val="62946B85"/>
    <w:rsid w:val="62976675"/>
    <w:rsid w:val="629D15BD"/>
    <w:rsid w:val="62A019CE"/>
    <w:rsid w:val="62A36DC8"/>
    <w:rsid w:val="62A611DF"/>
    <w:rsid w:val="62A72D5C"/>
    <w:rsid w:val="62A97B60"/>
    <w:rsid w:val="62AE40EB"/>
    <w:rsid w:val="62AF1C11"/>
    <w:rsid w:val="62BB05B6"/>
    <w:rsid w:val="62BB2364"/>
    <w:rsid w:val="62BC497C"/>
    <w:rsid w:val="62BF1D86"/>
    <w:rsid w:val="62C03E1E"/>
    <w:rsid w:val="62C05BCC"/>
    <w:rsid w:val="62C351CA"/>
    <w:rsid w:val="62CC631F"/>
    <w:rsid w:val="62CE02E9"/>
    <w:rsid w:val="62D60F4C"/>
    <w:rsid w:val="62DB2A06"/>
    <w:rsid w:val="62DB3AD6"/>
    <w:rsid w:val="62DE6052"/>
    <w:rsid w:val="62DF24F6"/>
    <w:rsid w:val="62DF26A5"/>
    <w:rsid w:val="62E01C64"/>
    <w:rsid w:val="62E73159"/>
    <w:rsid w:val="62E84C9B"/>
    <w:rsid w:val="62E93375"/>
    <w:rsid w:val="62EA49F7"/>
    <w:rsid w:val="62EE098B"/>
    <w:rsid w:val="62EF64B1"/>
    <w:rsid w:val="62F23BFF"/>
    <w:rsid w:val="62F23F48"/>
    <w:rsid w:val="62F615EE"/>
    <w:rsid w:val="62FB4E56"/>
    <w:rsid w:val="630261E5"/>
    <w:rsid w:val="63041F5D"/>
    <w:rsid w:val="63043D0B"/>
    <w:rsid w:val="63071A4D"/>
    <w:rsid w:val="630A5099"/>
    <w:rsid w:val="630C0E11"/>
    <w:rsid w:val="63100901"/>
    <w:rsid w:val="6311467A"/>
    <w:rsid w:val="63144FD1"/>
    <w:rsid w:val="631B2E02"/>
    <w:rsid w:val="631D301E"/>
    <w:rsid w:val="631F6D97"/>
    <w:rsid w:val="63220635"/>
    <w:rsid w:val="632411E5"/>
    <w:rsid w:val="63275C4B"/>
    <w:rsid w:val="632C14B3"/>
    <w:rsid w:val="63316ACA"/>
    <w:rsid w:val="633640E0"/>
    <w:rsid w:val="633D0FCB"/>
    <w:rsid w:val="6341070D"/>
    <w:rsid w:val="63422A85"/>
    <w:rsid w:val="6342476E"/>
    <w:rsid w:val="63442359"/>
    <w:rsid w:val="634A36E8"/>
    <w:rsid w:val="634C7460"/>
    <w:rsid w:val="634D1881"/>
    <w:rsid w:val="634E31F9"/>
    <w:rsid w:val="63500CFE"/>
    <w:rsid w:val="63506F50"/>
    <w:rsid w:val="63522B22"/>
    <w:rsid w:val="63585E05"/>
    <w:rsid w:val="635A1B7D"/>
    <w:rsid w:val="635E2806"/>
    <w:rsid w:val="63640C4D"/>
    <w:rsid w:val="63676048"/>
    <w:rsid w:val="636B5B38"/>
    <w:rsid w:val="636C365E"/>
    <w:rsid w:val="636E387A"/>
    <w:rsid w:val="637075F2"/>
    <w:rsid w:val="63732C3E"/>
    <w:rsid w:val="63780255"/>
    <w:rsid w:val="637846F9"/>
    <w:rsid w:val="637E4A58"/>
    <w:rsid w:val="63822E81"/>
    <w:rsid w:val="6383194F"/>
    <w:rsid w:val="6384309D"/>
    <w:rsid w:val="63844E4C"/>
    <w:rsid w:val="63862972"/>
    <w:rsid w:val="63863D2C"/>
    <w:rsid w:val="63864720"/>
    <w:rsid w:val="638766EA"/>
    <w:rsid w:val="6388493C"/>
    <w:rsid w:val="638B00E1"/>
    <w:rsid w:val="638C3D00"/>
    <w:rsid w:val="638C5AAE"/>
    <w:rsid w:val="638E7A78"/>
    <w:rsid w:val="6393508F"/>
    <w:rsid w:val="63936E3D"/>
    <w:rsid w:val="63950E07"/>
    <w:rsid w:val="639606C7"/>
    <w:rsid w:val="639808F7"/>
    <w:rsid w:val="639C2195"/>
    <w:rsid w:val="639C3F43"/>
    <w:rsid w:val="63A252D2"/>
    <w:rsid w:val="63A31776"/>
    <w:rsid w:val="63A35518"/>
    <w:rsid w:val="63A47547"/>
    <w:rsid w:val="63A64DC2"/>
    <w:rsid w:val="63AB23D8"/>
    <w:rsid w:val="63B3128D"/>
    <w:rsid w:val="63BC45E5"/>
    <w:rsid w:val="63BC6393"/>
    <w:rsid w:val="63C33BC6"/>
    <w:rsid w:val="63C416EC"/>
    <w:rsid w:val="63CB2A7A"/>
    <w:rsid w:val="63CB4828"/>
    <w:rsid w:val="63CB6648"/>
    <w:rsid w:val="63CE60C7"/>
    <w:rsid w:val="63D10066"/>
    <w:rsid w:val="63D556A7"/>
    <w:rsid w:val="63D80CF3"/>
    <w:rsid w:val="63DD455C"/>
    <w:rsid w:val="63DD630A"/>
    <w:rsid w:val="63DF2082"/>
    <w:rsid w:val="63E1229E"/>
    <w:rsid w:val="63E35FAE"/>
    <w:rsid w:val="63E36016"/>
    <w:rsid w:val="63E37DC4"/>
    <w:rsid w:val="63E8362C"/>
    <w:rsid w:val="63ED1FB3"/>
    <w:rsid w:val="63F26259"/>
    <w:rsid w:val="63F7386F"/>
    <w:rsid w:val="63FA6EBC"/>
    <w:rsid w:val="63FD075A"/>
    <w:rsid w:val="64025D70"/>
    <w:rsid w:val="64061D04"/>
    <w:rsid w:val="6408782B"/>
    <w:rsid w:val="64095351"/>
    <w:rsid w:val="640E2967"/>
    <w:rsid w:val="64104931"/>
    <w:rsid w:val="64177A6E"/>
    <w:rsid w:val="641B57B0"/>
    <w:rsid w:val="641D10D1"/>
    <w:rsid w:val="641E2BAA"/>
    <w:rsid w:val="642108EC"/>
    <w:rsid w:val="64216B3E"/>
    <w:rsid w:val="642301C1"/>
    <w:rsid w:val="642B52C7"/>
    <w:rsid w:val="642F125B"/>
    <w:rsid w:val="64356146"/>
    <w:rsid w:val="64395C36"/>
    <w:rsid w:val="643A4547"/>
    <w:rsid w:val="643B7C00"/>
    <w:rsid w:val="64405216"/>
    <w:rsid w:val="64414AEB"/>
    <w:rsid w:val="64441708"/>
    <w:rsid w:val="64460353"/>
    <w:rsid w:val="644A1BF1"/>
    <w:rsid w:val="644A7E43"/>
    <w:rsid w:val="64502F80"/>
    <w:rsid w:val="64550596"/>
    <w:rsid w:val="64572560"/>
    <w:rsid w:val="645A795A"/>
    <w:rsid w:val="645C0E1F"/>
    <w:rsid w:val="645E569D"/>
    <w:rsid w:val="6460175B"/>
    <w:rsid w:val="64654C7D"/>
    <w:rsid w:val="64670632"/>
    <w:rsid w:val="64675F32"/>
    <w:rsid w:val="646B7DB9"/>
    <w:rsid w:val="646C5C3B"/>
    <w:rsid w:val="646D768E"/>
    <w:rsid w:val="646F3406"/>
    <w:rsid w:val="64713622"/>
    <w:rsid w:val="64721148"/>
    <w:rsid w:val="64917820"/>
    <w:rsid w:val="64947310"/>
    <w:rsid w:val="64963088"/>
    <w:rsid w:val="64970BAF"/>
    <w:rsid w:val="6497295D"/>
    <w:rsid w:val="64986E00"/>
    <w:rsid w:val="64993547"/>
    <w:rsid w:val="64994927"/>
    <w:rsid w:val="649E018F"/>
    <w:rsid w:val="649E1F3D"/>
    <w:rsid w:val="64A21A2D"/>
    <w:rsid w:val="64A77044"/>
    <w:rsid w:val="64AB50DC"/>
    <w:rsid w:val="64AC28AC"/>
    <w:rsid w:val="64AC4960"/>
    <w:rsid w:val="64AD03D2"/>
    <w:rsid w:val="64AD2180"/>
    <w:rsid w:val="64AF414A"/>
    <w:rsid w:val="64B00387"/>
    <w:rsid w:val="64B13A1E"/>
    <w:rsid w:val="64B21544"/>
    <w:rsid w:val="64B259E8"/>
    <w:rsid w:val="64B26D6B"/>
    <w:rsid w:val="64B74DAD"/>
    <w:rsid w:val="64BF5590"/>
    <w:rsid w:val="64C03C61"/>
    <w:rsid w:val="64C37BF6"/>
    <w:rsid w:val="64C54CC9"/>
    <w:rsid w:val="64C64FF0"/>
    <w:rsid w:val="64CA4AE0"/>
    <w:rsid w:val="64CE2822"/>
    <w:rsid w:val="64D10110"/>
    <w:rsid w:val="64D15E6F"/>
    <w:rsid w:val="64D43BB1"/>
    <w:rsid w:val="64D92F75"/>
    <w:rsid w:val="64DB6CED"/>
    <w:rsid w:val="64E9765C"/>
    <w:rsid w:val="64F41B5D"/>
    <w:rsid w:val="64FB2961"/>
    <w:rsid w:val="64FE478A"/>
    <w:rsid w:val="65000502"/>
    <w:rsid w:val="650049A6"/>
    <w:rsid w:val="65055B18"/>
    <w:rsid w:val="650642CC"/>
    <w:rsid w:val="650A5824"/>
    <w:rsid w:val="650F48C5"/>
    <w:rsid w:val="650F6997"/>
    <w:rsid w:val="65110961"/>
    <w:rsid w:val="651641C9"/>
    <w:rsid w:val="65177936"/>
    <w:rsid w:val="651923C6"/>
    <w:rsid w:val="651D7306"/>
    <w:rsid w:val="651F307E"/>
    <w:rsid w:val="652667D3"/>
    <w:rsid w:val="652A1A23"/>
    <w:rsid w:val="65314B5F"/>
    <w:rsid w:val="65352EBF"/>
    <w:rsid w:val="65385EEE"/>
    <w:rsid w:val="65387C9C"/>
    <w:rsid w:val="653F727C"/>
    <w:rsid w:val="6546685C"/>
    <w:rsid w:val="654725D5"/>
    <w:rsid w:val="654B3E73"/>
    <w:rsid w:val="654C00DD"/>
    <w:rsid w:val="65501489"/>
    <w:rsid w:val="655B1BDC"/>
    <w:rsid w:val="656123C3"/>
    <w:rsid w:val="65622F6B"/>
    <w:rsid w:val="6563336C"/>
    <w:rsid w:val="65646CE3"/>
    <w:rsid w:val="6565085D"/>
    <w:rsid w:val="6569254B"/>
    <w:rsid w:val="656B62C3"/>
    <w:rsid w:val="656C3DE9"/>
    <w:rsid w:val="656E5DB3"/>
    <w:rsid w:val="656E7B61"/>
    <w:rsid w:val="656F4510"/>
    <w:rsid w:val="657607C4"/>
    <w:rsid w:val="657809E0"/>
    <w:rsid w:val="65841133"/>
    <w:rsid w:val="658729D1"/>
    <w:rsid w:val="65921AA2"/>
    <w:rsid w:val="659770B8"/>
    <w:rsid w:val="659B09D6"/>
    <w:rsid w:val="65A2780B"/>
    <w:rsid w:val="65A610A9"/>
    <w:rsid w:val="65B12E03"/>
    <w:rsid w:val="65B55790"/>
    <w:rsid w:val="65C07C91"/>
    <w:rsid w:val="65C23A09"/>
    <w:rsid w:val="65C634F9"/>
    <w:rsid w:val="65C6799D"/>
    <w:rsid w:val="65C80B40"/>
    <w:rsid w:val="65CE0600"/>
    <w:rsid w:val="65CE23AE"/>
    <w:rsid w:val="65CE6852"/>
    <w:rsid w:val="65D04378"/>
    <w:rsid w:val="65D73958"/>
    <w:rsid w:val="65D8147F"/>
    <w:rsid w:val="65D82D5A"/>
    <w:rsid w:val="65DE7193"/>
    <w:rsid w:val="65DF6369"/>
    <w:rsid w:val="65E46C8B"/>
    <w:rsid w:val="65E73470"/>
    <w:rsid w:val="65EE01D4"/>
    <w:rsid w:val="65EE2A50"/>
    <w:rsid w:val="65EE47FE"/>
    <w:rsid w:val="65F71905"/>
    <w:rsid w:val="65F91B21"/>
    <w:rsid w:val="65FC33BF"/>
    <w:rsid w:val="65FC617C"/>
    <w:rsid w:val="65FF6A0B"/>
    <w:rsid w:val="66012783"/>
    <w:rsid w:val="66023AC3"/>
    <w:rsid w:val="660404C6"/>
    <w:rsid w:val="66046B2A"/>
    <w:rsid w:val="66083B12"/>
    <w:rsid w:val="660A2A63"/>
    <w:rsid w:val="660B5E3C"/>
    <w:rsid w:val="660D2ED6"/>
    <w:rsid w:val="66157FDD"/>
    <w:rsid w:val="661632D0"/>
    <w:rsid w:val="6618187B"/>
    <w:rsid w:val="661848D1"/>
    <w:rsid w:val="66187ACD"/>
    <w:rsid w:val="661A1A97"/>
    <w:rsid w:val="661E50E3"/>
    <w:rsid w:val="6626043C"/>
    <w:rsid w:val="66263F98"/>
    <w:rsid w:val="66291CDA"/>
    <w:rsid w:val="662B0176"/>
    <w:rsid w:val="66326DE1"/>
    <w:rsid w:val="66372649"/>
    <w:rsid w:val="663A3EE7"/>
    <w:rsid w:val="663A7A43"/>
    <w:rsid w:val="663E7534"/>
    <w:rsid w:val="66432D9C"/>
    <w:rsid w:val="66452A08"/>
    <w:rsid w:val="66474D41"/>
    <w:rsid w:val="664A237C"/>
    <w:rsid w:val="664F1741"/>
    <w:rsid w:val="66540B05"/>
    <w:rsid w:val="66546D57"/>
    <w:rsid w:val="66576847"/>
    <w:rsid w:val="665E3732"/>
    <w:rsid w:val="665F56FC"/>
    <w:rsid w:val="665F74AA"/>
    <w:rsid w:val="66611986"/>
    <w:rsid w:val="66630D48"/>
    <w:rsid w:val="66650F64"/>
    <w:rsid w:val="666B5E4F"/>
    <w:rsid w:val="666F3B91"/>
    <w:rsid w:val="66794A10"/>
    <w:rsid w:val="667F18FA"/>
    <w:rsid w:val="66807B4C"/>
    <w:rsid w:val="668138C4"/>
    <w:rsid w:val="66826BD1"/>
    <w:rsid w:val="66833198"/>
    <w:rsid w:val="668A2779"/>
    <w:rsid w:val="668D4017"/>
    <w:rsid w:val="669453A6"/>
    <w:rsid w:val="66974E96"/>
    <w:rsid w:val="66A01F9C"/>
    <w:rsid w:val="66A03D4A"/>
    <w:rsid w:val="66A15D14"/>
    <w:rsid w:val="66A17AC3"/>
    <w:rsid w:val="66A870A3"/>
    <w:rsid w:val="66AB26EF"/>
    <w:rsid w:val="66AC6B93"/>
    <w:rsid w:val="66AD2284"/>
    <w:rsid w:val="66B07D06"/>
    <w:rsid w:val="66BE2423"/>
    <w:rsid w:val="66C0263F"/>
    <w:rsid w:val="66C075A7"/>
    <w:rsid w:val="66C20165"/>
    <w:rsid w:val="66C57C55"/>
    <w:rsid w:val="66C606F4"/>
    <w:rsid w:val="66C739CD"/>
    <w:rsid w:val="66C91558"/>
    <w:rsid w:val="66CA526B"/>
    <w:rsid w:val="66CC3515"/>
    <w:rsid w:val="66CF1E96"/>
    <w:rsid w:val="66D165FA"/>
    <w:rsid w:val="66D63C10"/>
    <w:rsid w:val="66D9725C"/>
    <w:rsid w:val="66DE2AC5"/>
    <w:rsid w:val="66E000AE"/>
    <w:rsid w:val="66E04A8F"/>
    <w:rsid w:val="66E1560B"/>
    <w:rsid w:val="66E520A5"/>
    <w:rsid w:val="66E63727"/>
    <w:rsid w:val="66EA7AAC"/>
    <w:rsid w:val="66EF082E"/>
    <w:rsid w:val="66F2031E"/>
    <w:rsid w:val="66F9345B"/>
    <w:rsid w:val="66F978FF"/>
    <w:rsid w:val="66FB3677"/>
    <w:rsid w:val="67000C8D"/>
    <w:rsid w:val="67012747"/>
    <w:rsid w:val="670562A3"/>
    <w:rsid w:val="67073DC9"/>
    <w:rsid w:val="670818F0"/>
    <w:rsid w:val="670E7920"/>
    <w:rsid w:val="670F2C7E"/>
    <w:rsid w:val="670F7122"/>
    <w:rsid w:val="671464E6"/>
    <w:rsid w:val="67191D4F"/>
    <w:rsid w:val="67193AFD"/>
    <w:rsid w:val="67200370"/>
    <w:rsid w:val="672030DD"/>
    <w:rsid w:val="67204E8B"/>
    <w:rsid w:val="67220C03"/>
    <w:rsid w:val="6727621A"/>
    <w:rsid w:val="672C55DE"/>
    <w:rsid w:val="67307DA3"/>
    <w:rsid w:val="673426E5"/>
    <w:rsid w:val="67395F4D"/>
    <w:rsid w:val="67401089"/>
    <w:rsid w:val="6740552D"/>
    <w:rsid w:val="674072DB"/>
    <w:rsid w:val="674212A6"/>
    <w:rsid w:val="67430B7A"/>
    <w:rsid w:val="6747066A"/>
    <w:rsid w:val="6747446D"/>
    <w:rsid w:val="674977D9"/>
    <w:rsid w:val="674B3432"/>
    <w:rsid w:val="674E7C4A"/>
    <w:rsid w:val="674F332C"/>
    <w:rsid w:val="6753700F"/>
    <w:rsid w:val="67544B35"/>
    <w:rsid w:val="675D7E8D"/>
    <w:rsid w:val="67600786"/>
    <w:rsid w:val="676A160C"/>
    <w:rsid w:val="676A6106"/>
    <w:rsid w:val="676E5BF7"/>
    <w:rsid w:val="676F7DE5"/>
    <w:rsid w:val="67705E13"/>
    <w:rsid w:val="6779459B"/>
    <w:rsid w:val="67874F0A"/>
    <w:rsid w:val="678C42CF"/>
    <w:rsid w:val="678E0047"/>
    <w:rsid w:val="6793565D"/>
    <w:rsid w:val="67952EF0"/>
    <w:rsid w:val="679A69EC"/>
    <w:rsid w:val="679F04A6"/>
    <w:rsid w:val="67A05FCC"/>
    <w:rsid w:val="67A930D3"/>
    <w:rsid w:val="67AA29A7"/>
    <w:rsid w:val="67AB6E4B"/>
    <w:rsid w:val="67AC2BC3"/>
    <w:rsid w:val="67B33F51"/>
    <w:rsid w:val="67B6134C"/>
    <w:rsid w:val="67BD0978"/>
    <w:rsid w:val="67BD26DA"/>
    <w:rsid w:val="67C038AA"/>
    <w:rsid w:val="67C17C73"/>
    <w:rsid w:val="67C20757"/>
    <w:rsid w:val="67C27CF0"/>
    <w:rsid w:val="67C8720F"/>
    <w:rsid w:val="67C9107F"/>
    <w:rsid w:val="67CA4DF7"/>
    <w:rsid w:val="67CE0D8B"/>
    <w:rsid w:val="67D53EC8"/>
    <w:rsid w:val="67D57A24"/>
    <w:rsid w:val="67DA328C"/>
    <w:rsid w:val="67DB598F"/>
    <w:rsid w:val="67DB7004"/>
    <w:rsid w:val="67DD0FCE"/>
    <w:rsid w:val="67DD4B2A"/>
    <w:rsid w:val="67DF722C"/>
    <w:rsid w:val="67E1286C"/>
    <w:rsid w:val="67E45EB9"/>
    <w:rsid w:val="67E660D5"/>
    <w:rsid w:val="67E73BFB"/>
    <w:rsid w:val="67EB4F70"/>
    <w:rsid w:val="67EE0AE5"/>
    <w:rsid w:val="67EE39A6"/>
    <w:rsid w:val="67F07B5B"/>
    <w:rsid w:val="67F24A7A"/>
    <w:rsid w:val="67F87BB6"/>
    <w:rsid w:val="67FC1454"/>
    <w:rsid w:val="68051E23"/>
    <w:rsid w:val="680C49B6"/>
    <w:rsid w:val="680E73DA"/>
    <w:rsid w:val="681349F0"/>
    <w:rsid w:val="681542C4"/>
    <w:rsid w:val="681A18DB"/>
    <w:rsid w:val="681F3395"/>
    <w:rsid w:val="68244D4C"/>
    <w:rsid w:val="68254382"/>
    <w:rsid w:val="68260326"/>
    <w:rsid w:val="68262975"/>
    <w:rsid w:val="682664D1"/>
    <w:rsid w:val="682B3AE8"/>
    <w:rsid w:val="682B7F8C"/>
    <w:rsid w:val="682E35D8"/>
    <w:rsid w:val="6832131A"/>
    <w:rsid w:val="6837045D"/>
    <w:rsid w:val="683735EC"/>
    <w:rsid w:val="68386205"/>
    <w:rsid w:val="683C3F47"/>
    <w:rsid w:val="683F57E5"/>
    <w:rsid w:val="683F7593"/>
    <w:rsid w:val="684150B9"/>
    <w:rsid w:val="6844104D"/>
    <w:rsid w:val="68476448"/>
    <w:rsid w:val="68496BE0"/>
    <w:rsid w:val="685079F2"/>
    <w:rsid w:val="685132CA"/>
    <w:rsid w:val="68580655"/>
    <w:rsid w:val="68582403"/>
    <w:rsid w:val="68586A58"/>
    <w:rsid w:val="685C7E37"/>
    <w:rsid w:val="68637725"/>
    <w:rsid w:val="68646FFA"/>
    <w:rsid w:val="68662D72"/>
    <w:rsid w:val="6868111E"/>
    <w:rsid w:val="686979DD"/>
    <w:rsid w:val="686B0388"/>
    <w:rsid w:val="686B65DA"/>
    <w:rsid w:val="686D4100"/>
    <w:rsid w:val="686E1C26"/>
    <w:rsid w:val="686E7E94"/>
    <w:rsid w:val="686F7E78"/>
    <w:rsid w:val="687356EA"/>
    <w:rsid w:val="687436E1"/>
    <w:rsid w:val="68757459"/>
    <w:rsid w:val="687E5AF0"/>
    <w:rsid w:val="68817BAC"/>
    <w:rsid w:val="68821CC5"/>
    <w:rsid w:val="68833924"/>
    <w:rsid w:val="688431F8"/>
    <w:rsid w:val="6885769C"/>
    <w:rsid w:val="68880F3A"/>
    <w:rsid w:val="688D2938"/>
    <w:rsid w:val="688D6550"/>
    <w:rsid w:val="68914293"/>
    <w:rsid w:val="68993147"/>
    <w:rsid w:val="68994EF5"/>
    <w:rsid w:val="689B5E52"/>
    <w:rsid w:val="68A5389A"/>
    <w:rsid w:val="68AD09A1"/>
    <w:rsid w:val="68AD274F"/>
    <w:rsid w:val="68AF4719"/>
    <w:rsid w:val="68B35045"/>
    <w:rsid w:val="68B41D2F"/>
    <w:rsid w:val="68B65AA7"/>
    <w:rsid w:val="68B910F3"/>
    <w:rsid w:val="68BA4E6C"/>
    <w:rsid w:val="68BB130F"/>
    <w:rsid w:val="68BC0BE4"/>
    <w:rsid w:val="68C55CEA"/>
    <w:rsid w:val="68C77CB4"/>
    <w:rsid w:val="68C83A2C"/>
    <w:rsid w:val="68C87588"/>
    <w:rsid w:val="68CF6B69"/>
    <w:rsid w:val="68D02BEC"/>
    <w:rsid w:val="68D128E1"/>
    <w:rsid w:val="68D53E8D"/>
    <w:rsid w:val="68D67EF7"/>
    <w:rsid w:val="68D73C6F"/>
    <w:rsid w:val="68D75A1D"/>
    <w:rsid w:val="68D85C52"/>
    <w:rsid w:val="68D95C4D"/>
    <w:rsid w:val="68DB1E5C"/>
    <w:rsid w:val="68DB3760"/>
    <w:rsid w:val="68E1689C"/>
    <w:rsid w:val="68E65C61"/>
    <w:rsid w:val="68E81D5D"/>
    <w:rsid w:val="68EA74FF"/>
    <w:rsid w:val="68EC6827"/>
    <w:rsid w:val="68F14D31"/>
    <w:rsid w:val="68F22857"/>
    <w:rsid w:val="68F378C5"/>
    <w:rsid w:val="68F44821"/>
    <w:rsid w:val="68F82A37"/>
    <w:rsid w:val="68FA0F89"/>
    <w:rsid w:val="68FA547A"/>
    <w:rsid w:val="68FB795E"/>
    <w:rsid w:val="68FC7232"/>
    <w:rsid w:val="68FF70FA"/>
    <w:rsid w:val="6904039B"/>
    <w:rsid w:val="69054339"/>
    <w:rsid w:val="69083E29"/>
    <w:rsid w:val="69085BD7"/>
    <w:rsid w:val="690A7BA1"/>
    <w:rsid w:val="690C3919"/>
    <w:rsid w:val="690D582F"/>
    <w:rsid w:val="690D7691"/>
    <w:rsid w:val="690F6F65"/>
    <w:rsid w:val="69150E14"/>
    <w:rsid w:val="691B590A"/>
    <w:rsid w:val="691D5B26"/>
    <w:rsid w:val="69223FD7"/>
    <w:rsid w:val="69256789"/>
    <w:rsid w:val="69270753"/>
    <w:rsid w:val="69273360"/>
    <w:rsid w:val="692769A5"/>
    <w:rsid w:val="692C7B17"/>
    <w:rsid w:val="69343F57"/>
    <w:rsid w:val="69360996"/>
    <w:rsid w:val="69382960"/>
    <w:rsid w:val="69386C8B"/>
    <w:rsid w:val="69390486"/>
    <w:rsid w:val="693A2C01"/>
    <w:rsid w:val="693D7F76"/>
    <w:rsid w:val="693E30FD"/>
    <w:rsid w:val="694110E9"/>
    <w:rsid w:val="69421A7E"/>
    <w:rsid w:val="69450BD9"/>
    <w:rsid w:val="69452488"/>
    <w:rsid w:val="69482477"/>
    <w:rsid w:val="694B7FC6"/>
    <w:rsid w:val="694F7CAA"/>
    <w:rsid w:val="695157D0"/>
    <w:rsid w:val="6951757E"/>
    <w:rsid w:val="69561038"/>
    <w:rsid w:val="695B03FD"/>
    <w:rsid w:val="69603C65"/>
    <w:rsid w:val="6962178B"/>
    <w:rsid w:val="69674FF3"/>
    <w:rsid w:val="696A0640"/>
    <w:rsid w:val="696A6892"/>
    <w:rsid w:val="696B2119"/>
    <w:rsid w:val="696C35A9"/>
    <w:rsid w:val="696C43B8"/>
    <w:rsid w:val="696F5C56"/>
    <w:rsid w:val="697033BA"/>
    <w:rsid w:val="69733998"/>
    <w:rsid w:val="697A0C17"/>
    <w:rsid w:val="697A1E44"/>
    <w:rsid w:val="697B0A9F"/>
    <w:rsid w:val="697C4968"/>
    <w:rsid w:val="69801C11"/>
    <w:rsid w:val="698060B5"/>
    <w:rsid w:val="69825989"/>
    <w:rsid w:val="69831701"/>
    <w:rsid w:val="69847953"/>
    <w:rsid w:val="698931BC"/>
    <w:rsid w:val="698C6808"/>
    <w:rsid w:val="699851AD"/>
    <w:rsid w:val="69990F25"/>
    <w:rsid w:val="699B4C9D"/>
    <w:rsid w:val="699B6A4B"/>
    <w:rsid w:val="699C7DEA"/>
    <w:rsid w:val="699E02E9"/>
    <w:rsid w:val="69A51678"/>
    <w:rsid w:val="69AA3132"/>
    <w:rsid w:val="69AC2A06"/>
    <w:rsid w:val="69AC6EAA"/>
    <w:rsid w:val="69B31FE7"/>
    <w:rsid w:val="69B53FB1"/>
    <w:rsid w:val="69B77D82"/>
    <w:rsid w:val="69B813AB"/>
    <w:rsid w:val="69B9049B"/>
    <w:rsid w:val="69BA15C7"/>
    <w:rsid w:val="69BB25F4"/>
    <w:rsid w:val="69BD2E65"/>
    <w:rsid w:val="69BF6BDD"/>
    <w:rsid w:val="69C45FA2"/>
    <w:rsid w:val="69C641B4"/>
    <w:rsid w:val="69C73CE4"/>
    <w:rsid w:val="69C77840"/>
    <w:rsid w:val="69CA10DE"/>
    <w:rsid w:val="69CB2F4D"/>
    <w:rsid w:val="69CE0BCF"/>
    <w:rsid w:val="69CE5072"/>
    <w:rsid w:val="69D02B99"/>
    <w:rsid w:val="69E421A0"/>
    <w:rsid w:val="69E44896"/>
    <w:rsid w:val="69E46644"/>
    <w:rsid w:val="69E5416A"/>
    <w:rsid w:val="69E623BC"/>
    <w:rsid w:val="69E95A08"/>
    <w:rsid w:val="69EA352F"/>
    <w:rsid w:val="69EC54F9"/>
    <w:rsid w:val="69EE301F"/>
    <w:rsid w:val="69F525FF"/>
    <w:rsid w:val="69F543AD"/>
    <w:rsid w:val="69F858DF"/>
    <w:rsid w:val="69F957DD"/>
    <w:rsid w:val="69FF6FDA"/>
    <w:rsid w:val="6A0501B7"/>
    <w:rsid w:val="6A097E59"/>
    <w:rsid w:val="6A0D280F"/>
    <w:rsid w:val="6A0E1913"/>
    <w:rsid w:val="6A107439"/>
    <w:rsid w:val="6A1231B1"/>
    <w:rsid w:val="6A164324"/>
    <w:rsid w:val="6A1A02B8"/>
    <w:rsid w:val="6A1D56B2"/>
    <w:rsid w:val="6A1F142A"/>
    <w:rsid w:val="6A246A40"/>
    <w:rsid w:val="6A266C5C"/>
    <w:rsid w:val="6A2B7DCF"/>
    <w:rsid w:val="6A2C3B47"/>
    <w:rsid w:val="6A2D7FEB"/>
    <w:rsid w:val="6A2E53F4"/>
    <w:rsid w:val="6A3053E5"/>
    <w:rsid w:val="6A4378D2"/>
    <w:rsid w:val="6A4610AD"/>
    <w:rsid w:val="6A4B66C3"/>
    <w:rsid w:val="6A4D243B"/>
    <w:rsid w:val="6A4E3ABD"/>
    <w:rsid w:val="6A4E5001"/>
    <w:rsid w:val="6A4E7F61"/>
    <w:rsid w:val="6A50275D"/>
    <w:rsid w:val="6A527A52"/>
    <w:rsid w:val="6A535578"/>
    <w:rsid w:val="6A537C4E"/>
    <w:rsid w:val="6A55309E"/>
    <w:rsid w:val="6A5F4A42"/>
    <w:rsid w:val="6A60476B"/>
    <w:rsid w:val="6A667059"/>
    <w:rsid w:val="6A6B28C1"/>
    <w:rsid w:val="6A701C86"/>
    <w:rsid w:val="6A726503"/>
    <w:rsid w:val="6A75729C"/>
    <w:rsid w:val="6A7A0DD1"/>
    <w:rsid w:val="6A7C062B"/>
    <w:rsid w:val="6A8334CB"/>
    <w:rsid w:val="6A8D2838"/>
    <w:rsid w:val="6A902328"/>
    <w:rsid w:val="6A9040D6"/>
    <w:rsid w:val="6A970C0E"/>
    <w:rsid w:val="6A972321"/>
    <w:rsid w:val="6A9D7AD8"/>
    <w:rsid w:val="6AA10091"/>
    <w:rsid w:val="6AA638F9"/>
    <w:rsid w:val="6AA765AF"/>
    <w:rsid w:val="6AAB7162"/>
    <w:rsid w:val="6AAD6A36"/>
    <w:rsid w:val="6AB16F29"/>
    <w:rsid w:val="6AB37DC4"/>
    <w:rsid w:val="6AB41186"/>
    <w:rsid w:val="6ABC4ECB"/>
    <w:rsid w:val="6ABE6E95"/>
    <w:rsid w:val="6AC36259"/>
    <w:rsid w:val="6AC65D4A"/>
    <w:rsid w:val="6AC72890"/>
    <w:rsid w:val="6AC84883"/>
    <w:rsid w:val="6ACA6640"/>
    <w:rsid w:val="6ACC3B31"/>
    <w:rsid w:val="6ACD532A"/>
    <w:rsid w:val="6AD71D05"/>
    <w:rsid w:val="6AD93CCF"/>
    <w:rsid w:val="6ADB7A47"/>
    <w:rsid w:val="6ADC0A54"/>
    <w:rsid w:val="6ADC556D"/>
    <w:rsid w:val="6ADE12E5"/>
    <w:rsid w:val="6AE10DD5"/>
    <w:rsid w:val="6AE14931"/>
    <w:rsid w:val="6AE508C6"/>
    <w:rsid w:val="6AE54422"/>
    <w:rsid w:val="6AE554AB"/>
    <w:rsid w:val="6AE83F12"/>
    <w:rsid w:val="6AED32D6"/>
    <w:rsid w:val="6AED777A"/>
    <w:rsid w:val="6AF01018"/>
    <w:rsid w:val="6AF02DC7"/>
    <w:rsid w:val="6AF1726A"/>
    <w:rsid w:val="6AF208ED"/>
    <w:rsid w:val="6AF723A7"/>
    <w:rsid w:val="6AFE3735"/>
    <w:rsid w:val="6B00125C"/>
    <w:rsid w:val="6B013226"/>
    <w:rsid w:val="6B030D4C"/>
    <w:rsid w:val="6B0625EA"/>
    <w:rsid w:val="6B064398"/>
    <w:rsid w:val="6B080110"/>
    <w:rsid w:val="6B0D3978"/>
    <w:rsid w:val="6B0F5943"/>
    <w:rsid w:val="6B105217"/>
    <w:rsid w:val="6B1271E1"/>
    <w:rsid w:val="6B144D07"/>
    <w:rsid w:val="6B166CD1"/>
    <w:rsid w:val="6B230079"/>
    <w:rsid w:val="6B264A3A"/>
    <w:rsid w:val="6B2807B2"/>
    <w:rsid w:val="6B286A04"/>
    <w:rsid w:val="6B2E7494"/>
    <w:rsid w:val="6B2F3CE0"/>
    <w:rsid w:val="6B3158B9"/>
    <w:rsid w:val="6B347157"/>
    <w:rsid w:val="6B3D425E"/>
    <w:rsid w:val="6B403D4E"/>
    <w:rsid w:val="6B405AFC"/>
    <w:rsid w:val="6B431148"/>
    <w:rsid w:val="6B4649F7"/>
    <w:rsid w:val="6B4C26F3"/>
    <w:rsid w:val="6B4C44A1"/>
    <w:rsid w:val="6B4D1FC7"/>
    <w:rsid w:val="6B4F5D3F"/>
    <w:rsid w:val="6B5174A7"/>
    <w:rsid w:val="6B533A81"/>
    <w:rsid w:val="6B5C220A"/>
    <w:rsid w:val="6B5E41D4"/>
    <w:rsid w:val="6B633598"/>
    <w:rsid w:val="6B686E01"/>
    <w:rsid w:val="6B6A0DCB"/>
    <w:rsid w:val="6B6A2B79"/>
    <w:rsid w:val="6B6A4927"/>
    <w:rsid w:val="6B6E37EE"/>
    <w:rsid w:val="6B6F4633"/>
    <w:rsid w:val="6B701A5C"/>
    <w:rsid w:val="6B741C4A"/>
    <w:rsid w:val="6B76151E"/>
    <w:rsid w:val="6B7834E8"/>
    <w:rsid w:val="6B8005EE"/>
    <w:rsid w:val="6B80414A"/>
    <w:rsid w:val="6B815103"/>
    <w:rsid w:val="6B84076F"/>
    <w:rsid w:val="6B87372B"/>
    <w:rsid w:val="6B8A4FC9"/>
    <w:rsid w:val="6B9136FA"/>
    <w:rsid w:val="6B96396E"/>
    <w:rsid w:val="6B96571C"/>
    <w:rsid w:val="6B981494"/>
    <w:rsid w:val="6B9D6AAA"/>
    <w:rsid w:val="6BA75B7B"/>
    <w:rsid w:val="6BAB6A35"/>
    <w:rsid w:val="6BAC4F3F"/>
    <w:rsid w:val="6BAE0CB8"/>
    <w:rsid w:val="6BB67B6C"/>
    <w:rsid w:val="6BB9765C"/>
    <w:rsid w:val="6BBA58AE"/>
    <w:rsid w:val="6BBB33D4"/>
    <w:rsid w:val="6BBD0EFB"/>
    <w:rsid w:val="6BC23C69"/>
    <w:rsid w:val="6BC24763"/>
    <w:rsid w:val="6BC47A19"/>
    <w:rsid w:val="6BC716AA"/>
    <w:rsid w:val="6BC73B27"/>
    <w:rsid w:val="6BC8789F"/>
    <w:rsid w:val="6BC93D43"/>
    <w:rsid w:val="6BCB7ABB"/>
    <w:rsid w:val="6BCC3834"/>
    <w:rsid w:val="6BCC55E2"/>
    <w:rsid w:val="6BCE3108"/>
    <w:rsid w:val="6BCE369C"/>
    <w:rsid w:val="6BD050D2"/>
    <w:rsid w:val="6BD12BF8"/>
    <w:rsid w:val="6BD36970"/>
    <w:rsid w:val="6BD44496"/>
    <w:rsid w:val="6BD6020E"/>
    <w:rsid w:val="6BD6356F"/>
    <w:rsid w:val="6BD732BE"/>
    <w:rsid w:val="6BD7457F"/>
    <w:rsid w:val="6BD821D8"/>
    <w:rsid w:val="6BDA7CFF"/>
    <w:rsid w:val="6BDD159D"/>
    <w:rsid w:val="6BDF4621"/>
    <w:rsid w:val="6BE07B21"/>
    <w:rsid w:val="6BE7241B"/>
    <w:rsid w:val="6BE741CA"/>
    <w:rsid w:val="6BE75700"/>
    <w:rsid w:val="6BE97F42"/>
    <w:rsid w:val="6BEE37AA"/>
    <w:rsid w:val="6BF15048"/>
    <w:rsid w:val="6BF16DF6"/>
    <w:rsid w:val="6BF32B6E"/>
    <w:rsid w:val="6BFA6FCE"/>
    <w:rsid w:val="6BFB1A23"/>
    <w:rsid w:val="6BFB7C75"/>
    <w:rsid w:val="6C007039"/>
    <w:rsid w:val="6C046B2A"/>
    <w:rsid w:val="6C054650"/>
    <w:rsid w:val="6C1825D5"/>
    <w:rsid w:val="6C184383"/>
    <w:rsid w:val="6C1F5711"/>
    <w:rsid w:val="6C272818"/>
    <w:rsid w:val="6C292A34"/>
    <w:rsid w:val="6C2B5723"/>
    <w:rsid w:val="6C2C7E2E"/>
    <w:rsid w:val="6C2C7F47"/>
    <w:rsid w:val="6C3311BD"/>
    <w:rsid w:val="6C3C3603"/>
    <w:rsid w:val="6C3D31EE"/>
    <w:rsid w:val="6C3F3B3F"/>
    <w:rsid w:val="6C3F7B62"/>
    <w:rsid w:val="6C427652"/>
    <w:rsid w:val="6C427DE8"/>
    <w:rsid w:val="6C437A1F"/>
    <w:rsid w:val="6C44776E"/>
    <w:rsid w:val="6C467142"/>
    <w:rsid w:val="6C4909E0"/>
    <w:rsid w:val="6C494E84"/>
    <w:rsid w:val="6C4B4758"/>
    <w:rsid w:val="6C501D6F"/>
    <w:rsid w:val="6C5775A1"/>
    <w:rsid w:val="6C5850C7"/>
    <w:rsid w:val="6C6121CE"/>
    <w:rsid w:val="6C661592"/>
    <w:rsid w:val="6C686B68"/>
    <w:rsid w:val="6C6B6BA9"/>
    <w:rsid w:val="6C700663"/>
    <w:rsid w:val="6C7F2654"/>
    <w:rsid w:val="6C811FF9"/>
    <w:rsid w:val="6C823EF2"/>
    <w:rsid w:val="6C871509"/>
    <w:rsid w:val="6C8815DE"/>
    <w:rsid w:val="6C891725"/>
    <w:rsid w:val="6C891FB9"/>
    <w:rsid w:val="6C89702F"/>
    <w:rsid w:val="6C8B31EC"/>
    <w:rsid w:val="6C8B724B"/>
    <w:rsid w:val="6C924135"/>
    <w:rsid w:val="6C98243C"/>
    <w:rsid w:val="6C9854C4"/>
    <w:rsid w:val="6C9C6D62"/>
    <w:rsid w:val="6CA16741"/>
    <w:rsid w:val="6CA65E33"/>
    <w:rsid w:val="6CA976D1"/>
    <w:rsid w:val="6CAA4302"/>
    <w:rsid w:val="6CB30550"/>
    <w:rsid w:val="6CB57E24"/>
    <w:rsid w:val="6CB73B9C"/>
    <w:rsid w:val="6CB95B66"/>
    <w:rsid w:val="6CBA00EA"/>
    <w:rsid w:val="6CBA18DE"/>
    <w:rsid w:val="6CBC5656"/>
    <w:rsid w:val="6CBF6EF4"/>
    <w:rsid w:val="6CC30793"/>
    <w:rsid w:val="6CC369E5"/>
    <w:rsid w:val="6CC83FFB"/>
    <w:rsid w:val="6CCB7647"/>
    <w:rsid w:val="6CD10884"/>
    <w:rsid w:val="6CD3474E"/>
    <w:rsid w:val="6CD650E1"/>
    <w:rsid w:val="6CDA5A16"/>
    <w:rsid w:val="6CDC1FB3"/>
    <w:rsid w:val="6CDC3602"/>
    <w:rsid w:val="6CDC7AA6"/>
    <w:rsid w:val="6CDF1C45"/>
    <w:rsid w:val="6CE54BAD"/>
    <w:rsid w:val="6CE60925"/>
    <w:rsid w:val="6CF272CA"/>
    <w:rsid w:val="6CF763B2"/>
    <w:rsid w:val="6CFC1EF7"/>
    <w:rsid w:val="6CFE15FF"/>
    <w:rsid w:val="6D0019E7"/>
    <w:rsid w:val="6D004977"/>
    <w:rsid w:val="6D035033"/>
    <w:rsid w:val="6D056FFD"/>
    <w:rsid w:val="6D06067F"/>
    <w:rsid w:val="6D062D75"/>
    <w:rsid w:val="6D09723B"/>
    <w:rsid w:val="6D0B213A"/>
    <w:rsid w:val="6D0D1A0E"/>
    <w:rsid w:val="6D0F39D8"/>
    <w:rsid w:val="6D1C4347"/>
    <w:rsid w:val="6D1C7EA3"/>
    <w:rsid w:val="6D1E1E6D"/>
    <w:rsid w:val="6D231231"/>
    <w:rsid w:val="6D2365CE"/>
    <w:rsid w:val="6D255409"/>
    <w:rsid w:val="6D260D22"/>
    <w:rsid w:val="6D262AD0"/>
    <w:rsid w:val="6D286848"/>
    <w:rsid w:val="6D2C27DC"/>
    <w:rsid w:val="6D3276C6"/>
    <w:rsid w:val="6D35033D"/>
    <w:rsid w:val="6D390A55"/>
    <w:rsid w:val="6D393F68"/>
    <w:rsid w:val="6D3D76B7"/>
    <w:rsid w:val="6D405558"/>
    <w:rsid w:val="6D415B5B"/>
    <w:rsid w:val="6D4A2C62"/>
    <w:rsid w:val="6D561607"/>
    <w:rsid w:val="6D5E04BB"/>
    <w:rsid w:val="6D601880"/>
    <w:rsid w:val="6D604233"/>
    <w:rsid w:val="6D611D5A"/>
    <w:rsid w:val="6D635AD2"/>
    <w:rsid w:val="6D64755E"/>
    <w:rsid w:val="6D725D15"/>
    <w:rsid w:val="6D77332B"/>
    <w:rsid w:val="6D7911BD"/>
    <w:rsid w:val="6D7970A3"/>
    <w:rsid w:val="6D7B106D"/>
    <w:rsid w:val="6D837F22"/>
    <w:rsid w:val="6D875C64"/>
    <w:rsid w:val="6D8F4B19"/>
    <w:rsid w:val="6D9263B7"/>
    <w:rsid w:val="6D964261"/>
    <w:rsid w:val="6D9914F3"/>
    <w:rsid w:val="6D995997"/>
    <w:rsid w:val="6D9A58B3"/>
    <w:rsid w:val="6D9B170F"/>
    <w:rsid w:val="6DA46816"/>
    <w:rsid w:val="6DA66712"/>
    <w:rsid w:val="6DA73C10"/>
    <w:rsid w:val="6DAE1443"/>
    <w:rsid w:val="6DB36A59"/>
    <w:rsid w:val="6DB4632D"/>
    <w:rsid w:val="6DB56EC5"/>
    <w:rsid w:val="6DB85E1E"/>
    <w:rsid w:val="6DB91B96"/>
    <w:rsid w:val="6DB9402B"/>
    <w:rsid w:val="6DC24EEE"/>
    <w:rsid w:val="6DC37E0F"/>
    <w:rsid w:val="6DCA78FF"/>
    <w:rsid w:val="6DCC18C9"/>
    <w:rsid w:val="6DCC3677"/>
    <w:rsid w:val="6DCC7B1B"/>
    <w:rsid w:val="6DD15131"/>
    <w:rsid w:val="6DD469CF"/>
    <w:rsid w:val="6DD62748"/>
    <w:rsid w:val="6DDB5FB0"/>
    <w:rsid w:val="6DDD5884"/>
    <w:rsid w:val="6DDF784E"/>
    <w:rsid w:val="6DE36C13"/>
    <w:rsid w:val="6DE73C57"/>
    <w:rsid w:val="6DE9247B"/>
    <w:rsid w:val="6DEA61F3"/>
    <w:rsid w:val="6DEC1F6B"/>
    <w:rsid w:val="6DEE5CE3"/>
    <w:rsid w:val="6DF332FA"/>
    <w:rsid w:val="6DF42A0F"/>
    <w:rsid w:val="6DFB5D0A"/>
    <w:rsid w:val="6DFE57FA"/>
    <w:rsid w:val="6DFF3A4C"/>
    <w:rsid w:val="6E0077C5"/>
    <w:rsid w:val="6E02353D"/>
    <w:rsid w:val="6E05302D"/>
    <w:rsid w:val="6E080427"/>
    <w:rsid w:val="6E0B0643"/>
    <w:rsid w:val="6E0C7F17"/>
    <w:rsid w:val="6E0D0088"/>
    <w:rsid w:val="6E0E5A3E"/>
    <w:rsid w:val="6E1119D2"/>
    <w:rsid w:val="6E1312A6"/>
    <w:rsid w:val="6E1A6AD8"/>
    <w:rsid w:val="6E1D2124"/>
    <w:rsid w:val="6E201C15"/>
    <w:rsid w:val="6E22598D"/>
    <w:rsid w:val="6E241705"/>
    <w:rsid w:val="6E272FA3"/>
    <w:rsid w:val="6E281775"/>
    <w:rsid w:val="6E2C05BA"/>
    <w:rsid w:val="6E31192E"/>
    <w:rsid w:val="6E313E22"/>
    <w:rsid w:val="6E3336F6"/>
    <w:rsid w:val="6E34121C"/>
    <w:rsid w:val="6E361438"/>
    <w:rsid w:val="6E3851B0"/>
    <w:rsid w:val="6E434FF8"/>
    <w:rsid w:val="6E4678CD"/>
    <w:rsid w:val="6E494CC8"/>
    <w:rsid w:val="6E511DCE"/>
    <w:rsid w:val="6E533D98"/>
    <w:rsid w:val="6E5378F4"/>
    <w:rsid w:val="6E5F098F"/>
    <w:rsid w:val="6E604B3F"/>
    <w:rsid w:val="6E6050CB"/>
    <w:rsid w:val="6E661D1D"/>
    <w:rsid w:val="6E697118"/>
    <w:rsid w:val="6E6B1F1C"/>
    <w:rsid w:val="6E70494A"/>
    <w:rsid w:val="6E71421E"/>
    <w:rsid w:val="6E7542A0"/>
    <w:rsid w:val="6E7837FF"/>
    <w:rsid w:val="6E7B48A4"/>
    <w:rsid w:val="6E7B6E4B"/>
    <w:rsid w:val="6E7C32EF"/>
    <w:rsid w:val="6E7D2BC3"/>
    <w:rsid w:val="6E7D71C4"/>
    <w:rsid w:val="6E8201DA"/>
    <w:rsid w:val="6E851A78"/>
    <w:rsid w:val="6E8E6B7E"/>
    <w:rsid w:val="6E902A69"/>
    <w:rsid w:val="6E9248C1"/>
    <w:rsid w:val="6E946B8C"/>
    <w:rsid w:val="6E95615F"/>
    <w:rsid w:val="6E971ED7"/>
    <w:rsid w:val="6E9C129B"/>
    <w:rsid w:val="6E9D64C5"/>
    <w:rsid w:val="6E9F0D8B"/>
    <w:rsid w:val="6EA6211A"/>
    <w:rsid w:val="6EA64303"/>
    <w:rsid w:val="6EA77C40"/>
    <w:rsid w:val="6EA93C52"/>
    <w:rsid w:val="6EB74327"/>
    <w:rsid w:val="6EB81E4D"/>
    <w:rsid w:val="6EBD1212"/>
    <w:rsid w:val="6EBD501F"/>
    <w:rsid w:val="6EC30F1E"/>
    <w:rsid w:val="6EC56283"/>
    <w:rsid w:val="6EC72090"/>
    <w:rsid w:val="6EC9405A"/>
    <w:rsid w:val="6EC95E08"/>
    <w:rsid w:val="6ECF78C3"/>
    <w:rsid w:val="6ED22F0F"/>
    <w:rsid w:val="6EDC48A6"/>
    <w:rsid w:val="6EDF70C8"/>
    <w:rsid w:val="6EE449F0"/>
    <w:rsid w:val="6EE64C0C"/>
    <w:rsid w:val="6EE669BA"/>
    <w:rsid w:val="6EEB55FE"/>
    <w:rsid w:val="6EEC3E21"/>
    <w:rsid w:val="6EF07839"/>
    <w:rsid w:val="6EF331E4"/>
    <w:rsid w:val="6EFC61DE"/>
    <w:rsid w:val="6EFF5CCE"/>
    <w:rsid w:val="6F0230C8"/>
    <w:rsid w:val="6F0357BE"/>
    <w:rsid w:val="6F062BB9"/>
    <w:rsid w:val="6F086BFD"/>
    <w:rsid w:val="6F196D90"/>
    <w:rsid w:val="6F1E43A6"/>
    <w:rsid w:val="6F2319BD"/>
    <w:rsid w:val="6F255735"/>
    <w:rsid w:val="6F2968A7"/>
    <w:rsid w:val="6F2A4AF9"/>
    <w:rsid w:val="6F2E3EBD"/>
    <w:rsid w:val="6F323E82"/>
    <w:rsid w:val="6F35524C"/>
    <w:rsid w:val="6F375468"/>
    <w:rsid w:val="6F413BF1"/>
    <w:rsid w:val="6F42021D"/>
    <w:rsid w:val="6F4638FD"/>
    <w:rsid w:val="6F467459"/>
    <w:rsid w:val="6F484F7F"/>
    <w:rsid w:val="6F4D6A39"/>
    <w:rsid w:val="6F502086"/>
    <w:rsid w:val="6F55769C"/>
    <w:rsid w:val="6F563B40"/>
    <w:rsid w:val="6F5A2F04"/>
    <w:rsid w:val="6F5C0A2B"/>
    <w:rsid w:val="6F5E29F5"/>
    <w:rsid w:val="6F606586"/>
    <w:rsid w:val="6F614293"/>
    <w:rsid w:val="6F63625D"/>
    <w:rsid w:val="6F6535B7"/>
    <w:rsid w:val="6F655B31"/>
    <w:rsid w:val="6F683B8E"/>
    <w:rsid w:val="6F6C3363"/>
    <w:rsid w:val="6F6F409F"/>
    <w:rsid w:val="6F7044D6"/>
    <w:rsid w:val="6F742218"/>
    <w:rsid w:val="6F765F90"/>
    <w:rsid w:val="6F77220A"/>
    <w:rsid w:val="6F795A80"/>
    <w:rsid w:val="6F7A7850"/>
    <w:rsid w:val="6F7B35A7"/>
    <w:rsid w:val="6F7E3097"/>
    <w:rsid w:val="6F800BBD"/>
    <w:rsid w:val="6F80296B"/>
    <w:rsid w:val="6F811369"/>
    <w:rsid w:val="6F814935"/>
    <w:rsid w:val="6F8166E3"/>
    <w:rsid w:val="6F83245B"/>
    <w:rsid w:val="6F865AA7"/>
    <w:rsid w:val="6F866223"/>
    <w:rsid w:val="6F887A72"/>
    <w:rsid w:val="6F8B1310"/>
    <w:rsid w:val="6F8D5088"/>
    <w:rsid w:val="6F911144"/>
    <w:rsid w:val="6F913012"/>
    <w:rsid w:val="6F913D09"/>
    <w:rsid w:val="6F914B78"/>
    <w:rsid w:val="6F92269E"/>
    <w:rsid w:val="6F932245"/>
    <w:rsid w:val="6F946416"/>
    <w:rsid w:val="6F96218E"/>
    <w:rsid w:val="6F984159"/>
    <w:rsid w:val="6F9957DB"/>
    <w:rsid w:val="6F997ED1"/>
    <w:rsid w:val="6F9A3937"/>
    <w:rsid w:val="6F9B1553"/>
    <w:rsid w:val="6FA7439C"/>
    <w:rsid w:val="6FA80114"/>
    <w:rsid w:val="6FAD572A"/>
    <w:rsid w:val="6FB10D76"/>
    <w:rsid w:val="6FB302B1"/>
    <w:rsid w:val="6FB645DF"/>
    <w:rsid w:val="6FBB5F52"/>
    <w:rsid w:val="6FBD596D"/>
    <w:rsid w:val="6FC0720B"/>
    <w:rsid w:val="6FC14D32"/>
    <w:rsid w:val="6FC860C0"/>
    <w:rsid w:val="6FCC5BB0"/>
    <w:rsid w:val="6FD07D18"/>
    <w:rsid w:val="6FD11419"/>
    <w:rsid w:val="6FD1766A"/>
    <w:rsid w:val="6FD34BE3"/>
    <w:rsid w:val="6FD902CD"/>
    <w:rsid w:val="6FDB5DF3"/>
    <w:rsid w:val="6FEA4288"/>
    <w:rsid w:val="6FED3D79"/>
    <w:rsid w:val="6FF033C7"/>
    <w:rsid w:val="6FF45107"/>
    <w:rsid w:val="6FF61A33"/>
    <w:rsid w:val="6FF670D1"/>
    <w:rsid w:val="6FF9096F"/>
    <w:rsid w:val="6FFE7D34"/>
    <w:rsid w:val="700215D2"/>
    <w:rsid w:val="70052E70"/>
    <w:rsid w:val="70057314"/>
    <w:rsid w:val="700A0487"/>
    <w:rsid w:val="700E441B"/>
    <w:rsid w:val="70124526"/>
    <w:rsid w:val="701A2DBF"/>
    <w:rsid w:val="70221C74"/>
    <w:rsid w:val="70251764"/>
    <w:rsid w:val="70282EBC"/>
    <w:rsid w:val="70294DB1"/>
    <w:rsid w:val="702E686B"/>
    <w:rsid w:val="70357BF9"/>
    <w:rsid w:val="70381498"/>
    <w:rsid w:val="70384FF4"/>
    <w:rsid w:val="703C2DB9"/>
    <w:rsid w:val="703D260A"/>
    <w:rsid w:val="704020FA"/>
    <w:rsid w:val="704240C4"/>
    <w:rsid w:val="70477E4B"/>
    <w:rsid w:val="704B010A"/>
    <w:rsid w:val="704C6CF1"/>
    <w:rsid w:val="704F233D"/>
    <w:rsid w:val="705067E1"/>
    <w:rsid w:val="70510E31"/>
    <w:rsid w:val="7056191E"/>
    <w:rsid w:val="705A140E"/>
    <w:rsid w:val="705A7660"/>
    <w:rsid w:val="705B6F34"/>
    <w:rsid w:val="705D0EFE"/>
    <w:rsid w:val="7060279C"/>
    <w:rsid w:val="70671D7D"/>
    <w:rsid w:val="706A53C9"/>
    <w:rsid w:val="706A7177"/>
    <w:rsid w:val="706E310B"/>
    <w:rsid w:val="70732805"/>
    <w:rsid w:val="7073427E"/>
    <w:rsid w:val="707539AD"/>
    <w:rsid w:val="7075449A"/>
    <w:rsid w:val="70761FC0"/>
    <w:rsid w:val="70780F5C"/>
    <w:rsid w:val="707A1AB0"/>
    <w:rsid w:val="707B1384"/>
    <w:rsid w:val="707D334E"/>
    <w:rsid w:val="707F0C44"/>
    <w:rsid w:val="707F0F96"/>
    <w:rsid w:val="707F2C23"/>
    <w:rsid w:val="707F70C6"/>
    <w:rsid w:val="7084648B"/>
    <w:rsid w:val="70853FB1"/>
    <w:rsid w:val="708A15C7"/>
    <w:rsid w:val="708C533F"/>
    <w:rsid w:val="70910BA8"/>
    <w:rsid w:val="70991987"/>
    <w:rsid w:val="709D579F"/>
    <w:rsid w:val="70A1528F"/>
    <w:rsid w:val="70A64653"/>
    <w:rsid w:val="70A72179"/>
    <w:rsid w:val="70AB7EBB"/>
    <w:rsid w:val="70AC59E2"/>
    <w:rsid w:val="70B054D2"/>
    <w:rsid w:val="70B2124A"/>
    <w:rsid w:val="70BD199D"/>
    <w:rsid w:val="70C40F7D"/>
    <w:rsid w:val="70C745CA"/>
    <w:rsid w:val="70C76378"/>
    <w:rsid w:val="70C90342"/>
    <w:rsid w:val="70C920F0"/>
    <w:rsid w:val="70CC1BE0"/>
    <w:rsid w:val="70CD6084"/>
    <w:rsid w:val="70CD7E32"/>
    <w:rsid w:val="70D25448"/>
    <w:rsid w:val="70D30D13"/>
    <w:rsid w:val="70D34D1C"/>
    <w:rsid w:val="70D54F38"/>
    <w:rsid w:val="70D62B40"/>
    <w:rsid w:val="70D77260"/>
    <w:rsid w:val="70D94A29"/>
    <w:rsid w:val="70DC0075"/>
    <w:rsid w:val="70DC62C7"/>
    <w:rsid w:val="70DE203F"/>
    <w:rsid w:val="70DF5DB7"/>
    <w:rsid w:val="70E1568B"/>
    <w:rsid w:val="70E37655"/>
    <w:rsid w:val="70EB02B8"/>
    <w:rsid w:val="70EB475C"/>
    <w:rsid w:val="70EC5DDE"/>
    <w:rsid w:val="70ED4030"/>
    <w:rsid w:val="70F27898"/>
    <w:rsid w:val="70F353BF"/>
    <w:rsid w:val="70F56282"/>
    <w:rsid w:val="70F73101"/>
    <w:rsid w:val="70FA3AC5"/>
    <w:rsid w:val="70FA499F"/>
    <w:rsid w:val="70FC4273"/>
    <w:rsid w:val="70FF3D63"/>
    <w:rsid w:val="71015D2D"/>
    <w:rsid w:val="71037E52"/>
    <w:rsid w:val="71097952"/>
    <w:rsid w:val="710B095A"/>
    <w:rsid w:val="71117E32"/>
    <w:rsid w:val="71123A97"/>
    <w:rsid w:val="71155195"/>
    <w:rsid w:val="71184E25"/>
    <w:rsid w:val="71186BD3"/>
    <w:rsid w:val="711E068D"/>
    <w:rsid w:val="711F4406"/>
    <w:rsid w:val="711F5FB5"/>
    <w:rsid w:val="7121017E"/>
    <w:rsid w:val="71241A1C"/>
    <w:rsid w:val="712612F0"/>
    <w:rsid w:val="71267542"/>
    <w:rsid w:val="712B2DAA"/>
    <w:rsid w:val="712E63F7"/>
    <w:rsid w:val="713003C1"/>
    <w:rsid w:val="71341C5F"/>
    <w:rsid w:val="7137174F"/>
    <w:rsid w:val="71376F72"/>
    <w:rsid w:val="713F23B2"/>
    <w:rsid w:val="713F3E59"/>
    <w:rsid w:val="7143236C"/>
    <w:rsid w:val="714326B4"/>
    <w:rsid w:val="71463740"/>
    <w:rsid w:val="714F4CEB"/>
    <w:rsid w:val="715160D6"/>
    <w:rsid w:val="71557E27"/>
    <w:rsid w:val="715C11B6"/>
    <w:rsid w:val="716167CC"/>
    <w:rsid w:val="71662034"/>
    <w:rsid w:val="71666546"/>
    <w:rsid w:val="71722787"/>
    <w:rsid w:val="71724535"/>
    <w:rsid w:val="717464FF"/>
    <w:rsid w:val="71755DD4"/>
    <w:rsid w:val="717604C9"/>
    <w:rsid w:val="71791D68"/>
    <w:rsid w:val="717B5AE0"/>
    <w:rsid w:val="717C1858"/>
    <w:rsid w:val="71810C1C"/>
    <w:rsid w:val="71834994"/>
    <w:rsid w:val="71866233"/>
    <w:rsid w:val="71873935"/>
    <w:rsid w:val="718A5D23"/>
    <w:rsid w:val="71922E29"/>
    <w:rsid w:val="71940098"/>
    <w:rsid w:val="719426FE"/>
    <w:rsid w:val="71973F9C"/>
    <w:rsid w:val="719E357C"/>
    <w:rsid w:val="71A16BC9"/>
    <w:rsid w:val="71AA2CF2"/>
    <w:rsid w:val="71AF7537"/>
    <w:rsid w:val="71B0505E"/>
    <w:rsid w:val="71B2150C"/>
    <w:rsid w:val="71B72890"/>
    <w:rsid w:val="71B763EC"/>
    <w:rsid w:val="71B903B6"/>
    <w:rsid w:val="71BB412E"/>
    <w:rsid w:val="71BC5C48"/>
    <w:rsid w:val="71BE0EB7"/>
    <w:rsid w:val="71BE59CD"/>
    <w:rsid w:val="71C034F3"/>
    <w:rsid w:val="71C54FAD"/>
    <w:rsid w:val="71CD20B4"/>
    <w:rsid w:val="71D60F68"/>
    <w:rsid w:val="71D657B6"/>
    <w:rsid w:val="71D90A58"/>
    <w:rsid w:val="71DC44F1"/>
    <w:rsid w:val="71EF5B86"/>
    <w:rsid w:val="71F43E08"/>
    <w:rsid w:val="71F96A05"/>
    <w:rsid w:val="71FB452B"/>
    <w:rsid w:val="72021B5A"/>
    <w:rsid w:val="72023B0B"/>
    <w:rsid w:val="72035AD5"/>
    <w:rsid w:val="720C498A"/>
    <w:rsid w:val="720F72CF"/>
    <w:rsid w:val="72147726"/>
    <w:rsid w:val="72161EFC"/>
    <w:rsid w:val="72181581"/>
    <w:rsid w:val="722417A6"/>
    <w:rsid w:val="722515A8"/>
    <w:rsid w:val="72264B69"/>
    <w:rsid w:val="7229553C"/>
    <w:rsid w:val="722F0678"/>
    <w:rsid w:val="72343EE1"/>
    <w:rsid w:val="72350776"/>
    <w:rsid w:val="723839D1"/>
    <w:rsid w:val="723932A5"/>
    <w:rsid w:val="723F6B0D"/>
    <w:rsid w:val="724059FD"/>
    <w:rsid w:val="72435ED2"/>
    <w:rsid w:val="72444124"/>
    <w:rsid w:val="72466245"/>
    <w:rsid w:val="724834E8"/>
    <w:rsid w:val="724F0D1A"/>
    <w:rsid w:val="72534367"/>
    <w:rsid w:val="72563E57"/>
    <w:rsid w:val="725B76BF"/>
    <w:rsid w:val="725D6F93"/>
    <w:rsid w:val="725F149A"/>
    <w:rsid w:val="72606A84"/>
    <w:rsid w:val="72616F8F"/>
    <w:rsid w:val="7267574E"/>
    <w:rsid w:val="72676064"/>
    <w:rsid w:val="726C5429"/>
    <w:rsid w:val="727442DD"/>
    <w:rsid w:val="7275252F"/>
    <w:rsid w:val="727662A7"/>
    <w:rsid w:val="727D3192"/>
    <w:rsid w:val="727D5888"/>
    <w:rsid w:val="727F515C"/>
    <w:rsid w:val="728C1627"/>
    <w:rsid w:val="728C7879"/>
    <w:rsid w:val="728D396E"/>
    <w:rsid w:val="728E1843"/>
    <w:rsid w:val="728F14BC"/>
    <w:rsid w:val="729130E1"/>
    <w:rsid w:val="72914E8F"/>
    <w:rsid w:val="7294672D"/>
    <w:rsid w:val="72964253"/>
    <w:rsid w:val="7298446F"/>
    <w:rsid w:val="729A51A4"/>
    <w:rsid w:val="729D1A86"/>
    <w:rsid w:val="729F135A"/>
    <w:rsid w:val="729F57FE"/>
    <w:rsid w:val="72A050D2"/>
    <w:rsid w:val="72A2709C"/>
    <w:rsid w:val="72A34726"/>
    <w:rsid w:val="72A66B8C"/>
    <w:rsid w:val="72A72A4C"/>
    <w:rsid w:val="72B34E05"/>
    <w:rsid w:val="72B55021"/>
    <w:rsid w:val="72B8241C"/>
    <w:rsid w:val="72BD5C84"/>
    <w:rsid w:val="72C15774"/>
    <w:rsid w:val="72C214EC"/>
    <w:rsid w:val="72C45265"/>
    <w:rsid w:val="72C47013"/>
    <w:rsid w:val="72C54B39"/>
    <w:rsid w:val="72C76B03"/>
    <w:rsid w:val="72D8486C"/>
    <w:rsid w:val="72D94F98"/>
    <w:rsid w:val="72DA6836"/>
    <w:rsid w:val="72DD1E82"/>
    <w:rsid w:val="72E2393D"/>
    <w:rsid w:val="72E503E5"/>
    <w:rsid w:val="72E70F53"/>
    <w:rsid w:val="72E74AAF"/>
    <w:rsid w:val="72F773E8"/>
    <w:rsid w:val="72F83160"/>
    <w:rsid w:val="72FF004B"/>
    <w:rsid w:val="730A485F"/>
    <w:rsid w:val="73104006"/>
    <w:rsid w:val="73133AF6"/>
    <w:rsid w:val="73136EB1"/>
    <w:rsid w:val="73137F9A"/>
    <w:rsid w:val="7318735E"/>
    <w:rsid w:val="731E38AE"/>
    <w:rsid w:val="73245D03"/>
    <w:rsid w:val="732C6966"/>
    <w:rsid w:val="733028FA"/>
    <w:rsid w:val="73334198"/>
    <w:rsid w:val="733359A5"/>
    <w:rsid w:val="73351CBE"/>
    <w:rsid w:val="73373C88"/>
    <w:rsid w:val="73375A36"/>
    <w:rsid w:val="7338355D"/>
    <w:rsid w:val="733A72D5"/>
    <w:rsid w:val="733F6699"/>
    <w:rsid w:val="73440153"/>
    <w:rsid w:val="734A070C"/>
    <w:rsid w:val="734C0DB6"/>
    <w:rsid w:val="7352575D"/>
    <w:rsid w:val="73540723"/>
    <w:rsid w:val="7355410F"/>
    <w:rsid w:val="7358775B"/>
    <w:rsid w:val="735E7467"/>
    <w:rsid w:val="735F4F8D"/>
    <w:rsid w:val="73634A7D"/>
    <w:rsid w:val="73661E78"/>
    <w:rsid w:val="73681161"/>
    <w:rsid w:val="73682094"/>
    <w:rsid w:val="736B1B84"/>
    <w:rsid w:val="736E51D0"/>
    <w:rsid w:val="73734595"/>
    <w:rsid w:val="737722D7"/>
    <w:rsid w:val="73797DFD"/>
    <w:rsid w:val="737C78ED"/>
    <w:rsid w:val="737E18B7"/>
    <w:rsid w:val="73840550"/>
    <w:rsid w:val="738D272C"/>
    <w:rsid w:val="738D2E91"/>
    <w:rsid w:val="73974727"/>
    <w:rsid w:val="7399224D"/>
    <w:rsid w:val="73A27639"/>
    <w:rsid w:val="73A3438C"/>
    <w:rsid w:val="73A40BF2"/>
    <w:rsid w:val="73A806E2"/>
    <w:rsid w:val="73B70925"/>
    <w:rsid w:val="73B9644B"/>
    <w:rsid w:val="73BB6668"/>
    <w:rsid w:val="73BF77DA"/>
    <w:rsid w:val="73C03C7E"/>
    <w:rsid w:val="73C05A2C"/>
    <w:rsid w:val="73C117A4"/>
    <w:rsid w:val="73C31078"/>
    <w:rsid w:val="73C372CA"/>
    <w:rsid w:val="73C92407"/>
    <w:rsid w:val="73CD19B2"/>
    <w:rsid w:val="73CD1EF7"/>
    <w:rsid w:val="73CF5C6F"/>
    <w:rsid w:val="73D019E7"/>
    <w:rsid w:val="73D70FC8"/>
    <w:rsid w:val="73D94D40"/>
    <w:rsid w:val="73DE4104"/>
    <w:rsid w:val="73DE5EB2"/>
    <w:rsid w:val="73E07E7C"/>
    <w:rsid w:val="73E3796C"/>
    <w:rsid w:val="73EA36E9"/>
    <w:rsid w:val="73EF00BF"/>
    <w:rsid w:val="73EF4563"/>
    <w:rsid w:val="73F12089"/>
    <w:rsid w:val="73F41B79"/>
    <w:rsid w:val="73F73418"/>
    <w:rsid w:val="73FF07E0"/>
    <w:rsid w:val="73FF20E3"/>
    <w:rsid w:val="74026044"/>
    <w:rsid w:val="74033B6B"/>
    <w:rsid w:val="74035919"/>
    <w:rsid w:val="74036125"/>
    <w:rsid w:val="74082F2F"/>
    <w:rsid w:val="74092D22"/>
    <w:rsid w:val="740A4EF9"/>
    <w:rsid w:val="740A6CA7"/>
    <w:rsid w:val="7416564C"/>
    <w:rsid w:val="741C69DA"/>
    <w:rsid w:val="74220495"/>
    <w:rsid w:val="74242F19"/>
    <w:rsid w:val="74283538"/>
    <w:rsid w:val="742F4960"/>
    <w:rsid w:val="743326A2"/>
    <w:rsid w:val="74365CEE"/>
    <w:rsid w:val="7439203D"/>
    <w:rsid w:val="743957DE"/>
    <w:rsid w:val="743E4BA3"/>
    <w:rsid w:val="744228E5"/>
    <w:rsid w:val="7443665D"/>
    <w:rsid w:val="744523D5"/>
    <w:rsid w:val="74470D95"/>
    <w:rsid w:val="7447614D"/>
    <w:rsid w:val="74493C73"/>
    <w:rsid w:val="7456013E"/>
    <w:rsid w:val="74561EEC"/>
    <w:rsid w:val="74566390"/>
    <w:rsid w:val="74575C64"/>
    <w:rsid w:val="74582108"/>
    <w:rsid w:val="745B5755"/>
    <w:rsid w:val="745B7503"/>
    <w:rsid w:val="745D327B"/>
    <w:rsid w:val="74624D35"/>
    <w:rsid w:val="7463285B"/>
    <w:rsid w:val="74634609"/>
    <w:rsid w:val="74684BCE"/>
    <w:rsid w:val="74687E72"/>
    <w:rsid w:val="746960C4"/>
    <w:rsid w:val="746B05AE"/>
    <w:rsid w:val="746C1523"/>
    <w:rsid w:val="746D7236"/>
    <w:rsid w:val="7472484C"/>
    <w:rsid w:val="74730CF0"/>
    <w:rsid w:val="7476433D"/>
    <w:rsid w:val="747B5DF7"/>
    <w:rsid w:val="74884070"/>
    <w:rsid w:val="749869A9"/>
    <w:rsid w:val="74A0585D"/>
    <w:rsid w:val="74A4534E"/>
    <w:rsid w:val="74A569D0"/>
    <w:rsid w:val="74A63459"/>
    <w:rsid w:val="74A70BD1"/>
    <w:rsid w:val="74A76BEC"/>
    <w:rsid w:val="74AB66DC"/>
    <w:rsid w:val="74AC4202"/>
    <w:rsid w:val="74B27425"/>
    <w:rsid w:val="74B35591"/>
    <w:rsid w:val="74B530B7"/>
    <w:rsid w:val="74B66E2F"/>
    <w:rsid w:val="74B72E4D"/>
    <w:rsid w:val="74B80DF9"/>
    <w:rsid w:val="74BD1D28"/>
    <w:rsid w:val="74C07CAE"/>
    <w:rsid w:val="74C50E20"/>
    <w:rsid w:val="74C74B98"/>
    <w:rsid w:val="74C94DB4"/>
    <w:rsid w:val="74CB28DA"/>
    <w:rsid w:val="74D379E1"/>
    <w:rsid w:val="74D53759"/>
    <w:rsid w:val="74DC4AE7"/>
    <w:rsid w:val="74DD43BC"/>
    <w:rsid w:val="74DD616A"/>
    <w:rsid w:val="74E10D62"/>
    <w:rsid w:val="74E33682"/>
    <w:rsid w:val="74E43336"/>
    <w:rsid w:val="74E4399C"/>
    <w:rsid w:val="74E474F8"/>
    <w:rsid w:val="74E7523A"/>
    <w:rsid w:val="74EA0887"/>
    <w:rsid w:val="74EC2851"/>
    <w:rsid w:val="74F87447"/>
    <w:rsid w:val="74FF2584"/>
    <w:rsid w:val="7501454E"/>
    <w:rsid w:val="75023E22"/>
    <w:rsid w:val="750B0F29"/>
    <w:rsid w:val="751D21C1"/>
    <w:rsid w:val="752913AF"/>
    <w:rsid w:val="752B7BA1"/>
    <w:rsid w:val="7530273D"/>
    <w:rsid w:val="7533222E"/>
    <w:rsid w:val="753541F8"/>
    <w:rsid w:val="75357D54"/>
    <w:rsid w:val="753649D0"/>
    <w:rsid w:val="753B7E9C"/>
    <w:rsid w:val="753C6A98"/>
    <w:rsid w:val="753D12FE"/>
    <w:rsid w:val="75463703"/>
    <w:rsid w:val="75483F2B"/>
    <w:rsid w:val="754937FF"/>
    <w:rsid w:val="754D7793"/>
    <w:rsid w:val="75510906"/>
    <w:rsid w:val="755F3023"/>
    <w:rsid w:val="756247D4"/>
    <w:rsid w:val="756248C1"/>
    <w:rsid w:val="75644ADD"/>
    <w:rsid w:val="7564688B"/>
    <w:rsid w:val="7568637B"/>
    <w:rsid w:val="75695A6E"/>
    <w:rsid w:val="756A5E7A"/>
    <w:rsid w:val="756B5E6B"/>
    <w:rsid w:val="756E14B8"/>
    <w:rsid w:val="756E5C8B"/>
    <w:rsid w:val="757271FA"/>
    <w:rsid w:val="75754F7C"/>
    <w:rsid w:val="75774810"/>
    <w:rsid w:val="75785CD8"/>
    <w:rsid w:val="757C3BD5"/>
    <w:rsid w:val="757F1917"/>
    <w:rsid w:val="757F5473"/>
    <w:rsid w:val="75807D03"/>
    <w:rsid w:val="7581743D"/>
    <w:rsid w:val="758331B5"/>
    <w:rsid w:val="75871D25"/>
    <w:rsid w:val="758973FD"/>
    <w:rsid w:val="758C5651"/>
    <w:rsid w:val="758D4034"/>
    <w:rsid w:val="75956A44"/>
    <w:rsid w:val="759C6025"/>
    <w:rsid w:val="759F78C3"/>
    <w:rsid w:val="75A60C51"/>
    <w:rsid w:val="75A86778"/>
    <w:rsid w:val="75AB6268"/>
    <w:rsid w:val="75AC2E7B"/>
    <w:rsid w:val="75AF3FAA"/>
    <w:rsid w:val="75B21702"/>
    <w:rsid w:val="75B23A9A"/>
    <w:rsid w:val="75B415C0"/>
    <w:rsid w:val="75B570E6"/>
    <w:rsid w:val="75BE41ED"/>
    <w:rsid w:val="75BF3AC1"/>
    <w:rsid w:val="75C630A2"/>
    <w:rsid w:val="75CB4B5C"/>
    <w:rsid w:val="75CF01A8"/>
    <w:rsid w:val="75D02172"/>
    <w:rsid w:val="75D25EEA"/>
    <w:rsid w:val="75D27C98"/>
    <w:rsid w:val="75D43A11"/>
    <w:rsid w:val="75DA08FB"/>
    <w:rsid w:val="75DE03EB"/>
    <w:rsid w:val="75DF0C59"/>
    <w:rsid w:val="75E4177A"/>
    <w:rsid w:val="75E63744"/>
    <w:rsid w:val="75E83D14"/>
    <w:rsid w:val="75EA4FE2"/>
    <w:rsid w:val="75EB48B6"/>
    <w:rsid w:val="75EC710F"/>
    <w:rsid w:val="75ED4AD2"/>
    <w:rsid w:val="75EF084A"/>
    <w:rsid w:val="75F25C45"/>
    <w:rsid w:val="75F55735"/>
    <w:rsid w:val="75F75951"/>
    <w:rsid w:val="75FC1474"/>
    <w:rsid w:val="75FE0A8D"/>
    <w:rsid w:val="760106D0"/>
    <w:rsid w:val="76083291"/>
    <w:rsid w:val="76085468"/>
    <w:rsid w:val="7609384D"/>
    <w:rsid w:val="760A7B8A"/>
    <w:rsid w:val="760B6D06"/>
    <w:rsid w:val="760F1C6C"/>
    <w:rsid w:val="76143E0D"/>
    <w:rsid w:val="76171B4F"/>
    <w:rsid w:val="761E2EDE"/>
    <w:rsid w:val="761E5F4F"/>
    <w:rsid w:val="761E6A3A"/>
    <w:rsid w:val="7621477C"/>
    <w:rsid w:val="7625426C"/>
    <w:rsid w:val="762878B8"/>
    <w:rsid w:val="762D4ECF"/>
    <w:rsid w:val="762E313E"/>
    <w:rsid w:val="762F0C47"/>
    <w:rsid w:val="763224E5"/>
    <w:rsid w:val="76330A47"/>
    <w:rsid w:val="76341FDF"/>
    <w:rsid w:val="76360227"/>
    <w:rsid w:val="763B583E"/>
    <w:rsid w:val="764010A6"/>
    <w:rsid w:val="764741E2"/>
    <w:rsid w:val="76475E5A"/>
    <w:rsid w:val="764865EB"/>
    <w:rsid w:val="76487F5B"/>
    <w:rsid w:val="764C7A4B"/>
    <w:rsid w:val="764D0FCD"/>
    <w:rsid w:val="764F3097"/>
    <w:rsid w:val="76516E0F"/>
    <w:rsid w:val="7653662C"/>
    <w:rsid w:val="765661D4"/>
    <w:rsid w:val="765746AD"/>
    <w:rsid w:val="765C7562"/>
    <w:rsid w:val="765E32DA"/>
    <w:rsid w:val="76607052"/>
    <w:rsid w:val="76612DCA"/>
    <w:rsid w:val="76674745"/>
    <w:rsid w:val="76685F07"/>
    <w:rsid w:val="766C1E28"/>
    <w:rsid w:val="766F3739"/>
    <w:rsid w:val="766F7295"/>
    <w:rsid w:val="7671300D"/>
    <w:rsid w:val="767C19B2"/>
    <w:rsid w:val="767C6ABD"/>
    <w:rsid w:val="76872831"/>
    <w:rsid w:val="76876745"/>
    <w:rsid w:val="768865A9"/>
    <w:rsid w:val="768C42EB"/>
    <w:rsid w:val="768C6099"/>
    <w:rsid w:val="768D3BBF"/>
    <w:rsid w:val="769431A0"/>
    <w:rsid w:val="76944F4E"/>
    <w:rsid w:val="76946CFC"/>
    <w:rsid w:val="76984A3E"/>
    <w:rsid w:val="769D3E02"/>
    <w:rsid w:val="769F401E"/>
    <w:rsid w:val="76A21419"/>
    <w:rsid w:val="76A258BD"/>
    <w:rsid w:val="76A421E3"/>
    <w:rsid w:val="76A912F3"/>
    <w:rsid w:val="76AA4771"/>
    <w:rsid w:val="76AA651F"/>
    <w:rsid w:val="76AC04E9"/>
    <w:rsid w:val="76AE4262"/>
    <w:rsid w:val="76B04DA1"/>
    <w:rsid w:val="76B31878"/>
    <w:rsid w:val="76B33626"/>
    <w:rsid w:val="76B4739E"/>
    <w:rsid w:val="76B52A9A"/>
    <w:rsid w:val="76B73E2F"/>
    <w:rsid w:val="76B850E0"/>
    <w:rsid w:val="76BA547C"/>
    <w:rsid w:val="76BB072D"/>
    <w:rsid w:val="76BD26F7"/>
    <w:rsid w:val="76BD44A5"/>
    <w:rsid w:val="76BE27BD"/>
    <w:rsid w:val="76BF7CBB"/>
    <w:rsid w:val="76C27D0D"/>
    <w:rsid w:val="76C479BE"/>
    <w:rsid w:val="76C738D8"/>
    <w:rsid w:val="76C92E49"/>
    <w:rsid w:val="76CC293A"/>
    <w:rsid w:val="76CE4D82"/>
    <w:rsid w:val="76D417EE"/>
    <w:rsid w:val="76D4359C"/>
    <w:rsid w:val="76DD4B47"/>
    <w:rsid w:val="76E2215D"/>
    <w:rsid w:val="76E23F0B"/>
    <w:rsid w:val="76E45ED5"/>
    <w:rsid w:val="76E77774"/>
    <w:rsid w:val="76E9529A"/>
    <w:rsid w:val="76EC08E6"/>
    <w:rsid w:val="76ED6818"/>
    <w:rsid w:val="76F37EC6"/>
    <w:rsid w:val="76F46A9D"/>
    <w:rsid w:val="76FA1255"/>
    <w:rsid w:val="76FB321F"/>
    <w:rsid w:val="77057BFA"/>
    <w:rsid w:val="770B3462"/>
    <w:rsid w:val="770E2F52"/>
    <w:rsid w:val="77170059"/>
    <w:rsid w:val="77183DD1"/>
    <w:rsid w:val="771A42A0"/>
    <w:rsid w:val="772067E2"/>
    <w:rsid w:val="772269FE"/>
    <w:rsid w:val="77242776"/>
    <w:rsid w:val="772462D2"/>
    <w:rsid w:val="77252F9E"/>
    <w:rsid w:val="77274014"/>
    <w:rsid w:val="772B3B04"/>
    <w:rsid w:val="772B58B2"/>
    <w:rsid w:val="772C162A"/>
    <w:rsid w:val="7731279D"/>
    <w:rsid w:val="77324E93"/>
    <w:rsid w:val="773504DF"/>
    <w:rsid w:val="7735228D"/>
    <w:rsid w:val="77366005"/>
    <w:rsid w:val="77366850"/>
    <w:rsid w:val="77383B2B"/>
    <w:rsid w:val="773A5AF5"/>
    <w:rsid w:val="773B361B"/>
    <w:rsid w:val="773C186D"/>
    <w:rsid w:val="774050A4"/>
    <w:rsid w:val="77416E84"/>
    <w:rsid w:val="77440722"/>
    <w:rsid w:val="77456248"/>
    <w:rsid w:val="774A0D27"/>
    <w:rsid w:val="774A487C"/>
    <w:rsid w:val="774B1AB0"/>
    <w:rsid w:val="774C5829"/>
    <w:rsid w:val="77505319"/>
    <w:rsid w:val="775070C7"/>
    <w:rsid w:val="77550B81"/>
    <w:rsid w:val="7755292F"/>
    <w:rsid w:val="775A6197"/>
    <w:rsid w:val="775D17E4"/>
    <w:rsid w:val="776668EA"/>
    <w:rsid w:val="776808B4"/>
    <w:rsid w:val="776963DA"/>
    <w:rsid w:val="776B3F01"/>
    <w:rsid w:val="776B5CAF"/>
    <w:rsid w:val="776D3408"/>
    <w:rsid w:val="776D5ECB"/>
    <w:rsid w:val="776E1C43"/>
    <w:rsid w:val="77701517"/>
    <w:rsid w:val="77707769"/>
    <w:rsid w:val="7771278D"/>
    <w:rsid w:val="7772528F"/>
    <w:rsid w:val="77764653"/>
    <w:rsid w:val="777B4F84"/>
    <w:rsid w:val="777C7EBC"/>
    <w:rsid w:val="777D1E86"/>
    <w:rsid w:val="77866F8C"/>
    <w:rsid w:val="778B45A3"/>
    <w:rsid w:val="778E4093"/>
    <w:rsid w:val="77901BB9"/>
    <w:rsid w:val="77950F7E"/>
    <w:rsid w:val="77974CF6"/>
    <w:rsid w:val="77976AA4"/>
    <w:rsid w:val="77980A6E"/>
    <w:rsid w:val="779A30DE"/>
    <w:rsid w:val="779C3CC8"/>
    <w:rsid w:val="779D7E32"/>
    <w:rsid w:val="779E42D6"/>
    <w:rsid w:val="77A15B74"/>
    <w:rsid w:val="77A411C1"/>
    <w:rsid w:val="77AC54F3"/>
    <w:rsid w:val="77B16794"/>
    <w:rsid w:val="77BD2282"/>
    <w:rsid w:val="77BE04D4"/>
    <w:rsid w:val="77C16217"/>
    <w:rsid w:val="77C17FC5"/>
    <w:rsid w:val="77C268AB"/>
    <w:rsid w:val="77C60717"/>
    <w:rsid w:val="77C655DB"/>
    <w:rsid w:val="77C74EAF"/>
    <w:rsid w:val="77CB2BF1"/>
    <w:rsid w:val="77D25D2E"/>
    <w:rsid w:val="77D47CF8"/>
    <w:rsid w:val="77D73344"/>
    <w:rsid w:val="77DC4DFE"/>
    <w:rsid w:val="77DE2925"/>
    <w:rsid w:val="77DE46D3"/>
    <w:rsid w:val="77E12415"/>
    <w:rsid w:val="77E13575"/>
    <w:rsid w:val="77E257F6"/>
    <w:rsid w:val="77E441F4"/>
    <w:rsid w:val="77E522C1"/>
    <w:rsid w:val="77ED0DBA"/>
    <w:rsid w:val="77EF68E0"/>
    <w:rsid w:val="77F04406"/>
    <w:rsid w:val="77F425A8"/>
    <w:rsid w:val="77F466BE"/>
    <w:rsid w:val="77F56C90"/>
    <w:rsid w:val="77F75794"/>
    <w:rsid w:val="77FC724F"/>
    <w:rsid w:val="77FE411D"/>
    <w:rsid w:val="78005F3B"/>
    <w:rsid w:val="780103C1"/>
    <w:rsid w:val="780600CD"/>
    <w:rsid w:val="78063C29"/>
    <w:rsid w:val="78097E81"/>
    <w:rsid w:val="780F0D30"/>
    <w:rsid w:val="780F5AA2"/>
    <w:rsid w:val="78146FC1"/>
    <w:rsid w:val="78210A63"/>
    <w:rsid w:val="782337CD"/>
    <w:rsid w:val="782567A5"/>
    <w:rsid w:val="782A5B6A"/>
    <w:rsid w:val="782C7B34"/>
    <w:rsid w:val="78360943"/>
    <w:rsid w:val="78395DAD"/>
    <w:rsid w:val="783E1615"/>
    <w:rsid w:val="7840713B"/>
    <w:rsid w:val="78412EB3"/>
    <w:rsid w:val="78414C61"/>
    <w:rsid w:val="78470A27"/>
    <w:rsid w:val="78482494"/>
    <w:rsid w:val="784847E6"/>
    <w:rsid w:val="784E74CE"/>
    <w:rsid w:val="785250C1"/>
    <w:rsid w:val="7855070D"/>
    <w:rsid w:val="78584264"/>
    <w:rsid w:val="785B21C7"/>
    <w:rsid w:val="785B5D23"/>
    <w:rsid w:val="785D1817"/>
    <w:rsid w:val="785E5212"/>
    <w:rsid w:val="785E70D3"/>
    <w:rsid w:val="78650950"/>
    <w:rsid w:val="786B4EAB"/>
    <w:rsid w:val="786C6182"/>
    <w:rsid w:val="786F17CF"/>
    <w:rsid w:val="78713799"/>
    <w:rsid w:val="78715547"/>
    <w:rsid w:val="78734760"/>
    <w:rsid w:val="78745037"/>
    <w:rsid w:val="78767001"/>
    <w:rsid w:val="78774B27"/>
    <w:rsid w:val="787768D5"/>
    <w:rsid w:val="787B4617"/>
    <w:rsid w:val="78811502"/>
    <w:rsid w:val="78850FF2"/>
    <w:rsid w:val="78882890"/>
    <w:rsid w:val="78886D34"/>
    <w:rsid w:val="788A6608"/>
    <w:rsid w:val="788E0646"/>
    <w:rsid w:val="789456D9"/>
    <w:rsid w:val="78986F77"/>
    <w:rsid w:val="7899684C"/>
    <w:rsid w:val="789B6A68"/>
    <w:rsid w:val="789C6D54"/>
    <w:rsid w:val="789D27E0"/>
    <w:rsid w:val="789E0306"/>
    <w:rsid w:val="789E20B4"/>
    <w:rsid w:val="78A05E2C"/>
    <w:rsid w:val="78A21BA4"/>
    <w:rsid w:val="78A7612D"/>
    <w:rsid w:val="78AE0F69"/>
    <w:rsid w:val="78B83176"/>
    <w:rsid w:val="78BC60CB"/>
    <w:rsid w:val="78BD53BB"/>
    <w:rsid w:val="78C0202A"/>
    <w:rsid w:val="78C22246"/>
    <w:rsid w:val="78C23FF4"/>
    <w:rsid w:val="78C31B1A"/>
    <w:rsid w:val="78C53AE4"/>
    <w:rsid w:val="78C80EDF"/>
    <w:rsid w:val="78C95383"/>
    <w:rsid w:val="78CD2730"/>
    <w:rsid w:val="78CE5AD8"/>
    <w:rsid w:val="78CF3981"/>
    <w:rsid w:val="78D15FE5"/>
    <w:rsid w:val="78D635FC"/>
    <w:rsid w:val="78DD0127"/>
    <w:rsid w:val="78E0091E"/>
    <w:rsid w:val="78E1137D"/>
    <w:rsid w:val="78E21FA1"/>
    <w:rsid w:val="78E26444"/>
    <w:rsid w:val="78F16688"/>
    <w:rsid w:val="78F65A4C"/>
    <w:rsid w:val="78F72F6D"/>
    <w:rsid w:val="78F85C68"/>
    <w:rsid w:val="78F86174"/>
    <w:rsid w:val="78FA19E0"/>
    <w:rsid w:val="79041559"/>
    <w:rsid w:val="79062AD2"/>
    <w:rsid w:val="79075EAB"/>
    <w:rsid w:val="790970F9"/>
    <w:rsid w:val="790A14F7"/>
    <w:rsid w:val="790C1713"/>
    <w:rsid w:val="790E7239"/>
    <w:rsid w:val="791130F5"/>
    <w:rsid w:val="79170BCE"/>
    <w:rsid w:val="79254583"/>
    <w:rsid w:val="79270F41"/>
    <w:rsid w:val="79273E57"/>
    <w:rsid w:val="792A1EBF"/>
    <w:rsid w:val="792C3B64"/>
    <w:rsid w:val="792F0F5E"/>
    <w:rsid w:val="793842B6"/>
    <w:rsid w:val="793A1DDD"/>
    <w:rsid w:val="793A6280"/>
    <w:rsid w:val="793B5B55"/>
    <w:rsid w:val="793F73F3"/>
    <w:rsid w:val="79440EAD"/>
    <w:rsid w:val="79442E11"/>
    <w:rsid w:val="79450781"/>
    <w:rsid w:val="794744F9"/>
    <w:rsid w:val="794C38BE"/>
    <w:rsid w:val="794C5FB4"/>
    <w:rsid w:val="79516FD2"/>
    <w:rsid w:val="7953058E"/>
    <w:rsid w:val="795814B0"/>
    <w:rsid w:val="795F5CE7"/>
    <w:rsid w:val="796055BB"/>
    <w:rsid w:val="796515CB"/>
    <w:rsid w:val="796B468C"/>
    <w:rsid w:val="796C18EC"/>
    <w:rsid w:val="797177C8"/>
    <w:rsid w:val="797B6E79"/>
    <w:rsid w:val="79815C5D"/>
    <w:rsid w:val="798474FC"/>
    <w:rsid w:val="79863274"/>
    <w:rsid w:val="798B6ADC"/>
    <w:rsid w:val="79927E6B"/>
    <w:rsid w:val="7997722F"/>
    <w:rsid w:val="799A287B"/>
    <w:rsid w:val="799D05BD"/>
    <w:rsid w:val="79A100AE"/>
    <w:rsid w:val="79A1463D"/>
    <w:rsid w:val="79A33E26"/>
    <w:rsid w:val="79AB21D0"/>
    <w:rsid w:val="79AD6A52"/>
    <w:rsid w:val="79AF012D"/>
    <w:rsid w:val="79B17BC5"/>
    <w:rsid w:val="79B24069"/>
    <w:rsid w:val="79B37DE1"/>
    <w:rsid w:val="79B7342D"/>
    <w:rsid w:val="79BD47BC"/>
    <w:rsid w:val="79BD656A"/>
    <w:rsid w:val="79BF0534"/>
    <w:rsid w:val="79C43D9C"/>
    <w:rsid w:val="79C639C5"/>
    <w:rsid w:val="79CA6C00"/>
    <w:rsid w:val="79D02741"/>
    <w:rsid w:val="79D044EF"/>
    <w:rsid w:val="79D264B9"/>
    <w:rsid w:val="79D833A4"/>
    <w:rsid w:val="79D96796"/>
    <w:rsid w:val="79E93803"/>
    <w:rsid w:val="79F04B91"/>
    <w:rsid w:val="79F20909"/>
    <w:rsid w:val="79F226B7"/>
    <w:rsid w:val="79F521A7"/>
    <w:rsid w:val="79FC1788"/>
    <w:rsid w:val="79FE72AE"/>
    <w:rsid w:val="7A044199"/>
    <w:rsid w:val="7A066163"/>
    <w:rsid w:val="7A084114"/>
    <w:rsid w:val="7A0D5743"/>
    <w:rsid w:val="7A106FE1"/>
    <w:rsid w:val="7A124B07"/>
    <w:rsid w:val="7A17211E"/>
    <w:rsid w:val="7A1E34AC"/>
    <w:rsid w:val="7A1F0FD2"/>
    <w:rsid w:val="7A252A8D"/>
    <w:rsid w:val="7A2800DC"/>
    <w:rsid w:val="7A320D06"/>
    <w:rsid w:val="7A3251AA"/>
    <w:rsid w:val="7A326F58"/>
    <w:rsid w:val="7A385657"/>
    <w:rsid w:val="7A3945A5"/>
    <w:rsid w:val="7A434CC1"/>
    <w:rsid w:val="7A440A39"/>
    <w:rsid w:val="7A460C55"/>
    <w:rsid w:val="7A4E3666"/>
    <w:rsid w:val="7A5055CB"/>
    <w:rsid w:val="7A505630"/>
    <w:rsid w:val="7A5073DE"/>
    <w:rsid w:val="7A5769BE"/>
    <w:rsid w:val="7A5E1AFB"/>
    <w:rsid w:val="7A5E7D4D"/>
    <w:rsid w:val="7A601D17"/>
    <w:rsid w:val="7A652E89"/>
    <w:rsid w:val="7A65732D"/>
    <w:rsid w:val="7A666D34"/>
    <w:rsid w:val="7A67238C"/>
    <w:rsid w:val="7A684727"/>
    <w:rsid w:val="7A6D1D3E"/>
    <w:rsid w:val="7A6D76D4"/>
    <w:rsid w:val="7A715CD2"/>
    <w:rsid w:val="7A7237F8"/>
    <w:rsid w:val="7A7632E8"/>
    <w:rsid w:val="7A8012C4"/>
    <w:rsid w:val="7A810C91"/>
    <w:rsid w:val="7A811C8D"/>
    <w:rsid w:val="7A8157E9"/>
    <w:rsid w:val="7A85352B"/>
    <w:rsid w:val="7A862E00"/>
    <w:rsid w:val="7A8A28F0"/>
    <w:rsid w:val="7A8B6668"/>
    <w:rsid w:val="7A8D64C2"/>
    <w:rsid w:val="7A902A2C"/>
    <w:rsid w:val="7A9279F6"/>
    <w:rsid w:val="7A94376E"/>
    <w:rsid w:val="7A94551C"/>
    <w:rsid w:val="7A9B05BD"/>
    <w:rsid w:val="7A9D4E2F"/>
    <w:rsid w:val="7AA02113"/>
    <w:rsid w:val="7AA03EC1"/>
    <w:rsid w:val="7AA17C39"/>
    <w:rsid w:val="7AA339B1"/>
    <w:rsid w:val="7AA8546C"/>
    <w:rsid w:val="7AAB2866"/>
    <w:rsid w:val="7AAF67FA"/>
    <w:rsid w:val="7AB83901"/>
    <w:rsid w:val="7ABD0F17"/>
    <w:rsid w:val="7ABE2599"/>
    <w:rsid w:val="7AC35E02"/>
    <w:rsid w:val="7AC53928"/>
    <w:rsid w:val="7AC5601E"/>
    <w:rsid w:val="7ACF29F8"/>
    <w:rsid w:val="7AD324E9"/>
    <w:rsid w:val="7AD87AFF"/>
    <w:rsid w:val="7AD973D3"/>
    <w:rsid w:val="7ADD5115"/>
    <w:rsid w:val="7ADE0E8D"/>
    <w:rsid w:val="7ADE49EA"/>
    <w:rsid w:val="7AE069B4"/>
    <w:rsid w:val="7AE55D78"/>
    <w:rsid w:val="7AE85868"/>
    <w:rsid w:val="7AE87FB7"/>
    <w:rsid w:val="7AEA7759"/>
    <w:rsid w:val="7AEB0A8D"/>
    <w:rsid w:val="7AEC5358"/>
    <w:rsid w:val="7AF1296F"/>
    <w:rsid w:val="7AF1471D"/>
    <w:rsid w:val="7AF16E13"/>
    <w:rsid w:val="7AF4420D"/>
    <w:rsid w:val="7AFD7566"/>
    <w:rsid w:val="7AFE32DE"/>
    <w:rsid w:val="7B0224B1"/>
    <w:rsid w:val="7B0568FD"/>
    <w:rsid w:val="7B072192"/>
    <w:rsid w:val="7B073F40"/>
    <w:rsid w:val="7B09527D"/>
    <w:rsid w:val="7B0C1557"/>
    <w:rsid w:val="7B0E3521"/>
    <w:rsid w:val="7B116B6D"/>
    <w:rsid w:val="7B136D89"/>
    <w:rsid w:val="7B14665D"/>
    <w:rsid w:val="7B1D19B6"/>
    <w:rsid w:val="7B1D5512"/>
    <w:rsid w:val="7B2014A6"/>
    <w:rsid w:val="7B203254"/>
    <w:rsid w:val="7B2160D5"/>
    <w:rsid w:val="7B252618"/>
    <w:rsid w:val="7B276391"/>
    <w:rsid w:val="7B2965AD"/>
    <w:rsid w:val="7B2B218F"/>
    <w:rsid w:val="7B2F16E9"/>
    <w:rsid w:val="7B2F430E"/>
    <w:rsid w:val="7B310FBD"/>
    <w:rsid w:val="7B31720F"/>
    <w:rsid w:val="7B36052E"/>
    <w:rsid w:val="7B3867F0"/>
    <w:rsid w:val="7B3B184D"/>
    <w:rsid w:val="7B3D3E06"/>
    <w:rsid w:val="7B3D5BB4"/>
    <w:rsid w:val="7B4119B6"/>
    <w:rsid w:val="7B477DF0"/>
    <w:rsid w:val="7B4A3BA0"/>
    <w:rsid w:val="7B4B39B9"/>
    <w:rsid w:val="7B4C229B"/>
    <w:rsid w:val="7B4D593B"/>
    <w:rsid w:val="7B4E4CF6"/>
    <w:rsid w:val="7B580D75"/>
    <w:rsid w:val="7B597D37"/>
    <w:rsid w:val="7B5A1BAF"/>
    <w:rsid w:val="7B5A49B8"/>
    <w:rsid w:val="7B5B24DE"/>
    <w:rsid w:val="7B5B603A"/>
    <w:rsid w:val="7B643141"/>
    <w:rsid w:val="7B670E83"/>
    <w:rsid w:val="7B690757"/>
    <w:rsid w:val="7B7315D6"/>
    <w:rsid w:val="7B7B048A"/>
    <w:rsid w:val="7B7D06A6"/>
    <w:rsid w:val="7B7D4202"/>
    <w:rsid w:val="7B7F441F"/>
    <w:rsid w:val="7B821819"/>
    <w:rsid w:val="7B8320E7"/>
    <w:rsid w:val="7B886713"/>
    <w:rsid w:val="7B89704B"/>
    <w:rsid w:val="7B8B2DC3"/>
    <w:rsid w:val="7B902188"/>
    <w:rsid w:val="7B931C78"/>
    <w:rsid w:val="7B937AAC"/>
    <w:rsid w:val="7B95154C"/>
    <w:rsid w:val="7B9854E0"/>
    <w:rsid w:val="7B9B0B2D"/>
    <w:rsid w:val="7B9D6653"/>
    <w:rsid w:val="7B9F686F"/>
    <w:rsid w:val="7BA13E26"/>
    <w:rsid w:val="7BA23C69"/>
    <w:rsid w:val="7BA45C33"/>
    <w:rsid w:val="7BA85CFD"/>
    <w:rsid w:val="7BAB0D70"/>
    <w:rsid w:val="7BAE260E"/>
    <w:rsid w:val="7BAE6AB2"/>
    <w:rsid w:val="7BB06386"/>
    <w:rsid w:val="7BB73BB8"/>
    <w:rsid w:val="7BB816DF"/>
    <w:rsid w:val="7BBD12C0"/>
    <w:rsid w:val="7BBD2838"/>
    <w:rsid w:val="7BBF481B"/>
    <w:rsid w:val="7BC462D5"/>
    <w:rsid w:val="7BC6204D"/>
    <w:rsid w:val="7BC934AC"/>
    <w:rsid w:val="7BCD6588"/>
    <w:rsid w:val="7BD06A28"/>
    <w:rsid w:val="7BD62F27"/>
    <w:rsid w:val="7BDF725C"/>
    <w:rsid w:val="7BDF78F4"/>
    <w:rsid w:val="7BE14743"/>
    <w:rsid w:val="7BE42A18"/>
    <w:rsid w:val="7BE44282"/>
    <w:rsid w:val="7BE6624C"/>
    <w:rsid w:val="7BE7404C"/>
    <w:rsid w:val="7BEB1AB4"/>
    <w:rsid w:val="7BEE3352"/>
    <w:rsid w:val="7BF70459"/>
    <w:rsid w:val="7BF91654"/>
    <w:rsid w:val="7BFA1CF7"/>
    <w:rsid w:val="7BFA5853"/>
    <w:rsid w:val="7BFC7388"/>
    <w:rsid w:val="7BFD5343"/>
    <w:rsid w:val="7C063655"/>
    <w:rsid w:val="7C0861C2"/>
    <w:rsid w:val="7C09018C"/>
    <w:rsid w:val="7C093CE8"/>
    <w:rsid w:val="7C0B5CB2"/>
    <w:rsid w:val="7C1032C9"/>
    <w:rsid w:val="7C134B67"/>
    <w:rsid w:val="7C156B31"/>
    <w:rsid w:val="7C176405"/>
    <w:rsid w:val="7C1903CF"/>
    <w:rsid w:val="7C1A5EF5"/>
    <w:rsid w:val="7C1C5D6E"/>
    <w:rsid w:val="7C1D1542"/>
    <w:rsid w:val="7C1D61AE"/>
    <w:rsid w:val="7C1E3C37"/>
    <w:rsid w:val="7C2330CA"/>
    <w:rsid w:val="7C296138"/>
    <w:rsid w:val="7C2D79D7"/>
    <w:rsid w:val="7C321B34"/>
    <w:rsid w:val="7C395B0D"/>
    <w:rsid w:val="7C3A6597"/>
    <w:rsid w:val="7C3C5E6C"/>
    <w:rsid w:val="7C473A86"/>
    <w:rsid w:val="7C492337"/>
    <w:rsid w:val="7C4D0079"/>
    <w:rsid w:val="7C5036C5"/>
    <w:rsid w:val="7C5176AA"/>
    <w:rsid w:val="7C520A0E"/>
    <w:rsid w:val="7C556F2D"/>
    <w:rsid w:val="7C570EF7"/>
    <w:rsid w:val="7C574A54"/>
    <w:rsid w:val="7C5C650E"/>
    <w:rsid w:val="7C5E2286"/>
    <w:rsid w:val="7C5F1B5A"/>
    <w:rsid w:val="7C6158D2"/>
    <w:rsid w:val="7C66113B"/>
    <w:rsid w:val="7C701FB9"/>
    <w:rsid w:val="7C741AA9"/>
    <w:rsid w:val="7C7524A0"/>
    <w:rsid w:val="7C7722FB"/>
    <w:rsid w:val="7C7750F6"/>
    <w:rsid w:val="7C7C44BA"/>
    <w:rsid w:val="7C8415C1"/>
    <w:rsid w:val="7C855A65"/>
    <w:rsid w:val="7C857813"/>
    <w:rsid w:val="7C8617DD"/>
    <w:rsid w:val="7C8A32C0"/>
    <w:rsid w:val="7C8C0B9E"/>
    <w:rsid w:val="7C8D66C7"/>
    <w:rsid w:val="7C8E41ED"/>
    <w:rsid w:val="7C8F0691"/>
    <w:rsid w:val="7C8F243F"/>
    <w:rsid w:val="7C907F65"/>
    <w:rsid w:val="7C914409"/>
    <w:rsid w:val="7C9275E1"/>
    <w:rsid w:val="7C975798"/>
    <w:rsid w:val="7C9A13EB"/>
    <w:rsid w:val="7C9C5EB4"/>
    <w:rsid w:val="7C9F63FA"/>
    <w:rsid w:val="7CA83501"/>
    <w:rsid w:val="7CAA1027"/>
    <w:rsid w:val="7CAA54CB"/>
    <w:rsid w:val="7CAA6168"/>
    <w:rsid w:val="7CAA7279"/>
    <w:rsid w:val="7CAC1243"/>
    <w:rsid w:val="7CAD4FBB"/>
    <w:rsid w:val="7CAF663E"/>
    <w:rsid w:val="7CB00608"/>
    <w:rsid w:val="7CB0213F"/>
    <w:rsid w:val="7CB2612E"/>
    <w:rsid w:val="7CB31C3F"/>
    <w:rsid w:val="7CB43C54"/>
    <w:rsid w:val="7CB579CC"/>
    <w:rsid w:val="7CB63E0B"/>
    <w:rsid w:val="7CB63E70"/>
    <w:rsid w:val="7CB71996"/>
    <w:rsid w:val="7CB73744"/>
    <w:rsid w:val="7CB77BE8"/>
    <w:rsid w:val="7CBB1486"/>
    <w:rsid w:val="7CBB1B4A"/>
    <w:rsid w:val="7CBE0F77"/>
    <w:rsid w:val="7CBE2D25"/>
    <w:rsid w:val="7CC04CEF"/>
    <w:rsid w:val="7CC16371"/>
    <w:rsid w:val="7CC55E61"/>
    <w:rsid w:val="7CC66918"/>
    <w:rsid w:val="7CC85951"/>
    <w:rsid w:val="7CCD4F2E"/>
    <w:rsid w:val="7CD12A58"/>
    <w:rsid w:val="7CD135E4"/>
    <w:rsid w:val="7CD24A22"/>
    <w:rsid w:val="7CD267D0"/>
    <w:rsid w:val="7CD75B94"/>
    <w:rsid w:val="7CDB1AFA"/>
    <w:rsid w:val="7CDC5B26"/>
    <w:rsid w:val="7CE04A49"/>
    <w:rsid w:val="7CE0713F"/>
    <w:rsid w:val="7CE107C1"/>
    <w:rsid w:val="7CE34539"/>
    <w:rsid w:val="7CE45748"/>
    <w:rsid w:val="7CE54755"/>
    <w:rsid w:val="7CE64029"/>
    <w:rsid w:val="7CE87DA1"/>
    <w:rsid w:val="7CEA3B1A"/>
    <w:rsid w:val="7CEC1640"/>
    <w:rsid w:val="7CEC5AE4"/>
    <w:rsid w:val="7CED7166"/>
    <w:rsid w:val="7CF107A6"/>
    <w:rsid w:val="7CF229CE"/>
    <w:rsid w:val="7CF404F4"/>
    <w:rsid w:val="7CF90201"/>
    <w:rsid w:val="7CF91FAF"/>
    <w:rsid w:val="7CFB1883"/>
    <w:rsid w:val="7CFE75C5"/>
    <w:rsid w:val="7D036989"/>
    <w:rsid w:val="7D052701"/>
    <w:rsid w:val="7D083FA0"/>
    <w:rsid w:val="7D0A41BC"/>
    <w:rsid w:val="7D0A7D18"/>
    <w:rsid w:val="7D0C3A90"/>
    <w:rsid w:val="7D0C78CE"/>
    <w:rsid w:val="7D0C7F34"/>
    <w:rsid w:val="7D1172F8"/>
    <w:rsid w:val="7D20753B"/>
    <w:rsid w:val="7D242BDB"/>
    <w:rsid w:val="7D252DA4"/>
    <w:rsid w:val="7D272678"/>
    <w:rsid w:val="7D2A03BA"/>
    <w:rsid w:val="7D2B7798"/>
    <w:rsid w:val="7D2C7C8E"/>
    <w:rsid w:val="7D381224"/>
    <w:rsid w:val="7D382AD7"/>
    <w:rsid w:val="7D384885"/>
    <w:rsid w:val="7D392A25"/>
    <w:rsid w:val="7D3E3E65"/>
    <w:rsid w:val="7D466512"/>
    <w:rsid w:val="7D472D1A"/>
    <w:rsid w:val="7D4F75EF"/>
    <w:rsid w:val="7D52346D"/>
    <w:rsid w:val="7D5651F5"/>
    <w:rsid w:val="7D5D42EC"/>
    <w:rsid w:val="7D603DDC"/>
    <w:rsid w:val="7D627B54"/>
    <w:rsid w:val="7D6531A0"/>
    <w:rsid w:val="7D686059"/>
    <w:rsid w:val="7D6B2EAC"/>
    <w:rsid w:val="7D6C2781"/>
    <w:rsid w:val="7D6E474B"/>
    <w:rsid w:val="7D7358BD"/>
    <w:rsid w:val="7D7B0C16"/>
    <w:rsid w:val="7D7B169E"/>
    <w:rsid w:val="7D7D04EA"/>
    <w:rsid w:val="7D7D498E"/>
    <w:rsid w:val="7D7F24B4"/>
    <w:rsid w:val="7D80622C"/>
    <w:rsid w:val="7D8230B7"/>
    <w:rsid w:val="7D871368"/>
    <w:rsid w:val="7D891584"/>
    <w:rsid w:val="7D8A2C07"/>
    <w:rsid w:val="7D8B70AB"/>
    <w:rsid w:val="7D913F95"/>
    <w:rsid w:val="7D9341B1"/>
    <w:rsid w:val="7D9615AC"/>
    <w:rsid w:val="7D9817C8"/>
    <w:rsid w:val="7D9A5540"/>
    <w:rsid w:val="7D9F2B56"/>
    <w:rsid w:val="7D9F4904"/>
    <w:rsid w:val="7DA22646"/>
    <w:rsid w:val="7DA27C62"/>
    <w:rsid w:val="7DA63EE4"/>
    <w:rsid w:val="7DA95783"/>
    <w:rsid w:val="7DB163E5"/>
    <w:rsid w:val="7DB54128"/>
    <w:rsid w:val="7DBA7990"/>
    <w:rsid w:val="7DBE565E"/>
    <w:rsid w:val="7DC4436B"/>
    <w:rsid w:val="7DC51E91"/>
    <w:rsid w:val="7DC97BD3"/>
    <w:rsid w:val="7DCC321F"/>
    <w:rsid w:val="7DD24CD9"/>
    <w:rsid w:val="7DD56578"/>
    <w:rsid w:val="7DDC7906"/>
    <w:rsid w:val="7DDF2F52"/>
    <w:rsid w:val="7DDF73F6"/>
    <w:rsid w:val="7DE22A43"/>
    <w:rsid w:val="7DE247F1"/>
    <w:rsid w:val="7DE93DD1"/>
    <w:rsid w:val="7DE9677E"/>
    <w:rsid w:val="7DEB18F7"/>
    <w:rsid w:val="7DED1B13"/>
    <w:rsid w:val="7DEF2C7F"/>
    <w:rsid w:val="7DF06F0E"/>
    <w:rsid w:val="7DF32EA2"/>
    <w:rsid w:val="7DF369FE"/>
    <w:rsid w:val="7DF764EE"/>
    <w:rsid w:val="7DF804B8"/>
    <w:rsid w:val="7DFC1D56"/>
    <w:rsid w:val="7E002EC9"/>
    <w:rsid w:val="7E01736D"/>
    <w:rsid w:val="7E040C0B"/>
    <w:rsid w:val="7E046E5D"/>
    <w:rsid w:val="7E0724A9"/>
    <w:rsid w:val="7E096221"/>
    <w:rsid w:val="7E096A7D"/>
    <w:rsid w:val="7E0D3F64"/>
    <w:rsid w:val="7E1077F2"/>
    <w:rsid w:val="7E154BC6"/>
    <w:rsid w:val="7E162A33"/>
    <w:rsid w:val="7E176B90"/>
    <w:rsid w:val="7E1C7D03"/>
    <w:rsid w:val="7E2117BD"/>
    <w:rsid w:val="7E28563A"/>
    <w:rsid w:val="7E292420"/>
    <w:rsid w:val="7E2B263C"/>
    <w:rsid w:val="7E2C3CBE"/>
    <w:rsid w:val="7E2D63B4"/>
    <w:rsid w:val="7E2E7A36"/>
    <w:rsid w:val="7E301A00"/>
    <w:rsid w:val="7E302113"/>
    <w:rsid w:val="7E310F9A"/>
    <w:rsid w:val="7E365B56"/>
    <w:rsid w:val="7E370FE0"/>
    <w:rsid w:val="7E3A63DB"/>
    <w:rsid w:val="7E3C65F7"/>
    <w:rsid w:val="7E413C0D"/>
    <w:rsid w:val="7E417769"/>
    <w:rsid w:val="7E42141E"/>
    <w:rsid w:val="7E4454AB"/>
    <w:rsid w:val="7E447259"/>
    <w:rsid w:val="7E4536F9"/>
    <w:rsid w:val="7E464D80"/>
    <w:rsid w:val="7E484F9C"/>
    <w:rsid w:val="7E4C610E"/>
    <w:rsid w:val="7E505809"/>
    <w:rsid w:val="7E53749D"/>
    <w:rsid w:val="7E551467"/>
    <w:rsid w:val="7E590F57"/>
    <w:rsid w:val="7E5971A9"/>
    <w:rsid w:val="7E5A082B"/>
    <w:rsid w:val="7E5F4093"/>
    <w:rsid w:val="7E61605D"/>
    <w:rsid w:val="7E64518C"/>
    <w:rsid w:val="7E6672C6"/>
    <w:rsid w:val="7E68119A"/>
    <w:rsid w:val="7E6B2A38"/>
    <w:rsid w:val="7E6F5FE6"/>
    <w:rsid w:val="7E730861"/>
    <w:rsid w:val="7E747B3F"/>
    <w:rsid w:val="7E7713DD"/>
    <w:rsid w:val="7E7F0292"/>
    <w:rsid w:val="7E843AFA"/>
    <w:rsid w:val="7E8B4E88"/>
    <w:rsid w:val="7E8B6C36"/>
    <w:rsid w:val="7E8C3035"/>
    <w:rsid w:val="7E9006F1"/>
    <w:rsid w:val="7E920A44"/>
    <w:rsid w:val="7E926217"/>
    <w:rsid w:val="7E9276DB"/>
    <w:rsid w:val="7E9445F5"/>
    <w:rsid w:val="7E9640E7"/>
    <w:rsid w:val="7E9755DB"/>
    <w:rsid w:val="7E9E696A"/>
    <w:rsid w:val="7EA321D2"/>
    <w:rsid w:val="7EA67F14"/>
    <w:rsid w:val="7EB0669D"/>
    <w:rsid w:val="7EB22415"/>
    <w:rsid w:val="7EB536D1"/>
    <w:rsid w:val="7EB75C7D"/>
    <w:rsid w:val="7EC860DC"/>
    <w:rsid w:val="7ECF114F"/>
    <w:rsid w:val="7ED14F91"/>
    <w:rsid w:val="7ED405DD"/>
    <w:rsid w:val="7ED4682F"/>
    <w:rsid w:val="7ED86A4B"/>
    <w:rsid w:val="7EDB5E10"/>
    <w:rsid w:val="7EDC56E4"/>
    <w:rsid w:val="7EE10F4C"/>
    <w:rsid w:val="7EE60311"/>
    <w:rsid w:val="7EE8052D"/>
    <w:rsid w:val="7EEF71C5"/>
    <w:rsid w:val="7EF02F3D"/>
    <w:rsid w:val="7EF221E3"/>
    <w:rsid w:val="7EF31D47"/>
    <w:rsid w:val="7EF70770"/>
    <w:rsid w:val="7EF90044"/>
    <w:rsid w:val="7EFB200E"/>
    <w:rsid w:val="7EFE1EC7"/>
    <w:rsid w:val="7F01339C"/>
    <w:rsid w:val="7F013C16"/>
    <w:rsid w:val="7F01514B"/>
    <w:rsid w:val="7F0215EE"/>
    <w:rsid w:val="7F054C3B"/>
    <w:rsid w:val="7F0A0724"/>
    <w:rsid w:val="7F0A2251"/>
    <w:rsid w:val="7F0A3FFF"/>
    <w:rsid w:val="7F1135E0"/>
    <w:rsid w:val="7F13151C"/>
    <w:rsid w:val="7F1C1F84"/>
    <w:rsid w:val="7F1D68E0"/>
    <w:rsid w:val="7F1E7D70"/>
    <w:rsid w:val="7F201A75"/>
    <w:rsid w:val="7F210B37"/>
    <w:rsid w:val="7F250E39"/>
    <w:rsid w:val="7F2826D7"/>
    <w:rsid w:val="7F2839F3"/>
    <w:rsid w:val="7F2F7F0A"/>
    <w:rsid w:val="7F3177DE"/>
    <w:rsid w:val="7F322168"/>
    <w:rsid w:val="7F3379FA"/>
    <w:rsid w:val="7F363046"/>
    <w:rsid w:val="7F38184C"/>
    <w:rsid w:val="7F3D2627"/>
    <w:rsid w:val="7F3D5377"/>
    <w:rsid w:val="7F4219EB"/>
    <w:rsid w:val="7F475253"/>
    <w:rsid w:val="7F482D79"/>
    <w:rsid w:val="7F4C0ABC"/>
    <w:rsid w:val="7F4D0390"/>
    <w:rsid w:val="7F511C2E"/>
    <w:rsid w:val="7F5160D2"/>
    <w:rsid w:val="7F556080"/>
    <w:rsid w:val="7F5C05D3"/>
    <w:rsid w:val="7F62204B"/>
    <w:rsid w:val="7F62208D"/>
    <w:rsid w:val="7F65392B"/>
    <w:rsid w:val="7F683F50"/>
    <w:rsid w:val="7F6F47AA"/>
    <w:rsid w:val="7F721BA4"/>
    <w:rsid w:val="7F747270"/>
    <w:rsid w:val="7F7B314F"/>
    <w:rsid w:val="7F7B4EFD"/>
    <w:rsid w:val="7F7B6CAB"/>
    <w:rsid w:val="7F7C28F4"/>
    <w:rsid w:val="7F7C5BBA"/>
    <w:rsid w:val="7F7E04DA"/>
    <w:rsid w:val="7F8244DD"/>
    <w:rsid w:val="7F871AF4"/>
    <w:rsid w:val="7F881A8E"/>
    <w:rsid w:val="7F8C710A"/>
    <w:rsid w:val="7F8E4C30"/>
    <w:rsid w:val="7F8F4030"/>
    <w:rsid w:val="7FA426A6"/>
    <w:rsid w:val="7FA6330E"/>
    <w:rsid w:val="7FA73F44"/>
    <w:rsid w:val="7FA75CF2"/>
    <w:rsid w:val="7FB55D4B"/>
    <w:rsid w:val="7FB64187"/>
    <w:rsid w:val="7FB81CAD"/>
    <w:rsid w:val="7FC543CA"/>
    <w:rsid w:val="7FC95C68"/>
    <w:rsid w:val="7FCA378E"/>
    <w:rsid w:val="7FD5285F"/>
    <w:rsid w:val="7FDB599C"/>
    <w:rsid w:val="7FDF548C"/>
    <w:rsid w:val="7FDF7F6F"/>
    <w:rsid w:val="7FE01204"/>
    <w:rsid w:val="7FE26D2A"/>
    <w:rsid w:val="7FE72592"/>
    <w:rsid w:val="7FE900B8"/>
    <w:rsid w:val="7FE93E1C"/>
    <w:rsid w:val="7FEB2083"/>
    <w:rsid w:val="7FED1E7B"/>
    <w:rsid w:val="7FF74C00"/>
    <w:rsid w:val="7FF76C79"/>
    <w:rsid w:val="7FFB603E"/>
    <w:rsid w:val="7FFF5B2E"/>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kern w:val="0"/>
      <w:sz w:val="21"/>
      <w:szCs w:val="21"/>
      <w:lang w:val="en-US" w:eastAsia="zh-CN" w:bidi="ar-SA"/>
    </w:rPr>
  </w:style>
  <w:style w:type="paragraph" w:styleId="2">
    <w:name w:val="heading 1"/>
    <w:basedOn w:val="1"/>
    <w:next w:val="1"/>
    <w:link w:val="26"/>
    <w:qFormat/>
    <w:uiPriority w:val="0"/>
    <w:pPr>
      <w:keepNext/>
      <w:keepLines/>
      <w:ind w:firstLine="880"/>
      <w:outlineLvl w:val="0"/>
    </w:pPr>
    <w:rPr>
      <w:rFonts w:eastAsia="黑体"/>
      <w:kern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99"/>
    <w:rPr>
      <w:rFonts w:eastAsia="仿宋_GB2312"/>
      <w:sz w:val="30"/>
      <w:szCs w:val="24"/>
    </w:rPr>
  </w:style>
  <w:style w:type="paragraph" w:styleId="5">
    <w:name w:val="Body Text Indent"/>
    <w:basedOn w:val="1"/>
    <w:qFormat/>
    <w:uiPriority w:val="99"/>
    <w:pPr>
      <w:spacing w:after="120"/>
      <w:ind w:left="420" w:leftChars="200"/>
    </w:pPr>
  </w:style>
  <w:style w:type="paragraph" w:styleId="6">
    <w:name w:val="Plain Text"/>
    <w:basedOn w:val="1"/>
    <w:qFormat/>
    <w:uiPriority w:val="0"/>
    <w:rPr>
      <w:rFonts w:hAnsi="Courier New" w:cs="Courier New"/>
      <w:szCs w:val="21"/>
    </w:rPr>
  </w:style>
  <w:style w:type="paragraph" w:styleId="7">
    <w:name w:val="Balloon Text"/>
    <w:basedOn w:val="1"/>
    <w:qFormat/>
    <w:uiPriority w:val="0"/>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semiHidden/>
    <w:unhideWhenUsed/>
    <w:qFormat/>
    <w:uiPriority w:val="99"/>
    <w:pPr>
      <w:snapToGrid w:val="0"/>
      <w:jc w:val="left"/>
    </w:pPr>
    <w:rPr>
      <w:sz w:val="18"/>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5"/>
    <w:qFormat/>
    <w:uiPriority w:val="99"/>
    <w:pPr>
      <w:spacing w:after="0"/>
      <w:ind w:firstLine="420" w:firstLineChars="200"/>
    </w:p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qFormat/>
    <w:uiPriority w:val="99"/>
    <w:rPr>
      <w:sz w:val="21"/>
      <w:szCs w:val="21"/>
    </w:rPr>
  </w:style>
  <w:style w:type="character" w:styleId="17">
    <w:name w:val="footnote reference"/>
    <w:basedOn w:val="15"/>
    <w:semiHidden/>
    <w:unhideWhenUsed/>
    <w:qFormat/>
    <w:uiPriority w:val="99"/>
    <w:rPr>
      <w:vertAlign w:val="superscript"/>
    </w:rPr>
  </w:style>
  <w:style w:type="character" w:customStyle="1" w:styleId="18">
    <w:name w:val="页眉 字符"/>
    <w:basedOn w:val="15"/>
    <w:link w:val="9"/>
    <w:qFormat/>
    <w:uiPriority w:val="99"/>
    <w:rPr>
      <w:rFonts w:ascii="Times New Roman" w:hAnsi="Times New Roman" w:eastAsia="宋体" w:cs="Times New Roman"/>
      <w:snapToGrid w:val="0"/>
      <w:kern w:val="0"/>
      <w:sz w:val="18"/>
      <w:szCs w:val="18"/>
    </w:rPr>
  </w:style>
  <w:style w:type="character" w:customStyle="1" w:styleId="19">
    <w:name w:val="页脚 字符"/>
    <w:basedOn w:val="15"/>
    <w:link w:val="8"/>
    <w:qFormat/>
    <w:uiPriority w:val="99"/>
    <w:rPr>
      <w:rFonts w:ascii="Times New Roman" w:hAnsi="Times New Roman" w:eastAsia="宋体" w:cs="Times New Roman"/>
      <w:snapToGrid w:val="0"/>
      <w:kern w:val="0"/>
      <w:sz w:val="18"/>
      <w:szCs w:val="18"/>
    </w:rPr>
  </w:style>
  <w:style w:type="character" w:customStyle="1" w:styleId="20">
    <w:name w:val="页脚 Char"/>
    <w:qFormat/>
    <w:uiPriority w:val="99"/>
    <w:rPr>
      <w:snapToGrid w:val="0"/>
      <w:sz w:val="18"/>
      <w:szCs w:val="18"/>
    </w:rPr>
  </w:style>
  <w:style w:type="character" w:customStyle="1" w:styleId="21">
    <w:name w:val="font41"/>
    <w:qFormat/>
    <w:uiPriority w:val="99"/>
    <w:rPr>
      <w:rFonts w:ascii="宋体" w:hAnsi="宋体" w:eastAsia="宋体"/>
      <w:color w:val="000000"/>
      <w:sz w:val="44"/>
      <w:u w:val="none"/>
    </w:rPr>
  </w:style>
  <w:style w:type="paragraph" w:customStyle="1" w:styleId="22">
    <w:name w:val="Normal"/>
    <w:basedOn w:val="1"/>
    <w:qFormat/>
    <w:uiPriority w:val="0"/>
    <w:pPr>
      <w:widowControl/>
    </w:pPr>
  </w:style>
  <w:style w:type="paragraph" w:customStyle="1" w:styleId="23">
    <w:name w:val="List Paragraph"/>
    <w:basedOn w:val="1"/>
    <w:qFormat/>
    <w:uiPriority w:val="0"/>
    <w:pPr>
      <w:adjustRightInd w:val="0"/>
      <w:spacing w:line="560" w:lineRule="exact"/>
      <w:ind w:firstLine="420" w:firstLineChars="200"/>
      <w:textAlignment w:val="baseline"/>
    </w:pPr>
    <w:rPr>
      <w:rFonts w:ascii="仿宋_GB2312" w:hAnsi="仿宋_GB2312" w:cs="宋体"/>
      <w:kern w:val="0"/>
      <w:sz w:val="32"/>
      <w:szCs w:val="32"/>
    </w:rPr>
  </w:style>
  <w:style w:type="paragraph" w:customStyle="1" w:styleId="24">
    <w:name w:val="无间隔1"/>
    <w:qFormat/>
    <w:uiPriority w:val="1"/>
    <w:pPr>
      <w:adjustRightInd w:val="0"/>
      <w:snapToGrid w:val="0"/>
    </w:pPr>
    <w:rPr>
      <w:rFonts w:ascii="Tahoma" w:hAnsi="Tahoma" w:eastAsia="宋体" w:cs="Times New Roman"/>
      <w:sz w:val="22"/>
      <w:szCs w:val="22"/>
      <w:lang w:val="en-US" w:eastAsia="zh-CN" w:bidi="ar-SA"/>
    </w:rPr>
  </w:style>
  <w:style w:type="character" w:customStyle="1" w:styleId="25">
    <w:name w:val="NormalCharacter"/>
    <w:qFormat/>
    <w:uiPriority w:val="0"/>
  </w:style>
  <w:style w:type="character" w:customStyle="1" w:styleId="26">
    <w:name w:val="标题 1 Char"/>
    <w:link w:val="2"/>
    <w:qFormat/>
    <w:uiPriority w:val="0"/>
    <w:rPr>
      <w:rFonts w:eastAsia="黑体"/>
      <w:kern w:val="44"/>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Table Text"/>
    <w:basedOn w:val="1"/>
    <w:semiHidden/>
    <w:qFormat/>
    <w:uiPriority w:val="0"/>
    <w:rPr>
      <w:rFonts w:ascii="微软雅黑" w:hAnsi="微软雅黑" w:eastAsia="微软雅黑" w:cs="微软雅黑"/>
      <w:sz w:val="13"/>
      <w:szCs w:val="13"/>
      <w:lang w:val="en-US" w:eastAsia="en-US" w:bidi="ar-SA"/>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标题3"/>
    <w:basedOn w:val="3"/>
    <w:next w:val="3"/>
    <w:qFormat/>
    <w:uiPriority w:val="0"/>
    <w:pPr>
      <w:snapToGrid w:val="0"/>
      <w:spacing w:before="0" w:after="0" w:line="600" w:lineRule="exact"/>
    </w:pPr>
    <w:rPr>
      <w:rFonts w:eastAsia="楷体_GB2312" w:asciiTheme="minorHAnsi" w:hAnsiTheme="minorHAnsi" w:cstheme="minorBidi"/>
      <w:color w:val="000000"/>
      <w:szCs w:val="30"/>
    </w:rPr>
  </w:style>
  <w:style w:type="paragraph" w:customStyle="1" w:styleId="31">
    <w:name w:val="Body Text First Indent 21"/>
    <w:basedOn w:val="1"/>
    <w:next w:val="1"/>
    <w:qFormat/>
    <w:uiPriority w:val="0"/>
    <w:pPr>
      <w:spacing w:line="600" w:lineRule="atLeast"/>
      <w:ind w:firstLine="420"/>
    </w:pPr>
    <w:rPr>
      <w:b/>
      <w:bCs/>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B7508C-005B-4836-BD4F-A7C77E46CE98}">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94</Pages>
  <Words>47525</Words>
  <Characters>48685</Characters>
  <Lines>5</Lines>
  <Paragraphs>1</Paragraphs>
  <TotalTime>7</TotalTime>
  <ScaleCrop>false</ScaleCrop>
  <LinksUpToDate>false</LinksUpToDate>
  <CharactersWithSpaces>48768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2020-12-16T11:56:00Z</dcterms:created>
  <dc:creator>综合协调组(zhxtz_fy)</dc:creator>
  <cp:lastModifiedBy>Capote</cp:lastModifiedBy>
  <cp:lastPrinted>2022-11-25T03:01:00Z</cp:lastPrinted>
  <dcterms:modified xsi:type="dcterms:W3CDTF">2024-07-15T03:03:28Z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20329882645D4CD28AE4B2AE9080B974</vt:lpwstr>
  </property>
</Properties>
</file>