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hint="default" w:ascii="Times New Roman" w:hAnsi="Times New Roman" w:eastAsia="方正小标宋简体" w:cs="Times New Roman"/>
          <w:color w:val="000000"/>
          <w:kern w:val="0"/>
          <w:sz w:val="36"/>
          <w:szCs w:val="36"/>
        </w:rPr>
      </w:pPr>
      <w:r>
        <w:rPr>
          <w:rFonts w:hint="default" w:ascii="Times New Roman" w:hAnsi="Times New Roman" w:eastAsia="方正小标宋简体" w:cs="Times New Roman"/>
          <w:color w:val="000000"/>
          <w:kern w:val="0"/>
          <w:sz w:val="36"/>
          <w:szCs w:val="36"/>
          <w:lang w:eastAsia="zh-CN"/>
        </w:rPr>
        <w:t>秦淮区统计局</w:t>
      </w:r>
      <w:r>
        <w:rPr>
          <w:rFonts w:hint="default" w:ascii="Times New Roman" w:hAnsi="Times New Roman" w:eastAsia="方正小标宋简体" w:cs="Times New Roman"/>
          <w:color w:val="000000"/>
          <w:kern w:val="0"/>
          <w:sz w:val="36"/>
          <w:szCs w:val="36"/>
        </w:rPr>
        <w:t>部门整体绩效评价报告（总报告）</w:t>
      </w:r>
    </w:p>
    <w:p>
      <w:pPr>
        <w:widowControl/>
        <w:jc w:val="center"/>
        <w:rPr>
          <w:rFonts w:hint="default" w:ascii="Times New Roman" w:hAnsi="Times New Roman" w:cs="Times New Roman"/>
          <w:kern w:val="0"/>
          <w:sz w:val="24"/>
        </w:rPr>
      </w:pPr>
    </w:p>
    <w:p>
      <w:pPr>
        <w:widowControl/>
        <w:spacing w:line="560" w:lineRule="exact"/>
        <w:ind w:firstLine="640" w:firstLineChars="200"/>
        <w:jc w:val="left"/>
        <w:rPr>
          <w:rFonts w:hint="default" w:ascii="Times New Roman" w:hAnsi="Times New Roman" w:eastAsia="黑体" w:cs="Times New Roman"/>
          <w:color w:val="000000"/>
          <w:kern w:val="0"/>
          <w:sz w:val="32"/>
          <w:szCs w:val="32"/>
        </w:rPr>
      </w:pPr>
      <w:r>
        <w:rPr>
          <w:rFonts w:hint="default" w:ascii="Times New Roman" w:hAnsi="Times New Roman" w:eastAsia="黑体" w:cs="Times New Roman"/>
          <w:color w:val="000000"/>
          <w:kern w:val="0"/>
          <w:sz w:val="32"/>
          <w:szCs w:val="32"/>
        </w:rPr>
        <w:t>一、部门概况</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color w:val="000000"/>
          <w:kern w:val="0"/>
          <w:sz w:val="32"/>
          <w:szCs w:val="32"/>
        </w:rPr>
        <w:t>（一）部门</w:t>
      </w:r>
      <w:r>
        <w:rPr>
          <w:rFonts w:hint="default" w:ascii="Times New Roman" w:hAnsi="Times New Roman" w:eastAsia="仿宋_GB2312" w:cs="Times New Roman"/>
          <w:sz w:val="32"/>
          <w:szCs w:val="32"/>
        </w:rPr>
        <w:t>基本情况</w:t>
      </w:r>
    </w:p>
    <w:p>
      <w:pPr>
        <w:ind w:firstLine="640" w:firstLineChars="200"/>
        <w:rPr>
          <w:rFonts w:hint="default" w:ascii="Times New Roman" w:hAnsi="Times New Roman" w:eastAsia="仿宋_GB2312" w:cs="Times New Roman"/>
          <w:color w:val="000000"/>
          <w:kern w:val="0"/>
          <w:sz w:val="32"/>
          <w:szCs w:val="32"/>
          <w:lang w:val="en-US" w:eastAsia="zh-CN"/>
        </w:rPr>
      </w:pPr>
      <w:r>
        <w:rPr>
          <w:rFonts w:hint="default" w:ascii="Times New Roman" w:hAnsi="Times New Roman" w:eastAsia="仿宋_GB2312" w:cs="Times New Roman"/>
          <w:color w:val="000000"/>
          <w:kern w:val="0"/>
          <w:sz w:val="32"/>
          <w:szCs w:val="32"/>
          <w:lang w:eastAsia="zh-CN"/>
        </w:rPr>
        <w:t>秦淮区统计局</w:t>
      </w:r>
      <w:r>
        <w:rPr>
          <w:rFonts w:hint="default" w:ascii="Times New Roman" w:hAnsi="Times New Roman" w:eastAsia="仿宋_GB2312" w:cs="Times New Roman"/>
          <w:color w:val="000000"/>
          <w:kern w:val="0"/>
          <w:sz w:val="32"/>
          <w:szCs w:val="32"/>
          <w:lang w:val="en-US" w:eastAsia="zh-CN"/>
        </w:rPr>
        <w:t>主要职能为：</w:t>
      </w:r>
    </w:p>
    <w:p>
      <w:pPr>
        <w:ind w:firstLine="640" w:firstLineChars="200"/>
        <w:rPr>
          <w:rFonts w:hint="default" w:ascii="Times New Roman" w:hAnsi="Times New Roman" w:eastAsia="仿宋_GB2312" w:cs="Times New Roman"/>
          <w:color w:val="000000"/>
          <w:kern w:val="0"/>
          <w:sz w:val="32"/>
          <w:szCs w:val="32"/>
          <w:lang w:val="en-US" w:eastAsia="zh-CN"/>
        </w:rPr>
      </w:pPr>
      <w:r>
        <w:rPr>
          <w:rFonts w:hint="default" w:ascii="Times New Roman" w:hAnsi="Times New Roman" w:eastAsia="仿宋_GB2312" w:cs="Times New Roman"/>
          <w:color w:val="000000"/>
          <w:kern w:val="0"/>
          <w:sz w:val="32"/>
          <w:szCs w:val="32"/>
          <w:lang w:val="en-US" w:eastAsia="zh-CN"/>
        </w:rPr>
        <w:t>1.贯彻执行国家、省、市统计工作的法律、法规，制定全区统计政策、规划，指导全区统计工作。</w:t>
      </w:r>
    </w:p>
    <w:p>
      <w:pPr>
        <w:ind w:firstLine="640" w:firstLineChars="200"/>
        <w:rPr>
          <w:rFonts w:hint="default" w:ascii="Times New Roman" w:hAnsi="Times New Roman" w:eastAsia="仿宋_GB2312" w:cs="Times New Roman"/>
          <w:color w:val="000000"/>
          <w:kern w:val="0"/>
          <w:sz w:val="32"/>
          <w:szCs w:val="32"/>
          <w:lang w:val="en-US" w:eastAsia="zh-CN"/>
        </w:rPr>
      </w:pPr>
      <w:r>
        <w:rPr>
          <w:rFonts w:hint="default" w:ascii="Times New Roman" w:hAnsi="Times New Roman" w:eastAsia="仿宋_GB2312" w:cs="Times New Roman"/>
          <w:color w:val="000000"/>
          <w:kern w:val="0"/>
          <w:sz w:val="32"/>
          <w:szCs w:val="32"/>
          <w:lang w:val="en-US" w:eastAsia="zh-CN"/>
        </w:rPr>
        <w:t>2.贯彻执行国家国民经济核算体系，组织核算全区生产总值和全区投入产出调查，汇编提供国民经济核算资料，监督、管理、组织和实施全区国民经济核算工作。</w:t>
      </w:r>
    </w:p>
    <w:p>
      <w:pPr>
        <w:ind w:firstLine="640" w:firstLineChars="200"/>
        <w:rPr>
          <w:rFonts w:hint="default" w:ascii="Times New Roman" w:hAnsi="Times New Roman" w:eastAsia="仿宋_GB2312" w:cs="Times New Roman"/>
          <w:color w:val="000000"/>
          <w:kern w:val="0"/>
          <w:sz w:val="32"/>
          <w:szCs w:val="32"/>
          <w:lang w:val="en-US" w:eastAsia="zh-CN"/>
        </w:rPr>
      </w:pPr>
      <w:r>
        <w:rPr>
          <w:rFonts w:hint="default" w:ascii="Times New Roman" w:hAnsi="Times New Roman" w:eastAsia="仿宋_GB2312" w:cs="Times New Roman"/>
          <w:color w:val="000000"/>
          <w:kern w:val="0"/>
          <w:sz w:val="32"/>
          <w:szCs w:val="32"/>
          <w:lang w:val="en-US" w:eastAsia="zh-CN"/>
        </w:rPr>
        <w:t>3.组织实施统计法律法规的宣传教育，指导和规范全区统计行政执法工作，监督检查统计法律法规的贯彻落实，组织实施对各街道以及区各部门和单位的统计督查和对统计调查对象的统计监审，依法查处重大统计违法行为。</w:t>
      </w:r>
    </w:p>
    <w:p>
      <w:pPr>
        <w:ind w:firstLine="640" w:firstLineChars="200"/>
        <w:rPr>
          <w:rFonts w:hint="default" w:ascii="Times New Roman" w:hAnsi="Times New Roman" w:eastAsia="仿宋_GB2312" w:cs="Times New Roman"/>
          <w:color w:val="000000"/>
          <w:kern w:val="0"/>
          <w:sz w:val="32"/>
          <w:szCs w:val="32"/>
          <w:lang w:val="en-US" w:eastAsia="zh-CN"/>
        </w:rPr>
      </w:pPr>
      <w:r>
        <w:rPr>
          <w:rFonts w:hint="default" w:ascii="Times New Roman" w:hAnsi="Times New Roman" w:eastAsia="仿宋_GB2312" w:cs="Times New Roman"/>
          <w:color w:val="000000"/>
          <w:kern w:val="0"/>
          <w:sz w:val="32"/>
          <w:szCs w:val="32"/>
          <w:lang w:val="en-US" w:eastAsia="zh-CN"/>
        </w:rPr>
        <w:t>4.会同有关部门拟订重大区情区力普查计划、方案，组织实施全区人口、经济等重大普查，汇总、整理和提供有关区情区力方面的统计数据。</w:t>
      </w:r>
    </w:p>
    <w:p>
      <w:pPr>
        <w:ind w:firstLine="640" w:firstLineChars="200"/>
        <w:rPr>
          <w:rFonts w:hint="default" w:ascii="Times New Roman" w:hAnsi="Times New Roman" w:eastAsia="仿宋_GB2312" w:cs="Times New Roman"/>
          <w:color w:val="000000"/>
          <w:kern w:val="0"/>
          <w:sz w:val="32"/>
          <w:szCs w:val="32"/>
          <w:lang w:val="en-US" w:eastAsia="zh-CN"/>
        </w:rPr>
      </w:pPr>
      <w:r>
        <w:rPr>
          <w:rFonts w:hint="default" w:ascii="Times New Roman" w:hAnsi="Times New Roman" w:eastAsia="仿宋_GB2312" w:cs="Times New Roman"/>
          <w:color w:val="000000"/>
          <w:kern w:val="0"/>
          <w:sz w:val="32"/>
          <w:szCs w:val="32"/>
          <w:lang w:val="en-US" w:eastAsia="zh-CN"/>
        </w:rPr>
        <w:t>5.组织实施各行业统计调查，综合整理和提供国民经济和社会发展等全区性基本统计数据。</w:t>
      </w:r>
    </w:p>
    <w:p>
      <w:pPr>
        <w:ind w:firstLine="640" w:firstLineChars="200"/>
        <w:rPr>
          <w:rFonts w:hint="default" w:ascii="Times New Roman" w:hAnsi="Times New Roman" w:eastAsia="仿宋_GB2312" w:cs="Times New Roman"/>
          <w:color w:val="000000"/>
          <w:kern w:val="0"/>
          <w:sz w:val="32"/>
          <w:szCs w:val="32"/>
          <w:lang w:val="en-US" w:eastAsia="zh-CN"/>
        </w:rPr>
      </w:pPr>
      <w:r>
        <w:rPr>
          <w:rFonts w:hint="default" w:ascii="Times New Roman" w:hAnsi="Times New Roman" w:eastAsia="仿宋_GB2312" w:cs="Times New Roman"/>
          <w:color w:val="000000"/>
          <w:kern w:val="0"/>
          <w:sz w:val="32"/>
          <w:szCs w:val="32"/>
          <w:lang w:val="en-US" w:eastAsia="zh-CN"/>
        </w:rPr>
        <w:t>6.组织各街道、各部门的社会、经济统计调查，统一核定、管理、公布全区性基本统计资料，定期发布全区国民经济和社会发展情况的统计信息，组织建立统计信息共享制度。</w:t>
      </w:r>
    </w:p>
    <w:p>
      <w:pPr>
        <w:ind w:firstLine="640" w:firstLineChars="200"/>
        <w:rPr>
          <w:rFonts w:hint="default" w:ascii="Times New Roman" w:hAnsi="Times New Roman" w:eastAsia="仿宋_GB2312" w:cs="Times New Roman"/>
          <w:color w:val="000000"/>
          <w:kern w:val="0"/>
          <w:sz w:val="32"/>
          <w:szCs w:val="32"/>
          <w:lang w:val="en-US" w:eastAsia="zh-CN"/>
        </w:rPr>
      </w:pPr>
      <w:r>
        <w:rPr>
          <w:rFonts w:hint="default" w:ascii="Times New Roman" w:hAnsi="Times New Roman" w:eastAsia="仿宋_GB2312" w:cs="Times New Roman"/>
          <w:color w:val="000000"/>
          <w:kern w:val="0"/>
          <w:sz w:val="32"/>
          <w:szCs w:val="32"/>
          <w:lang w:val="en-US" w:eastAsia="zh-CN"/>
        </w:rPr>
        <w:t>7.组织实施全面小康监测、科学发展评价考核监测、全区社会、经济、民生评价考核统计方面的工作；对国民经济、社会发展等情况进行统计分析、统计预测和统计监督，向区委、区政府及有关部门提供统计信息和咨询建议。</w:t>
      </w:r>
    </w:p>
    <w:p>
      <w:pPr>
        <w:ind w:firstLine="640" w:firstLineChars="200"/>
        <w:rPr>
          <w:rFonts w:hint="default" w:ascii="Times New Roman" w:hAnsi="Times New Roman" w:eastAsia="仿宋_GB2312" w:cs="Times New Roman"/>
          <w:color w:val="000000"/>
          <w:kern w:val="0"/>
          <w:sz w:val="32"/>
          <w:szCs w:val="32"/>
          <w:lang w:val="en-US" w:eastAsia="zh-CN"/>
        </w:rPr>
      </w:pPr>
      <w:r>
        <w:rPr>
          <w:rFonts w:hint="default" w:ascii="Times New Roman" w:hAnsi="Times New Roman" w:eastAsia="仿宋_GB2312" w:cs="Times New Roman"/>
          <w:color w:val="000000"/>
          <w:kern w:val="0"/>
          <w:sz w:val="32"/>
          <w:szCs w:val="32"/>
          <w:lang w:val="en-US" w:eastAsia="zh-CN"/>
        </w:rPr>
        <w:t>8.依法审批部门统计调查项目，指导专业统计基础工作、统计基层业务基础建设，建立健全统计数据质量审核、监控和评估制度，开展对重要统计数据的审核、监控和评估。</w:t>
      </w:r>
    </w:p>
    <w:p>
      <w:pPr>
        <w:ind w:firstLine="640" w:firstLineChars="200"/>
        <w:rPr>
          <w:rFonts w:hint="default" w:ascii="Times New Roman" w:hAnsi="Times New Roman" w:eastAsia="仿宋_GB2312" w:cs="Times New Roman"/>
          <w:color w:val="000000"/>
          <w:kern w:val="0"/>
          <w:sz w:val="32"/>
          <w:szCs w:val="32"/>
          <w:lang w:val="en-US" w:eastAsia="zh-CN"/>
        </w:rPr>
      </w:pPr>
      <w:r>
        <w:rPr>
          <w:rFonts w:hint="default" w:ascii="Times New Roman" w:hAnsi="Times New Roman" w:eastAsia="仿宋_GB2312" w:cs="Times New Roman"/>
          <w:color w:val="000000"/>
          <w:kern w:val="0"/>
          <w:sz w:val="32"/>
          <w:szCs w:val="32"/>
          <w:lang w:val="en-US" w:eastAsia="zh-CN"/>
        </w:rPr>
        <w:t>9.维护和管理全区统计信息化系统和统计数据库系统，指导全区统计信息化系统建设的职责。</w:t>
      </w:r>
    </w:p>
    <w:p>
      <w:pPr>
        <w:ind w:firstLine="640" w:firstLineChars="200"/>
        <w:rPr>
          <w:rFonts w:hint="default" w:ascii="Times New Roman" w:hAnsi="Times New Roman" w:eastAsia="仿宋_GB2312" w:cs="Times New Roman"/>
          <w:color w:val="000000"/>
          <w:kern w:val="0"/>
          <w:sz w:val="32"/>
          <w:szCs w:val="32"/>
          <w:lang w:val="en-US" w:eastAsia="zh-CN"/>
        </w:rPr>
      </w:pPr>
      <w:r>
        <w:rPr>
          <w:rFonts w:hint="default" w:ascii="Times New Roman" w:hAnsi="Times New Roman" w:eastAsia="仿宋_GB2312" w:cs="Times New Roman"/>
          <w:color w:val="000000"/>
          <w:kern w:val="0"/>
          <w:sz w:val="32"/>
          <w:szCs w:val="32"/>
          <w:lang w:val="en-US" w:eastAsia="zh-CN"/>
        </w:rPr>
        <w:t>10.组织实施统计工作方面的国内不同城市城区交流合作项目和有关统计资料的交换工作。</w:t>
      </w:r>
    </w:p>
    <w:p>
      <w:pPr>
        <w:ind w:firstLine="640" w:firstLineChars="200"/>
        <w:rPr>
          <w:rFonts w:hint="default" w:ascii="Times New Roman" w:hAnsi="Times New Roman" w:eastAsia="仿宋_GB2312" w:cs="Times New Roman"/>
          <w:color w:val="000000"/>
          <w:kern w:val="0"/>
          <w:sz w:val="32"/>
          <w:szCs w:val="32"/>
          <w:lang w:val="en-US" w:eastAsia="zh-CN"/>
        </w:rPr>
      </w:pPr>
      <w:r>
        <w:rPr>
          <w:rFonts w:hint="default" w:ascii="Times New Roman" w:hAnsi="Times New Roman" w:eastAsia="仿宋_GB2312" w:cs="Times New Roman"/>
          <w:color w:val="000000"/>
          <w:kern w:val="0"/>
          <w:sz w:val="32"/>
          <w:szCs w:val="32"/>
          <w:lang w:val="en-US" w:eastAsia="zh-CN"/>
        </w:rPr>
        <w:t>11.指导全区统计干部专业技术队伍建设，指导街道统计业务工作，组织落实全区统计上岗人员的业务培训和继续教育工作。</w:t>
      </w:r>
    </w:p>
    <w:p>
      <w:pPr>
        <w:ind w:firstLine="640" w:firstLineChars="200"/>
        <w:rPr>
          <w:rFonts w:hint="default" w:ascii="Times New Roman" w:hAnsi="Times New Roman" w:eastAsia="仿宋_GB2312" w:cs="Times New Roman"/>
          <w:color w:val="000000"/>
          <w:kern w:val="0"/>
          <w:sz w:val="32"/>
          <w:szCs w:val="32"/>
          <w:lang w:val="en-US" w:eastAsia="zh-CN"/>
        </w:rPr>
      </w:pPr>
      <w:r>
        <w:rPr>
          <w:rFonts w:hint="default" w:ascii="Times New Roman" w:hAnsi="Times New Roman" w:eastAsia="仿宋_GB2312" w:cs="Times New Roman"/>
          <w:color w:val="000000"/>
          <w:kern w:val="0"/>
          <w:sz w:val="32"/>
          <w:szCs w:val="32"/>
          <w:lang w:val="en-US" w:eastAsia="zh-CN"/>
        </w:rPr>
        <w:t>12.承办区委、区政府和上级业务主管部门交办的其他事项。</w:t>
      </w:r>
    </w:p>
    <w:p>
      <w:pPr>
        <w:ind w:firstLine="640" w:firstLineChars="200"/>
        <w:rPr>
          <w:rFonts w:hint="default" w:ascii="Times New Roman" w:hAnsi="Times New Roman" w:eastAsia="仿宋_GB2312" w:cs="Times New Roman"/>
          <w:color w:val="000000"/>
          <w:kern w:val="0"/>
          <w:sz w:val="32"/>
          <w:szCs w:val="32"/>
          <w:lang w:val="en-US" w:eastAsia="zh-CN"/>
        </w:rPr>
      </w:pPr>
      <w:r>
        <w:rPr>
          <w:rFonts w:hint="default" w:ascii="Times New Roman" w:hAnsi="Times New Roman" w:eastAsia="仿宋_GB2312" w:cs="Times New Roman"/>
          <w:color w:val="000000"/>
          <w:kern w:val="0"/>
          <w:sz w:val="32"/>
          <w:szCs w:val="32"/>
          <w:lang w:val="en-US" w:eastAsia="zh-CN"/>
        </w:rPr>
        <w:t>内设机构情况：根据部门职责分工，本部门内设机构包括5个科室，分别是综合法制科、工业投资统计科、贸易业统计科、服务业统计科、国民经济核算科。本部门下属单位包括南京市秦淮区综合抽样调查队。</w:t>
      </w:r>
    </w:p>
    <w:p>
      <w:pPr>
        <w:pStyle w:val="2"/>
        <w:keepNext w:val="0"/>
        <w:keepLines w:val="0"/>
        <w:pageBreakBefore w:val="0"/>
        <w:widowControl w:val="0"/>
        <w:kinsoku/>
        <w:wordWrap/>
        <w:overflowPunct/>
        <w:topLinePunct w:val="0"/>
        <w:autoSpaceDE/>
        <w:autoSpaceDN/>
        <w:bidi w:val="0"/>
        <w:adjustRightInd/>
        <w:snapToGrid/>
        <w:spacing w:line="360" w:lineRule="auto"/>
        <w:ind w:right="481" w:rightChars="229" w:firstLine="640" w:firstLineChars="200"/>
        <w:jc w:val="both"/>
        <w:textAlignment w:val="auto"/>
        <w:rPr>
          <w:rFonts w:hint="default" w:ascii="Times New Roman" w:hAnsi="Times New Roman" w:eastAsia="仿宋" w:cs="Times New Roman"/>
          <w:lang w:val="en-US" w:eastAsia="zh-CN"/>
        </w:rPr>
      </w:pPr>
      <w:r>
        <w:rPr>
          <w:rFonts w:hint="default" w:ascii="Times New Roman" w:hAnsi="Times New Roman" w:eastAsia="仿宋" w:cs="Times New Roman"/>
          <w:lang w:eastAsia="zh-CN"/>
        </w:rPr>
        <w:t>人员情况：</w:t>
      </w:r>
      <w:r>
        <w:rPr>
          <w:rFonts w:hint="default" w:ascii="Times New Roman" w:hAnsi="Times New Roman" w:eastAsia="仿宋" w:cs="Times New Roman"/>
          <w:lang w:val="en-US" w:eastAsia="zh-CN"/>
        </w:rPr>
        <w:t>秦淮区统计局2022年共有在编人员34名</w:t>
      </w:r>
      <w:r>
        <w:rPr>
          <w:rFonts w:hint="default" w:ascii="Times New Roman" w:hAnsi="Times New Roman" w:eastAsia="仿宋" w:cs="Times New Roman"/>
          <w:color w:val="auto"/>
          <w:lang w:val="en-US" w:eastAsia="zh-CN"/>
        </w:rPr>
        <w:t>，退休人员6名。其中统计局（本级）有16名在编人员，4名退休人员；综合抽样调查队有18名在编人员，2名退休人员。</w:t>
      </w:r>
    </w:p>
    <w:p>
      <w:pPr>
        <w:pStyle w:val="2"/>
        <w:keepNext w:val="0"/>
        <w:keepLines w:val="0"/>
        <w:pageBreakBefore w:val="0"/>
        <w:widowControl w:val="0"/>
        <w:kinsoku/>
        <w:wordWrap/>
        <w:overflowPunct/>
        <w:topLinePunct w:val="0"/>
        <w:autoSpaceDE/>
        <w:autoSpaceDN/>
        <w:bidi w:val="0"/>
        <w:adjustRightInd/>
        <w:snapToGrid/>
        <w:spacing w:line="360" w:lineRule="auto"/>
        <w:ind w:right="481" w:rightChars="229" w:firstLine="640" w:firstLineChars="200"/>
        <w:jc w:val="both"/>
        <w:textAlignment w:val="auto"/>
        <w:rPr>
          <w:rFonts w:hint="default" w:ascii="Times New Roman" w:hAnsi="Times New Roman" w:eastAsia="仿宋_GB2312" w:cs="Times New Roman"/>
          <w:color w:val="000000"/>
          <w:kern w:val="0"/>
          <w:sz w:val="32"/>
          <w:szCs w:val="32"/>
          <w:lang w:val="en-US" w:eastAsia="zh-CN"/>
        </w:rPr>
      </w:pPr>
      <w:r>
        <w:rPr>
          <w:rFonts w:hint="default" w:ascii="Times New Roman" w:hAnsi="Times New Roman" w:eastAsia="仿宋_GB2312" w:cs="Times New Roman"/>
          <w:color w:val="000000"/>
          <w:kern w:val="0"/>
          <w:sz w:val="32"/>
          <w:szCs w:val="32"/>
          <w:lang w:val="en-US" w:eastAsia="zh-CN"/>
        </w:rPr>
        <w:t>重点工作任务：</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right="481" w:rightChars="229" w:firstLine="640" w:firstLineChars="200"/>
        <w:jc w:val="both"/>
        <w:textAlignment w:val="auto"/>
        <w:rPr>
          <w:rFonts w:hint="default" w:ascii="Times New Roman" w:hAnsi="Times New Roman" w:eastAsia="仿宋" w:cs="Times New Roman"/>
        </w:rPr>
      </w:pPr>
      <w:r>
        <w:rPr>
          <w:rFonts w:hint="default" w:ascii="Times New Roman" w:hAnsi="Times New Roman" w:eastAsia="仿宋" w:cs="Times New Roman"/>
          <w:lang w:val="en-US" w:eastAsia="zh-CN"/>
        </w:rPr>
        <w:t>1.</w:t>
      </w:r>
      <w:r>
        <w:rPr>
          <w:rFonts w:hint="default" w:ascii="Times New Roman" w:hAnsi="Times New Roman" w:eastAsia="仿宋" w:cs="Times New Roman"/>
        </w:rPr>
        <w:t>以优质统计服务全区高质量发展。坚持对高质量发展绩效评价共性指标和GDP支撑指标进行动态监测，依托“1+6”工作专班，聚焦难点、集中攻坚，紧盯关键时间节点和重点企业，强化短板指标补强。持续推进拟升规企业培育工作，推进“分改子”、“个转企”的工作，对规上数据增量和经济发展形成有效支撑。开展企业走访活动，重点关注产业发展，宣传惠企纾困政策，帮助企业解难题、强信心，通过动态摸排，切实解决企业在融资、用工、物流等方面难题，分级分类化解企业发展难题。</w:t>
      </w:r>
    </w:p>
    <w:p>
      <w:pPr>
        <w:pStyle w:val="2"/>
        <w:keepNext w:val="0"/>
        <w:keepLines w:val="0"/>
        <w:pageBreakBefore w:val="0"/>
        <w:widowControl w:val="0"/>
        <w:kinsoku/>
        <w:wordWrap/>
        <w:overflowPunct/>
        <w:topLinePunct w:val="0"/>
        <w:autoSpaceDE/>
        <w:autoSpaceDN/>
        <w:bidi w:val="0"/>
        <w:adjustRightInd/>
        <w:snapToGrid/>
        <w:spacing w:line="360" w:lineRule="auto"/>
        <w:ind w:right="481" w:rightChars="229" w:firstLine="640" w:firstLineChars="200"/>
        <w:jc w:val="both"/>
        <w:textAlignment w:val="auto"/>
        <w:rPr>
          <w:rFonts w:hint="default" w:ascii="Times New Roman" w:hAnsi="Times New Roman" w:eastAsia="仿宋" w:cs="Times New Roman"/>
          <w:lang w:val="en-US" w:eastAsia="zh-CN"/>
        </w:rPr>
      </w:pPr>
      <w:r>
        <w:rPr>
          <w:rFonts w:hint="default" w:ascii="Times New Roman" w:hAnsi="Times New Roman" w:eastAsia="仿宋" w:cs="Times New Roman"/>
          <w:lang w:val="en-US" w:eastAsia="zh-CN"/>
        </w:rPr>
        <w:t>2.开展大样本轮换工作及各类统计调查工作。做好</w:t>
      </w:r>
      <w:r>
        <w:rPr>
          <w:rFonts w:hint="default" w:ascii="Times New Roman" w:hAnsi="Times New Roman" w:eastAsia="仿宋" w:cs="Times New Roman"/>
        </w:rPr>
        <w:t>居民人均可支配收入</w:t>
      </w:r>
      <w:r>
        <w:rPr>
          <w:rFonts w:hint="default" w:ascii="Times New Roman" w:hAnsi="Times New Roman" w:eastAsia="仿宋" w:cs="Times New Roman"/>
          <w:lang w:eastAsia="zh-CN"/>
        </w:rPr>
        <w:t>、</w:t>
      </w:r>
      <w:r>
        <w:rPr>
          <w:rFonts w:hint="default" w:ascii="Times New Roman" w:hAnsi="Times New Roman" w:eastAsia="仿宋" w:cs="Times New Roman"/>
        </w:rPr>
        <w:t>劳动工资统计</w:t>
      </w:r>
      <w:r>
        <w:rPr>
          <w:rFonts w:hint="default" w:ascii="Times New Roman" w:hAnsi="Times New Roman" w:eastAsia="仿宋" w:cs="Times New Roman"/>
          <w:lang w:eastAsia="zh-CN"/>
        </w:rPr>
        <w:t>、</w:t>
      </w:r>
      <w:r>
        <w:rPr>
          <w:rFonts w:hint="default" w:ascii="Times New Roman" w:hAnsi="Times New Roman" w:eastAsia="仿宋" w:cs="Times New Roman"/>
        </w:rPr>
        <w:t>人口统计</w:t>
      </w:r>
      <w:r>
        <w:rPr>
          <w:rFonts w:hint="default" w:ascii="Times New Roman" w:hAnsi="Times New Roman" w:eastAsia="仿宋" w:cs="Times New Roman"/>
          <w:lang w:eastAsia="zh-CN"/>
        </w:rPr>
        <w:t>相关指标采集和监测工作，以及开展</w:t>
      </w:r>
      <w:r>
        <w:rPr>
          <w:rFonts w:hint="default" w:ascii="Times New Roman" w:hAnsi="Times New Roman" w:eastAsia="仿宋" w:cs="Times New Roman"/>
        </w:rPr>
        <w:t>月度劳动力调查、城乡一体化住户调查等专项及临时性调查工作</w:t>
      </w:r>
      <w:r>
        <w:rPr>
          <w:rFonts w:hint="default" w:ascii="Times New Roman" w:hAnsi="Times New Roman" w:eastAsia="仿宋" w:cs="Times New Roman"/>
          <w:lang w:eastAsia="zh-CN"/>
        </w:rPr>
        <w:t>。</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right="481" w:rightChars="229" w:firstLine="640" w:firstLineChars="200"/>
        <w:jc w:val="both"/>
        <w:textAlignment w:val="auto"/>
        <w:rPr>
          <w:rFonts w:hint="default" w:ascii="Times New Roman" w:hAnsi="Times New Roman" w:eastAsia="仿宋_GB2312" w:cs="Times New Roman"/>
          <w:color w:val="000000"/>
          <w:kern w:val="0"/>
          <w:sz w:val="32"/>
          <w:szCs w:val="32"/>
          <w:lang w:val="en-US" w:eastAsia="zh-CN"/>
        </w:rPr>
      </w:pPr>
      <w:r>
        <w:rPr>
          <w:rFonts w:hint="default" w:ascii="Times New Roman" w:hAnsi="Times New Roman" w:eastAsia="仿宋" w:cs="Times New Roman"/>
          <w:lang w:val="en-US" w:eastAsia="zh-CN"/>
        </w:rPr>
        <w:t>3.坚持全面从严治党。把政治建设放在首位，把深入学习习近平新时代中国特色社会主义思想和党的二十大精神放在政治建设的首位，“自我净化、自我完善、自我革新和自我提高”，推进“两学一做”常态化制度化向纵深发展，巩固“三会一课”制度。深入落实党风廉政建设责任制，切实履行主体责任和“一岗双责”，强化问责和纪律执行。执行鼓励激励、容错纠错、能上能下“三项机制”，为敢于担当、踏实做事、不谋私利的干部撑腰鼓劲，把干部队伍带出新貌。</w:t>
      </w:r>
    </w:p>
    <w:p>
      <w:pPr>
        <w:widowControl/>
        <w:spacing w:line="560" w:lineRule="exact"/>
        <w:ind w:firstLine="640" w:firstLineChars="200"/>
        <w:jc w:val="left"/>
        <w:rPr>
          <w:rFonts w:hint="default" w:ascii="Times New Roman" w:hAnsi="Times New Roman" w:eastAsia="仿宋_GB2312" w:cs="Times New Roman"/>
          <w:color w:val="000000"/>
          <w:kern w:val="0"/>
          <w:sz w:val="32"/>
          <w:szCs w:val="32"/>
        </w:rPr>
      </w:pPr>
    </w:p>
    <w:p>
      <w:pPr>
        <w:widowControl/>
        <w:spacing w:line="560" w:lineRule="exact"/>
        <w:ind w:firstLine="640" w:firstLineChars="200"/>
        <w:jc w:val="left"/>
        <w:rPr>
          <w:rFonts w:hint="default" w:ascii="Times New Roman" w:hAnsi="Times New Roman" w:eastAsia="仿宋_GB2312" w:cs="Times New Roman"/>
          <w:kern w:val="0"/>
          <w:sz w:val="24"/>
        </w:rPr>
      </w:pPr>
      <w:r>
        <w:rPr>
          <w:rFonts w:hint="default" w:ascii="Times New Roman" w:hAnsi="Times New Roman" w:eastAsia="仿宋_GB2312" w:cs="Times New Roman"/>
          <w:color w:val="000000"/>
          <w:kern w:val="0"/>
          <w:sz w:val="32"/>
          <w:szCs w:val="32"/>
        </w:rPr>
        <w:t>（二）部门收支情况</w:t>
      </w:r>
    </w:p>
    <w:p>
      <w:pPr>
        <w:widowControl/>
        <w:spacing w:line="560" w:lineRule="exact"/>
        <w:ind w:firstLine="640" w:firstLineChars="200"/>
        <w:jc w:val="left"/>
        <w:rPr>
          <w:rFonts w:hint="default" w:ascii="Times New Roman" w:hAnsi="Times New Roman" w:eastAsia="仿宋_GB2312" w:cs="Times New Roman"/>
          <w:color w:val="000000"/>
          <w:kern w:val="0"/>
          <w:sz w:val="32"/>
          <w:szCs w:val="32"/>
          <w:lang w:val="en-US" w:eastAsia="zh-CN"/>
        </w:rPr>
      </w:pPr>
      <w:r>
        <w:rPr>
          <w:rFonts w:hint="default" w:ascii="Times New Roman" w:hAnsi="Times New Roman" w:eastAsia="仿宋_GB2312" w:cs="Times New Roman"/>
          <w:color w:val="auto"/>
          <w:kern w:val="0"/>
          <w:sz w:val="32"/>
          <w:szCs w:val="32"/>
          <w:lang w:val="en-US" w:eastAsia="zh-CN"/>
        </w:rPr>
        <w:t>2022年度统计局部门基本支出全年预算数为1389.77万元，实际执行数为1513.07万元，预算执行率为108.87%。</w:t>
      </w:r>
      <w:r>
        <w:rPr>
          <w:rFonts w:hint="default" w:ascii="Times New Roman" w:hAnsi="Times New Roman" w:eastAsia="仿宋_GB2312" w:cs="Times New Roman"/>
          <w:color w:val="000000"/>
          <w:kern w:val="0"/>
          <w:sz w:val="32"/>
          <w:szCs w:val="32"/>
          <w:lang w:val="en-US" w:eastAsia="zh-CN"/>
        </w:rPr>
        <w:t>其中，统计局（本级）基本支出全年预算数为729.61万元，实际支出为806.21万元，预算执行率为110.50%；综合抽样调查队基本支出全年预算数为660.16万元，实际执行数为706.86万元，预算执行率为107.07%。</w:t>
      </w:r>
    </w:p>
    <w:p>
      <w:pPr>
        <w:widowControl/>
        <w:spacing w:line="560" w:lineRule="exact"/>
        <w:ind w:firstLine="640" w:firstLineChars="200"/>
        <w:jc w:val="left"/>
        <w:rPr>
          <w:rFonts w:hint="default" w:ascii="Times New Roman" w:hAnsi="Times New Roman" w:eastAsia="仿宋_GB2312" w:cs="Times New Roman"/>
          <w:color w:val="000000"/>
          <w:kern w:val="0"/>
          <w:sz w:val="32"/>
          <w:szCs w:val="32"/>
          <w:lang w:val="en-US" w:eastAsia="zh-CN"/>
        </w:rPr>
      </w:pPr>
      <w:r>
        <w:rPr>
          <w:rFonts w:hint="default" w:ascii="Times New Roman" w:hAnsi="Times New Roman" w:eastAsia="仿宋_GB2312" w:cs="Times New Roman"/>
          <w:color w:val="000000"/>
          <w:kern w:val="0"/>
          <w:sz w:val="32"/>
          <w:szCs w:val="32"/>
          <w:lang w:val="en-US" w:eastAsia="zh-CN"/>
        </w:rPr>
        <w:t>2022年度统计局部门共管理2项专项资金，全年预算数为83万元，实际执行数为83万元，预算执行率为100%。其中住户调查全年预算数为50万元，实际执行数为50万元，预算执行率为100%；各类日常小调查全年预算数为33万元，实际执行数为33万元，预算执行率为100%。</w:t>
      </w:r>
    </w:p>
    <w:p>
      <w:pPr>
        <w:widowControl/>
        <w:spacing w:line="560" w:lineRule="exact"/>
        <w:ind w:firstLine="640" w:firstLineChars="200"/>
        <w:jc w:val="left"/>
        <w:rPr>
          <w:rFonts w:hint="default" w:ascii="Times New Roman" w:hAnsi="Times New Roman" w:eastAsia="仿宋_GB2312" w:cs="Times New Roman"/>
          <w:color w:val="000000"/>
          <w:kern w:val="0"/>
          <w:sz w:val="32"/>
          <w:szCs w:val="32"/>
          <w:lang w:val="en-US" w:eastAsia="zh-CN"/>
        </w:rPr>
      </w:pPr>
      <w:r>
        <w:rPr>
          <w:rFonts w:hint="default" w:ascii="Times New Roman" w:hAnsi="Times New Roman" w:eastAsia="仿宋_GB2312" w:cs="Times New Roman"/>
          <w:color w:val="000000"/>
          <w:kern w:val="0"/>
          <w:sz w:val="32"/>
          <w:szCs w:val="32"/>
          <w:lang w:val="en-US" w:eastAsia="zh-CN"/>
        </w:rPr>
        <w:t>2022年部门预算和所管理的专项资金的收支情况基本平衡。</w:t>
      </w:r>
    </w:p>
    <w:p>
      <w:pPr>
        <w:widowControl/>
        <w:spacing w:line="560" w:lineRule="exact"/>
        <w:jc w:val="left"/>
        <w:rPr>
          <w:rFonts w:hint="default" w:ascii="Times New Roman" w:hAnsi="Times New Roman" w:eastAsia="仿宋_GB2312" w:cs="Times New Roman"/>
          <w:i/>
          <w:iCs/>
          <w:color w:val="000000"/>
          <w:kern w:val="0"/>
          <w:sz w:val="32"/>
          <w:szCs w:val="32"/>
          <w:u w:val="single"/>
        </w:rPr>
      </w:pPr>
    </w:p>
    <w:p>
      <w:pPr>
        <w:spacing w:line="560" w:lineRule="exact"/>
        <w:ind w:firstLine="640" w:firstLineChars="200"/>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（三）部门绩效目标</w:t>
      </w:r>
    </w:p>
    <w:p>
      <w:pPr>
        <w:widowControl/>
        <w:spacing w:line="560" w:lineRule="exact"/>
        <w:ind w:firstLine="640" w:firstLineChars="200"/>
        <w:jc w:val="left"/>
        <w:rPr>
          <w:rFonts w:hint="default" w:ascii="Times New Roman" w:hAnsi="Times New Roman" w:eastAsia="仿宋_GB2312" w:cs="Times New Roman"/>
          <w:color w:val="000000"/>
          <w:kern w:val="0"/>
          <w:sz w:val="32"/>
          <w:szCs w:val="32"/>
          <w:lang w:val="en-US" w:eastAsia="zh-CN"/>
        </w:rPr>
      </w:pPr>
      <w:r>
        <w:rPr>
          <w:rFonts w:hint="default" w:ascii="Times New Roman" w:hAnsi="Times New Roman" w:eastAsia="仿宋_GB2312" w:cs="Times New Roman"/>
          <w:color w:val="000000"/>
          <w:kern w:val="0"/>
          <w:sz w:val="32"/>
          <w:szCs w:val="32"/>
          <w:lang w:val="en-US" w:eastAsia="zh-CN"/>
        </w:rPr>
        <w:t>部门中长期目标：做好大样本轮换工作、月度劳动力各项调查、企业一套表上报工作、统计治制宣传工作等。</w:t>
      </w:r>
    </w:p>
    <w:p>
      <w:pPr>
        <w:widowControl/>
        <w:spacing w:line="560" w:lineRule="exact"/>
        <w:ind w:firstLine="640" w:firstLineChars="200"/>
        <w:jc w:val="left"/>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lang w:val="en-US" w:eastAsia="zh-CN"/>
        </w:rPr>
        <w:t>年度目标：提供、核对高质量发展情况基础数据；开展大样本轮换工作、人均可支配收入调查、月度劳动力调查、采购经理调查、劳动工资统计、人口统计等，为区委区政府及相关部门落实“六稳”、“六保”提供有力的统计调查支撑。坚持质量为本，推动统计法治不断深入，切实履行防惩统计造假主体责任，不断加大执法检查力度，广泛开展统计法治宣传教育。坚持增量并举，稳步推进企业升规入统。不断完善统计监测体系，紧抓重点行业重点单位和关键指标，开展专项调研，强化部门联动和市区协调。</w:t>
      </w:r>
    </w:p>
    <w:p>
      <w:pPr>
        <w:widowControl/>
        <w:spacing w:line="560" w:lineRule="exact"/>
        <w:ind w:firstLine="640" w:firstLineChars="200"/>
        <w:jc w:val="left"/>
        <w:rPr>
          <w:rFonts w:hint="default" w:ascii="Times New Roman" w:hAnsi="Times New Roman" w:eastAsia="黑体" w:cs="Times New Roman"/>
          <w:color w:val="000000"/>
          <w:kern w:val="0"/>
          <w:sz w:val="32"/>
          <w:szCs w:val="32"/>
        </w:rPr>
      </w:pPr>
    </w:p>
    <w:p>
      <w:pPr>
        <w:widowControl/>
        <w:spacing w:line="560" w:lineRule="exact"/>
        <w:ind w:firstLine="640" w:firstLineChars="200"/>
        <w:jc w:val="left"/>
        <w:rPr>
          <w:rFonts w:hint="default" w:ascii="Times New Roman" w:hAnsi="Times New Roman" w:eastAsia="黑体" w:cs="Times New Roman"/>
          <w:kern w:val="0"/>
          <w:sz w:val="24"/>
        </w:rPr>
      </w:pPr>
      <w:r>
        <w:rPr>
          <w:rFonts w:hint="default" w:ascii="Times New Roman" w:hAnsi="Times New Roman" w:eastAsia="黑体" w:cs="Times New Roman"/>
          <w:color w:val="000000"/>
          <w:kern w:val="0"/>
          <w:sz w:val="32"/>
          <w:szCs w:val="32"/>
        </w:rPr>
        <w:t>二、评价结论</w:t>
      </w:r>
    </w:p>
    <w:p>
      <w:pPr>
        <w:widowControl/>
        <w:spacing w:line="560" w:lineRule="exact"/>
        <w:ind w:firstLine="640" w:firstLineChars="200"/>
        <w:jc w:val="left"/>
        <w:rPr>
          <w:rFonts w:hint="default" w:ascii="Times New Roman" w:hAnsi="Times New Roman" w:eastAsia="仿宋_GB2312" w:cs="Times New Roman"/>
          <w:color w:val="000000"/>
          <w:kern w:val="0"/>
          <w:sz w:val="32"/>
          <w:szCs w:val="32"/>
          <w:lang w:val="en-US" w:eastAsia="zh-CN"/>
        </w:rPr>
      </w:pPr>
      <w:r>
        <w:rPr>
          <w:rFonts w:hint="default" w:ascii="Times New Roman" w:hAnsi="Times New Roman" w:eastAsia="仿宋_GB2312" w:cs="Times New Roman"/>
          <w:color w:val="000000"/>
          <w:kern w:val="0"/>
          <w:sz w:val="32"/>
          <w:szCs w:val="32"/>
          <w:lang w:val="en-US" w:eastAsia="zh-CN"/>
        </w:rPr>
        <w:t>2022评价包含统计局（本级）部门整体自评、综合抽样调查队部门整体自评以及住户调查和各类日常小调查两项项目的自评情况。</w:t>
      </w:r>
    </w:p>
    <w:p>
      <w:pPr>
        <w:widowControl/>
        <w:spacing w:line="560" w:lineRule="exact"/>
        <w:jc w:val="left"/>
        <w:rPr>
          <w:rFonts w:hint="default" w:ascii="Times New Roman" w:hAnsi="Times New Roman" w:eastAsia="仿宋_GB2312" w:cs="Times New Roman"/>
          <w:color w:val="000000"/>
          <w:kern w:val="0"/>
          <w:sz w:val="32"/>
          <w:szCs w:val="32"/>
          <w:lang w:val="en-US" w:eastAsia="zh-CN"/>
        </w:rPr>
      </w:pPr>
      <w:r>
        <w:rPr>
          <w:rFonts w:hint="default" w:ascii="Times New Roman" w:hAnsi="Times New Roman" w:eastAsia="仿宋_GB2312" w:cs="Times New Roman"/>
          <w:color w:val="000000"/>
          <w:kern w:val="0"/>
          <w:sz w:val="32"/>
          <w:szCs w:val="32"/>
          <w:lang w:val="en-US" w:eastAsia="zh-CN"/>
        </w:rPr>
        <w:t xml:space="preserve">    统计局（本级）部门整体自评结果为优，评分为96.5分；综合抽样调查队部门整体自评结果为优，评分为97.5分；项目自评中，住户调查自评结果为优，评分为95分，各类日常小调查自评结果为优，评分为96分。</w:t>
      </w:r>
    </w:p>
    <w:p>
      <w:pPr>
        <w:widowControl/>
        <w:spacing w:line="560" w:lineRule="exact"/>
        <w:jc w:val="left"/>
        <w:rPr>
          <w:rFonts w:hint="default" w:ascii="Times New Roman" w:hAnsi="Times New Roman" w:eastAsia="黑体" w:cs="Times New Roman"/>
          <w:color w:val="000000"/>
          <w:kern w:val="0"/>
          <w:sz w:val="32"/>
          <w:szCs w:val="32"/>
        </w:rPr>
      </w:pPr>
    </w:p>
    <w:p>
      <w:pPr>
        <w:widowControl/>
        <w:spacing w:line="560" w:lineRule="exact"/>
        <w:ind w:firstLine="640" w:firstLineChars="200"/>
        <w:jc w:val="left"/>
        <w:rPr>
          <w:rFonts w:hint="default" w:ascii="Times New Roman" w:hAnsi="Times New Roman" w:eastAsia="黑体" w:cs="Times New Roman"/>
          <w:kern w:val="0"/>
          <w:sz w:val="24"/>
        </w:rPr>
      </w:pPr>
      <w:r>
        <w:rPr>
          <w:rFonts w:hint="default" w:ascii="Times New Roman" w:hAnsi="Times New Roman" w:eastAsia="黑体" w:cs="Times New Roman"/>
          <w:color w:val="000000"/>
          <w:kern w:val="0"/>
          <w:sz w:val="32"/>
          <w:szCs w:val="32"/>
        </w:rPr>
        <w:t>三、部门履职成效</w:t>
      </w:r>
    </w:p>
    <w:p>
      <w:pPr>
        <w:widowControl/>
        <w:spacing w:line="560" w:lineRule="exact"/>
        <w:ind w:firstLine="640" w:firstLineChars="200"/>
        <w:jc w:val="left"/>
        <w:rPr>
          <w:rFonts w:hint="default" w:ascii="Times New Roman" w:hAnsi="Times New Roman" w:eastAsia="仿宋_GB2312" w:cs="Times New Roman"/>
          <w:color w:val="000000"/>
          <w:kern w:val="0"/>
          <w:sz w:val="32"/>
          <w:szCs w:val="32"/>
          <w:lang w:val="en-US" w:eastAsia="zh-CN"/>
        </w:rPr>
      </w:pPr>
      <w:r>
        <w:rPr>
          <w:rFonts w:hint="default" w:ascii="Times New Roman" w:hAnsi="Times New Roman" w:eastAsia="仿宋_GB2312" w:cs="Times New Roman"/>
          <w:color w:val="000000"/>
          <w:kern w:val="0"/>
          <w:sz w:val="32"/>
          <w:szCs w:val="32"/>
          <w:lang w:val="en-US" w:eastAsia="zh-CN"/>
        </w:rPr>
        <w:t>本年度本部门绩效目标完成情况较好。为区委区政府及相关部门落实“六稳”、“六保”工作提供优质的统计调查支撑；充分利用各项预算，开展大样本轮换工作、月度劳动力调查和住户调查、企业一套表上报工作、各类临时性调查及统计法治宣传工作等，不断提升统计服务的深度广度，助力全区高质量发展大局。公众满意度情况达到95%，不断深化统计为民，着力提升现代统计服务水平。</w:t>
      </w:r>
    </w:p>
    <w:p>
      <w:pPr>
        <w:widowControl/>
        <w:spacing w:line="560" w:lineRule="exact"/>
        <w:ind w:firstLine="640" w:firstLineChars="200"/>
        <w:jc w:val="left"/>
        <w:rPr>
          <w:rFonts w:hint="default" w:ascii="Times New Roman" w:hAnsi="Times New Roman" w:eastAsia="黑体" w:cs="Times New Roman"/>
          <w:kern w:val="0"/>
          <w:sz w:val="24"/>
        </w:rPr>
      </w:pPr>
      <w:r>
        <w:rPr>
          <w:rFonts w:hint="default" w:ascii="Times New Roman" w:hAnsi="Times New Roman" w:eastAsia="黑体" w:cs="Times New Roman"/>
          <w:color w:val="000000"/>
          <w:kern w:val="0"/>
          <w:sz w:val="32"/>
          <w:szCs w:val="32"/>
        </w:rPr>
        <w:t>四、存在问题及原因分析</w:t>
      </w:r>
    </w:p>
    <w:p>
      <w:pPr>
        <w:widowControl/>
        <w:spacing w:line="560" w:lineRule="exact"/>
        <w:ind w:firstLine="640" w:firstLineChars="200"/>
        <w:jc w:val="left"/>
        <w:rPr>
          <w:rFonts w:hint="default" w:ascii="Times New Roman" w:hAnsi="Times New Roman" w:eastAsia="仿宋_GB2312" w:cs="Times New Roman"/>
          <w:color w:val="000000"/>
          <w:kern w:val="0"/>
          <w:sz w:val="32"/>
          <w:szCs w:val="32"/>
          <w:lang w:val="en-US" w:eastAsia="zh-CN"/>
        </w:rPr>
      </w:pPr>
      <w:r>
        <w:rPr>
          <w:rFonts w:hint="default" w:ascii="Times New Roman" w:hAnsi="Times New Roman" w:eastAsia="仿宋_GB2312" w:cs="Times New Roman"/>
          <w:color w:val="000000"/>
          <w:kern w:val="0"/>
          <w:sz w:val="32"/>
          <w:szCs w:val="32"/>
          <w:lang w:val="en-US" w:eastAsia="zh-CN"/>
        </w:rPr>
        <w:t>问题一：基本支出实际执行数超过全年预算数。</w:t>
      </w:r>
    </w:p>
    <w:p>
      <w:pPr>
        <w:widowControl/>
        <w:spacing w:line="560" w:lineRule="exact"/>
        <w:ind w:firstLine="640" w:firstLineChars="200"/>
        <w:jc w:val="left"/>
        <w:rPr>
          <w:rFonts w:hint="default" w:ascii="Times New Roman" w:hAnsi="Times New Roman" w:eastAsia="仿宋_GB2312" w:cs="Times New Roman"/>
          <w:color w:val="000000"/>
          <w:kern w:val="0"/>
          <w:sz w:val="32"/>
          <w:szCs w:val="32"/>
          <w:lang w:val="en-US" w:eastAsia="zh-CN"/>
        </w:rPr>
      </w:pPr>
      <w:r>
        <w:rPr>
          <w:rFonts w:hint="default" w:ascii="Times New Roman" w:hAnsi="Times New Roman" w:eastAsia="仿宋_GB2312" w:cs="Times New Roman"/>
          <w:color w:val="000000"/>
          <w:kern w:val="0"/>
          <w:sz w:val="32"/>
          <w:szCs w:val="32"/>
          <w:lang w:val="en-US" w:eastAsia="zh-CN"/>
        </w:rPr>
        <w:t>原因分析：公务员需按照国标调整工资，使得最终的基本支出实际执行数超过全年预算数。</w:t>
      </w:r>
    </w:p>
    <w:p>
      <w:pPr>
        <w:widowControl/>
        <w:spacing w:line="560" w:lineRule="exact"/>
        <w:ind w:firstLine="640" w:firstLineChars="200"/>
        <w:jc w:val="left"/>
        <w:rPr>
          <w:rFonts w:hint="default" w:ascii="Times New Roman" w:hAnsi="Times New Roman" w:eastAsia="仿宋_GB2312" w:cs="Times New Roman"/>
          <w:color w:val="000000"/>
          <w:kern w:val="0"/>
          <w:sz w:val="32"/>
          <w:szCs w:val="32"/>
          <w:lang w:val="en-US" w:eastAsia="zh-CN"/>
        </w:rPr>
      </w:pPr>
      <w:r>
        <w:rPr>
          <w:rFonts w:hint="default" w:ascii="Times New Roman" w:hAnsi="Times New Roman" w:eastAsia="仿宋_GB2312" w:cs="Times New Roman"/>
          <w:color w:val="000000"/>
          <w:kern w:val="0"/>
          <w:sz w:val="32"/>
          <w:szCs w:val="32"/>
          <w:lang w:val="en-US" w:eastAsia="zh-CN"/>
        </w:rPr>
        <w:t>问题二：在年中进行部门绩效自监控时，半年实际执行数与计划不一致。</w:t>
      </w:r>
    </w:p>
    <w:p>
      <w:pPr>
        <w:widowControl/>
        <w:spacing w:line="560" w:lineRule="exact"/>
        <w:ind w:firstLine="640" w:firstLineChars="200"/>
        <w:jc w:val="left"/>
        <w:rPr>
          <w:rFonts w:hint="default" w:ascii="Times New Roman" w:hAnsi="Times New Roman" w:eastAsia="黑体" w:cs="Times New Roman"/>
          <w:color w:val="000000"/>
          <w:kern w:val="0"/>
          <w:sz w:val="32"/>
          <w:szCs w:val="32"/>
          <w:lang w:val="en-US" w:eastAsia="zh-CN"/>
        </w:rPr>
      </w:pPr>
      <w:r>
        <w:rPr>
          <w:rFonts w:hint="default" w:ascii="Times New Roman" w:hAnsi="Times New Roman" w:eastAsia="仿宋_GB2312" w:cs="Times New Roman"/>
          <w:color w:val="000000"/>
          <w:kern w:val="0"/>
          <w:sz w:val="32"/>
          <w:szCs w:val="32"/>
          <w:lang w:val="en-US" w:eastAsia="zh-CN"/>
        </w:rPr>
        <w:t>原因分析：一是公务员按照国标调整工资基本发生在上半年；二是专项资金中，各类日常小调查项目支出大部分发生在每年的11月份，导致半年计划支出与实际支出不一致。</w:t>
      </w:r>
    </w:p>
    <w:p>
      <w:pPr>
        <w:spacing w:line="560" w:lineRule="exact"/>
        <w:ind w:firstLine="640" w:firstLineChars="200"/>
        <w:rPr>
          <w:rFonts w:hint="default" w:ascii="Times New Roman" w:hAnsi="Times New Roman" w:eastAsia="黑体" w:cs="Times New Roman"/>
          <w:color w:val="000000"/>
          <w:kern w:val="0"/>
          <w:sz w:val="32"/>
          <w:szCs w:val="32"/>
        </w:rPr>
      </w:pPr>
    </w:p>
    <w:p>
      <w:pPr>
        <w:spacing w:line="560" w:lineRule="exact"/>
        <w:ind w:firstLine="640" w:firstLineChars="200"/>
        <w:rPr>
          <w:rFonts w:hint="default" w:ascii="Times New Roman" w:hAnsi="Times New Roman" w:eastAsia="黑体" w:cs="Times New Roman"/>
          <w:color w:val="000000"/>
          <w:kern w:val="0"/>
          <w:sz w:val="32"/>
          <w:szCs w:val="32"/>
        </w:rPr>
      </w:pPr>
      <w:r>
        <w:rPr>
          <w:rFonts w:hint="default" w:ascii="Times New Roman" w:hAnsi="Times New Roman" w:eastAsia="黑体" w:cs="Times New Roman"/>
          <w:color w:val="000000"/>
          <w:kern w:val="0"/>
          <w:sz w:val="32"/>
          <w:szCs w:val="32"/>
        </w:rPr>
        <w:t>五、有关建议</w:t>
      </w:r>
    </w:p>
    <w:p>
      <w:pPr>
        <w:widowControl/>
        <w:spacing w:line="560" w:lineRule="exact"/>
        <w:ind w:firstLine="640" w:firstLineChars="200"/>
        <w:jc w:val="left"/>
        <w:rPr>
          <w:rFonts w:hint="default" w:ascii="Times New Roman" w:hAnsi="Times New Roman" w:eastAsia="仿宋_GB2312" w:cs="Times New Roman"/>
          <w:color w:val="000000"/>
          <w:kern w:val="0"/>
          <w:sz w:val="32"/>
          <w:szCs w:val="32"/>
          <w:lang w:eastAsia="zh-CN"/>
        </w:rPr>
      </w:pPr>
      <w:r>
        <w:rPr>
          <w:rFonts w:hint="default" w:ascii="Times New Roman" w:hAnsi="Times New Roman" w:eastAsia="仿宋_GB2312" w:cs="Times New Roman"/>
          <w:color w:val="000000"/>
          <w:kern w:val="0"/>
          <w:sz w:val="32"/>
          <w:szCs w:val="32"/>
          <w:lang w:eastAsia="zh-CN"/>
        </w:rPr>
        <w:t>无</w:t>
      </w:r>
    </w:p>
    <w:p>
      <w:pPr>
        <w:spacing w:line="560" w:lineRule="exact"/>
        <w:ind w:firstLine="640" w:firstLineChars="200"/>
        <w:rPr>
          <w:rFonts w:hint="default" w:ascii="Times New Roman" w:hAnsi="Times New Roman" w:eastAsia="黑体" w:cs="Times New Roman"/>
          <w:color w:val="000000"/>
          <w:kern w:val="0"/>
          <w:sz w:val="32"/>
          <w:szCs w:val="32"/>
        </w:rPr>
      </w:pPr>
    </w:p>
    <w:p>
      <w:pPr>
        <w:spacing w:line="560" w:lineRule="exact"/>
        <w:ind w:firstLine="640" w:firstLineChars="200"/>
        <w:rPr>
          <w:rFonts w:hint="default" w:ascii="Times New Roman" w:hAnsi="Times New Roman" w:eastAsia="黑体" w:cs="Times New Roman"/>
          <w:color w:val="000000"/>
          <w:kern w:val="0"/>
          <w:sz w:val="32"/>
          <w:szCs w:val="32"/>
        </w:rPr>
      </w:pPr>
      <w:r>
        <w:rPr>
          <w:rFonts w:hint="default" w:ascii="Times New Roman" w:hAnsi="Times New Roman" w:eastAsia="黑体" w:cs="Times New Roman"/>
          <w:color w:val="000000"/>
          <w:kern w:val="0"/>
          <w:sz w:val="32"/>
          <w:szCs w:val="32"/>
        </w:rPr>
        <w:t>六、评价工作开展情况及其他需说明的情况</w:t>
      </w:r>
    </w:p>
    <w:p>
      <w:pPr>
        <w:pStyle w:val="9"/>
        <w:keepNext w:val="0"/>
        <w:keepLines w:val="0"/>
        <w:pageBreakBefore w:val="0"/>
        <w:widowControl w:val="0"/>
        <w:numPr>
          <w:ilvl w:val="0"/>
          <w:numId w:val="0"/>
        </w:numPr>
        <w:kinsoku/>
        <w:wordWrap/>
        <w:overflowPunct w:val="0"/>
        <w:topLinePunct w:val="0"/>
        <w:bidi w:val="0"/>
        <w:snapToGrid/>
        <w:spacing w:line="520" w:lineRule="exact"/>
        <w:ind w:firstLine="640"/>
        <w:jc w:val="both"/>
        <w:textAlignment w:val="auto"/>
        <w:rPr>
          <w:rFonts w:hint="eastAsia" w:ascii="Times New Roman" w:hAnsi="Times New Roman" w:eastAsia="仿宋_GB2312" w:cs="Times New Roman"/>
          <w:color w:val="000000"/>
          <w:kern w:val="0"/>
          <w:sz w:val="32"/>
          <w:szCs w:val="32"/>
          <w:lang w:val="en-US" w:eastAsia="zh-CN" w:bidi="ar-SA"/>
        </w:rPr>
      </w:pPr>
      <w:r>
        <w:rPr>
          <w:rFonts w:hint="eastAsia" w:ascii="Times New Roman" w:hAnsi="Times New Roman" w:eastAsia="仿宋_GB2312" w:cs="Times New Roman"/>
          <w:color w:val="000000"/>
          <w:kern w:val="0"/>
          <w:sz w:val="32"/>
          <w:szCs w:val="32"/>
          <w:lang w:val="en-US" w:eastAsia="zh-CN" w:bidi="ar-SA"/>
        </w:rPr>
        <w:t>2022年度本部门工作开展情况较好。一是坚持党建引领，不断完善统计队伍建设。扎实推进区委首轮巡察整改落实；践行“两在两同”</w:t>
      </w:r>
      <w:r>
        <w:rPr>
          <w:rFonts w:hint="default" w:ascii="Times New Roman" w:hAnsi="Times New Roman" w:eastAsia="仿宋_GB2312" w:cs="Times New Roman"/>
          <w:color w:val="000000"/>
          <w:kern w:val="0"/>
          <w:sz w:val="32"/>
          <w:szCs w:val="32"/>
          <w:lang w:val="en-US" w:eastAsia="zh-CN" w:bidi="ar-SA"/>
        </w:rPr>
        <w:t>扛起疫情防控责任</w:t>
      </w:r>
      <w:r>
        <w:rPr>
          <w:rFonts w:hint="eastAsia" w:ascii="Times New Roman" w:hAnsi="Times New Roman" w:eastAsia="仿宋_GB2312" w:cs="Times New Roman"/>
          <w:color w:val="000000"/>
          <w:kern w:val="0"/>
          <w:sz w:val="32"/>
          <w:szCs w:val="32"/>
          <w:lang w:val="en-US" w:eastAsia="zh-CN" w:bidi="ar-SA"/>
        </w:rPr>
        <w:t>；积极开展走访活动服务基层。二是</w:t>
      </w:r>
      <w:r>
        <w:rPr>
          <w:rFonts w:hint="default" w:ascii="Times New Roman" w:hAnsi="Times New Roman" w:eastAsia="仿宋_GB2312" w:cs="Times New Roman"/>
          <w:color w:val="000000"/>
          <w:kern w:val="0"/>
          <w:sz w:val="32"/>
          <w:szCs w:val="32"/>
          <w:lang w:val="en-US" w:eastAsia="zh-CN" w:bidi="ar-SA"/>
        </w:rPr>
        <w:t>坚持质量为本，</w:t>
      </w:r>
      <w:r>
        <w:rPr>
          <w:rFonts w:hint="eastAsia" w:ascii="Times New Roman" w:hAnsi="Times New Roman" w:eastAsia="仿宋_GB2312" w:cs="Times New Roman"/>
          <w:color w:val="000000"/>
          <w:kern w:val="0"/>
          <w:sz w:val="32"/>
          <w:szCs w:val="32"/>
          <w:lang w:val="en-US" w:eastAsia="zh-CN" w:bidi="ar-SA"/>
        </w:rPr>
        <w:t>持续深入开展</w:t>
      </w:r>
      <w:r>
        <w:rPr>
          <w:rFonts w:hint="default" w:ascii="Times New Roman" w:hAnsi="Times New Roman" w:eastAsia="仿宋_GB2312" w:cs="Times New Roman"/>
          <w:color w:val="000000"/>
          <w:kern w:val="0"/>
          <w:sz w:val="32"/>
          <w:szCs w:val="32"/>
          <w:lang w:val="en-US" w:eastAsia="zh-CN" w:bidi="ar-SA"/>
        </w:rPr>
        <w:t>统计法</w:t>
      </w:r>
      <w:r>
        <w:rPr>
          <w:rFonts w:hint="eastAsia" w:ascii="Times New Roman" w:hAnsi="Times New Roman" w:eastAsia="仿宋_GB2312" w:cs="Times New Roman"/>
          <w:color w:val="000000"/>
          <w:kern w:val="0"/>
          <w:sz w:val="32"/>
          <w:szCs w:val="32"/>
          <w:lang w:val="en-US" w:eastAsia="zh-CN" w:bidi="ar-SA"/>
        </w:rPr>
        <w:t>治工作。切实履行防惩统计造假主体责任；不断加大执法检查力度；广泛开展统计法治宣传教育。三是</w:t>
      </w:r>
      <w:r>
        <w:rPr>
          <w:rFonts w:hint="default" w:ascii="Times New Roman" w:hAnsi="Times New Roman" w:eastAsia="仿宋_GB2312" w:cs="Times New Roman"/>
          <w:color w:val="000000"/>
          <w:kern w:val="0"/>
          <w:sz w:val="32"/>
          <w:szCs w:val="32"/>
          <w:lang w:val="en-US" w:eastAsia="zh-CN" w:bidi="ar-SA"/>
        </w:rPr>
        <w:t>坚持</w:t>
      </w:r>
      <w:r>
        <w:rPr>
          <w:rFonts w:hint="eastAsia" w:ascii="Times New Roman" w:hAnsi="Times New Roman" w:eastAsia="仿宋_GB2312" w:cs="Times New Roman"/>
          <w:color w:val="000000"/>
          <w:kern w:val="0"/>
          <w:sz w:val="32"/>
          <w:szCs w:val="32"/>
          <w:lang w:val="en-US" w:eastAsia="zh-CN" w:bidi="ar-SA"/>
        </w:rPr>
        <w:t>增量并举，稳步推进企业升规入统。不断加强升规储备、单位监测和攻坚突破。四是坚持服务为先，逐渐完善统计监测体系。紧抓重点行业重点单位和关键指标，积极开展专项调研；强化部门联动和市区协调。五是</w:t>
      </w:r>
      <w:r>
        <w:rPr>
          <w:rFonts w:hint="default" w:ascii="Times New Roman" w:hAnsi="Times New Roman" w:eastAsia="仿宋_GB2312" w:cs="Times New Roman"/>
          <w:color w:val="000000"/>
          <w:kern w:val="0"/>
          <w:sz w:val="32"/>
          <w:szCs w:val="32"/>
          <w:lang w:val="en-US" w:eastAsia="zh-CN" w:bidi="ar-SA"/>
        </w:rPr>
        <w:t>坚持</w:t>
      </w:r>
      <w:r>
        <w:rPr>
          <w:rFonts w:hint="eastAsia" w:ascii="Times New Roman" w:hAnsi="Times New Roman" w:eastAsia="仿宋_GB2312" w:cs="Times New Roman"/>
          <w:color w:val="000000"/>
          <w:kern w:val="0"/>
          <w:sz w:val="32"/>
          <w:szCs w:val="32"/>
          <w:lang w:val="en-US" w:eastAsia="zh-CN" w:bidi="ar-SA"/>
        </w:rPr>
        <w:t>基础夯实</w:t>
      </w:r>
      <w:r>
        <w:rPr>
          <w:rFonts w:hint="default" w:ascii="Times New Roman" w:hAnsi="Times New Roman" w:eastAsia="仿宋_GB2312" w:cs="Times New Roman"/>
          <w:color w:val="000000"/>
          <w:kern w:val="0"/>
          <w:sz w:val="32"/>
          <w:szCs w:val="32"/>
          <w:lang w:val="en-US" w:eastAsia="zh-CN" w:bidi="ar-SA"/>
        </w:rPr>
        <w:t>，</w:t>
      </w:r>
      <w:r>
        <w:rPr>
          <w:rFonts w:hint="eastAsia" w:ascii="Times New Roman" w:hAnsi="Times New Roman" w:eastAsia="仿宋_GB2312" w:cs="Times New Roman"/>
          <w:color w:val="000000"/>
          <w:kern w:val="0"/>
          <w:sz w:val="32"/>
          <w:szCs w:val="32"/>
          <w:lang w:val="en-US" w:eastAsia="zh-CN" w:bidi="ar-SA"/>
        </w:rPr>
        <w:t>有序推进</w:t>
      </w:r>
      <w:r>
        <w:rPr>
          <w:rFonts w:hint="default" w:ascii="Times New Roman" w:hAnsi="Times New Roman" w:eastAsia="仿宋_GB2312" w:cs="Times New Roman"/>
          <w:color w:val="000000"/>
          <w:kern w:val="0"/>
          <w:sz w:val="32"/>
          <w:szCs w:val="32"/>
          <w:lang w:val="en-US" w:eastAsia="zh-CN" w:bidi="ar-SA"/>
        </w:rPr>
        <w:t>住户大样本轮换工作</w:t>
      </w:r>
      <w:r>
        <w:rPr>
          <w:rFonts w:hint="eastAsia" w:ascii="Times New Roman" w:hAnsi="Times New Roman" w:eastAsia="仿宋_GB2312" w:cs="Times New Roman"/>
          <w:color w:val="000000"/>
          <w:kern w:val="0"/>
          <w:sz w:val="32"/>
          <w:szCs w:val="32"/>
          <w:lang w:val="en-US" w:eastAsia="zh-CN" w:bidi="ar-SA"/>
        </w:rPr>
        <w:t>。此外，顺利完成全国第五次经济普查领导小组建立，普查设备摸底调研，普查经费预算编制，5</w:t>
      </w:r>
      <w:r>
        <w:rPr>
          <w:rFonts w:hint="default" w:ascii="Times New Roman" w:hAnsi="Times New Roman" w:eastAsia="仿宋_GB2312" w:cs="Times New Roman"/>
          <w:color w:val="000000"/>
          <w:kern w:val="0"/>
          <w:sz w:val="32"/>
          <w:szCs w:val="32"/>
          <w:lang w:val="en-US" w:eastAsia="zh-CN" w:bidi="ar-SA"/>
        </w:rPr>
        <w:t>‰</w:t>
      </w:r>
      <w:r>
        <w:rPr>
          <w:rFonts w:hint="eastAsia" w:ascii="Times New Roman" w:hAnsi="Times New Roman" w:eastAsia="仿宋_GB2312" w:cs="Times New Roman"/>
          <w:color w:val="000000"/>
          <w:kern w:val="0"/>
          <w:sz w:val="32"/>
          <w:szCs w:val="32"/>
          <w:lang w:val="en-US" w:eastAsia="zh-CN" w:bidi="ar-SA"/>
        </w:rPr>
        <w:t>人口变动抽样调查及劳动工资统计等工作。</w:t>
      </w:r>
    </w:p>
    <w:p>
      <w:pPr>
        <w:pStyle w:val="9"/>
        <w:keepNext w:val="0"/>
        <w:keepLines w:val="0"/>
        <w:pageBreakBefore w:val="0"/>
        <w:widowControl w:val="0"/>
        <w:numPr>
          <w:ilvl w:val="0"/>
          <w:numId w:val="0"/>
        </w:numPr>
        <w:kinsoku/>
        <w:wordWrap/>
        <w:overflowPunct w:val="0"/>
        <w:topLinePunct w:val="0"/>
        <w:bidi w:val="0"/>
        <w:snapToGrid/>
        <w:spacing w:line="520" w:lineRule="exact"/>
        <w:ind w:firstLine="640"/>
        <w:jc w:val="both"/>
        <w:textAlignment w:val="auto"/>
        <w:rPr>
          <w:rFonts w:hint="eastAsia" w:ascii="Times New Roman" w:hAnsi="Times New Roman" w:eastAsia="仿宋_GB2312" w:cs="Times New Roman"/>
          <w:color w:val="000000"/>
          <w:kern w:val="0"/>
          <w:sz w:val="32"/>
          <w:szCs w:val="32"/>
          <w:lang w:val="en-US" w:eastAsia="zh-CN" w:bidi="ar-SA"/>
        </w:rPr>
      </w:pPr>
      <w:r>
        <w:rPr>
          <w:rFonts w:hint="eastAsia" w:eastAsia="仿宋_GB2312" w:cs="Times New Roman"/>
          <w:color w:val="000000"/>
          <w:kern w:val="0"/>
          <w:sz w:val="32"/>
          <w:szCs w:val="32"/>
          <w:lang w:val="en-US" w:eastAsia="zh-CN" w:bidi="ar-SA"/>
        </w:rPr>
        <w:t>无其他需说明的情况。</w:t>
      </w:r>
      <w:bookmarkStart w:id="0" w:name="_GoBack"/>
      <w:bookmarkEnd w:id="0"/>
    </w:p>
    <w:p>
      <w:pPr>
        <w:spacing w:line="520" w:lineRule="exact"/>
        <w:rPr>
          <w:rFonts w:hint="default" w:ascii="Times New Roman" w:hAnsi="Times New Roman" w:eastAsia="仿宋_GB2312" w:cs="Times New Roman"/>
          <w:color w:val="000000"/>
          <w:kern w:val="0"/>
          <w:sz w:val="32"/>
          <w:szCs w:val="32"/>
        </w:rPr>
      </w:pPr>
    </w:p>
    <w:p>
      <w:pPr>
        <w:rPr>
          <w:rFonts w:hint="default" w:ascii="Times New Roman" w:hAnsi="Times New Roman" w:cs="Times New Roma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方正小标宋简体">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0000000000000000000"/>
    <w:charset w:val="00"/>
    <w:family w:val="auto"/>
    <w:pitch w:val="default"/>
    <w:sig w:usb0="00000000" w:usb1="00000000" w:usb2="00000000" w:usb3="00000000" w:csb0="00000000" w:csb1="00000000"/>
  </w:font>
  <w:font w:name="方正楷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g1NWYwOGU0ODQ2ODhlNWE1NmJkYWUzYTQ0N2FmYzYifQ=="/>
  </w:docVars>
  <w:rsids>
    <w:rsidRoot w:val="00E429D5"/>
    <w:rsid w:val="006836D3"/>
    <w:rsid w:val="00A03F20"/>
    <w:rsid w:val="00C42F26"/>
    <w:rsid w:val="00DA5AC3"/>
    <w:rsid w:val="00E429D5"/>
    <w:rsid w:val="00F33AA4"/>
    <w:rsid w:val="036C5C5C"/>
    <w:rsid w:val="08FA33F9"/>
    <w:rsid w:val="09A7207B"/>
    <w:rsid w:val="0A717628"/>
    <w:rsid w:val="0B1E3309"/>
    <w:rsid w:val="0BBC79F6"/>
    <w:rsid w:val="0D423EFF"/>
    <w:rsid w:val="0F224D75"/>
    <w:rsid w:val="125067AE"/>
    <w:rsid w:val="15B40C80"/>
    <w:rsid w:val="177C3857"/>
    <w:rsid w:val="186C07AC"/>
    <w:rsid w:val="1A481E69"/>
    <w:rsid w:val="1C3D380E"/>
    <w:rsid w:val="1D3F2BCF"/>
    <w:rsid w:val="1EEA0EA3"/>
    <w:rsid w:val="1FAD353D"/>
    <w:rsid w:val="20AB1D85"/>
    <w:rsid w:val="23D42997"/>
    <w:rsid w:val="28E36FAE"/>
    <w:rsid w:val="2CAE30E6"/>
    <w:rsid w:val="354E0E2C"/>
    <w:rsid w:val="378974B0"/>
    <w:rsid w:val="38356DB8"/>
    <w:rsid w:val="388859B9"/>
    <w:rsid w:val="3A4D32F8"/>
    <w:rsid w:val="3CEA5618"/>
    <w:rsid w:val="3D45031D"/>
    <w:rsid w:val="42821601"/>
    <w:rsid w:val="44B5297D"/>
    <w:rsid w:val="4A3067AD"/>
    <w:rsid w:val="4AE90F33"/>
    <w:rsid w:val="4BE151DB"/>
    <w:rsid w:val="4C7F2DCA"/>
    <w:rsid w:val="4D687866"/>
    <w:rsid w:val="4FDF015D"/>
    <w:rsid w:val="500B6D4F"/>
    <w:rsid w:val="51361FFF"/>
    <w:rsid w:val="51BA0BFD"/>
    <w:rsid w:val="523C242A"/>
    <w:rsid w:val="543842E0"/>
    <w:rsid w:val="552D3719"/>
    <w:rsid w:val="554F18E1"/>
    <w:rsid w:val="56220DA3"/>
    <w:rsid w:val="5A151432"/>
    <w:rsid w:val="5E96386E"/>
    <w:rsid w:val="5F0E5590"/>
    <w:rsid w:val="615A5895"/>
    <w:rsid w:val="61BC463B"/>
    <w:rsid w:val="62B15989"/>
    <w:rsid w:val="63E50EF3"/>
    <w:rsid w:val="66A77C2B"/>
    <w:rsid w:val="67A91325"/>
    <w:rsid w:val="68BB30BE"/>
    <w:rsid w:val="6ACD4FE6"/>
    <w:rsid w:val="6B80224F"/>
    <w:rsid w:val="71DB20DB"/>
    <w:rsid w:val="71EB1D66"/>
    <w:rsid w:val="725A3947"/>
    <w:rsid w:val="73CD6A3D"/>
    <w:rsid w:val="75614FED"/>
    <w:rsid w:val="7C1E59E5"/>
    <w:rsid w:val="7C611D76"/>
    <w:rsid w:val="7F1D01D6"/>
    <w:rsid w:val="7F9F50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1"/>
    <w:rPr>
      <w:sz w:val="32"/>
      <w:szCs w:val="32"/>
    </w:rPr>
  </w:style>
  <w:style w:type="paragraph" w:styleId="3">
    <w:name w:val="footer"/>
    <w:basedOn w:val="1"/>
    <w:link w:val="8"/>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7"/>
    <w:unhideWhenUsed/>
    <w:qFormat/>
    <w:uiPriority w:val="99"/>
    <w:pP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7">
    <w:name w:val="页眉 字符"/>
    <w:basedOn w:val="6"/>
    <w:link w:val="4"/>
    <w:qFormat/>
    <w:uiPriority w:val="99"/>
    <w:rPr>
      <w:sz w:val="18"/>
      <w:szCs w:val="18"/>
    </w:rPr>
  </w:style>
  <w:style w:type="character" w:customStyle="1" w:styleId="8">
    <w:name w:val="页脚 字符"/>
    <w:basedOn w:val="6"/>
    <w:link w:val="3"/>
    <w:qFormat/>
    <w:uiPriority w:val="99"/>
    <w:rPr>
      <w:sz w:val="18"/>
      <w:szCs w:val="18"/>
    </w:rPr>
  </w:style>
  <w:style w:type="paragraph" w:customStyle="1" w:styleId="9">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42</Words>
  <Characters>246</Characters>
  <Lines>2</Lines>
  <Paragraphs>1</Paragraphs>
  <TotalTime>0</TotalTime>
  <ScaleCrop>false</ScaleCrop>
  <LinksUpToDate>false</LinksUpToDate>
  <CharactersWithSpaces>287</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2023-07-20T03:06:00Z</dcterms:created>
  <dc:creator>ICBC</dc:creator>
  <cp:lastModifiedBy>Dell</cp:lastModifiedBy>
  <dcterms:modified xsi:type="dcterms:W3CDTF">2023-07-28T06:23:50Z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6A51D33918FB4CA3A407842DD1BAC911_12</vt:lpwstr>
  </property>
</Properties>
</file>