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6" w:beforeLines="50" w:after="156" w:afterLines="50" w:line="400" w:lineRule="exact"/>
        <w:jc w:val="center"/>
        <w:textAlignment w:val="auto"/>
        <w:outlineLvl w:val="9"/>
        <w:rPr>
          <w:rFonts w:hint="eastAsia" w:ascii="Times New Roman" w:hAnsi="Times New Roman" w:eastAsia="方正小标宋_GBK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6" w:beforeLines="50" w:after="156" w:afterLines="50" w:line="400" w:lineRule="exact"/>
        <w:jc w:val="center"/>
        <w:textAlignment w:val="auto"/>
        <w:outlineLvl w:val="9"/>
        <w:rPr>
          <w:rFonts w:hint="eastAsia" w:ascii="Times New Roman" w:hAnsi="Times New Roman" w:eastAsia="方正小标宋_GBK" w:cs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宋体"/>
          <w:kern w:val="0"/>
          <w:sz w:val="28"/>
          <w:szCs w:val="28"/>
          <w:lang w:val="en-US" w:eastAsia="zh-CN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b w:val="0"/>
          <w:bCs/>
          <w:caps w:val="0"/>
          <w:spacing w:val="0"/>
          <w:w w:val="100"/>
          <w:kern w:val="0"/>
          <w:sz w:val="20"/>
          <w:szCs w:val="20"/>
          <w:lang w:val="en-US" w:eastAsia="zh-CN"/>
        </w:rPr>
        <w:t>1．</w:t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instrText xml:space="preserve">TOC \o "1-1" \h \u </w:instrText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_Toc26464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kern w:val="0"/>
          <w:sz w:val="20"/>
          <w:szCs w:val="20"/>
        </w:rPr>
        <w:t>202</w:t>
      </w:r>
      <w:r>
        <w:rPr>
          <w:rFonts w:hint="eastAsia" w:ascii="Times New Roman" w:hAnsi="Times New Roman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0"/>
          <w:szCs w:val="20"/>
        </w:rPr>
        <w:t>年秦淮区国民经济和社会发展统计公报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_Toc26464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_Toc12582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地区生产总值及构成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_Toc12582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9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3．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_Toc11970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全社会固定资产投资完成情况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_Toc11970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10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_Toc11099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房地产开发经营情况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_Toc11099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_Toc698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社零及贸易业销售情况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_Toc698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_Toc19662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规模以上服务业主要经济指标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_Toc19662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13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_Toc5868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规模以上工业产值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_Toc5868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14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8．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_Toc13487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规模以上工业企业经济效益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_Toc13487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15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9．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_Toc26998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开放型经济完成情况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_Toc26998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16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10．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_Toc22602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招商引资完成情况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_Toc22602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17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11．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_Toc1666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就业和社会保障情况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_Toc1666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18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_Toc19004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环境保护工作情况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_Toc19004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19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13．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_Toc18636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民政优抚、社会救济工作情况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_Toc18636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20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_Toc21264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卫生健康工作情况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_Toc21264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_Toc14556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信访工作完成情况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_Toc14556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_Toc30304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政府事务办理概况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_Toc30304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23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_Toc15113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科技创新完成情况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_Toc15113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24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18．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_Toc22437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全区户籍人口变动情况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_Toc22437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25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19．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_Toc23418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全区分街道户籍人口情况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_Toc23418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26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_Toc14000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各区地区生产总值完成情况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_Toc14000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27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23．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_Toc21984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各区固定资产投资额完成情况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_Toc21984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28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_Toc30472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各区第三产业增加值完成情况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_Toc30472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29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_Toc9176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各区社会消费品零售额完成情况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_Toc9176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30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_Toc1859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各区城镇居民人均可支配收入完成情况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_Toc1859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_Toc3935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各区全体居民人均可支配收入完成情况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_Toc3935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312" w:beforeLines="100" w:after="312" w:afterLines="100" w:line="400" w:lineRule="exact"/>
        <w:jc w:val="center"/>
        <w:textAlignment w:val="auto"/>
        <w:outlineLvl w:val="0"/>
        <w:rPr>
          <w:rFonts w:hint="eastAsia" w:ascii="Times New Roman" w:hAnsi="Times New Roman" w:eastAsia="方正小标宋_GBK" w:cs="宋体"/>
          <w:kern w:val="0"/>
          <w:sz w:val="24"/>
          <w:szCs w:val="24"/>
        </w:rPr>
        <w:sectPr>
          <w:pgSz w:w="6803" w:h="11905"/>
          <w:pgMar w:top="1417" w:right="850" w:bottom="1134" w:left="85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312" w:beforeLines="100" w:after="312" w:afterLines="100" w:line="440" w:lineRule="exact"/>
        <w:jc w:val="center"/>
        <w:textAlignment w:val="auto"/>
        <w:outlineLvl w:val="0"/>
        <w:rPr>
          <w:rFonts w:hint="eastAsia" w:ascii="Times New Roman" w:hAnsi="Times New Roman" w:eastAsia="方正小标宋_GBK" w:cs="宋体"/>
          <w:kern w:val="0"/>
          <w:sz w:val="24"/>
          <w:szCs w:val="24"/>
        </w:rPr>
      </w:pPr>
      <w:bookmarkStart w:id="0" w:name="_Toc26464"/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202</w:t>
      </w:r>
      <w:r>
        <w:rPr>
          <w:rFonts w:hint="eastAsia" w:ascii="Times New Roman" w:hAnsi="Times New Roman" w:eastAsia="方正小标宋_GBK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小标宋_GBK" w:cs="宋体"/>
          <w:kern w:val="0"/>
          <w:sz w:val="24"/>
          <w:szCs w:val="24"/>
        </w:rPr>
        <w:t>年秦淮区国民经济和社会发展统计公报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2023年，面对复杂多变的外部环境和艰难繁重的改革发展稳定任务，全区上下坚持以习近平新时代中国特色社会主义思想为指导，坚决落实国家、省、市各项决策部署，坚持稳中求进工作总基调，完整、准确、全面贯彻新发展理念，加快构建新发展格局，着力推动高质量发展，经济运行保持稳健，产业能级不断提升，民生保障有力有效，生态文明建设持续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综合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经济总量稳步增长。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初步核算，2023年，全年实现地区生产总值1464.39亿元，按可比价格计算，比上年增长5.2%。分产业看，第二产业增加值93.00亿元，同比增长1.5%；第三产业增加值1371.39亿元，同比增长5.5%。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市场主体不断壮大。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全年经工商登记新设立市场主体2.29万户，其中新设立企业0.75万户，新设立个体经营户1.54万户。年末市场主体累计18.86万户，其中企业6.62万户，个体经营户12.24万户。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就业创业保障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  <w:highlight w:val="none"/>
        </w:rPr>
        <w:t>增强。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全年城镇新增就业2.62万人、城镇失业人员就业1.2万人、援助困难人员就业1804人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eastAsia="zh-CN"/>
        </w:rPr>
        <w:t>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培育自主创业5579人、培育离校5年内高校毕业生新创业916人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eastAsia="zh-CN"/>
        </w:rPr>
        <w:t>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开展补贴性职业技能培训1.6万人次、开展学徒制培训216人、开发高质量就业见习岗位数3363个。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财政收支不断优化。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财政总收入219.14亿元，一般公共预算收入113.12亿元，比上年增长9.1%，其中税收收入104.76亿元，增长16.9%。一般公共预算支出93.12亿元，同比下降7.7%。其中，社会保障和就业支出19.73亿元，下降2.2%；教育支出27.84亿元，增长6.1%；卫生健康支出6.75亿元，下降32.7%；科学技术支出2.49亿元，下降19.9%；农林水支出0.22亿元，下降4.3%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工业企业产值效益下滑。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全区实现规模以上工业总产值165.6亿元，同比下降5.6%。规模以上工业企业实现利税总额11.50亿元，同比下降13.7%，利润总额7.58亿元，同比下降19.1%。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建筑业产值平稳增长。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全区资质以上建筑业企业133家，其中一级资质27家，二级资质44家，三级及其他资质62家。全年实现建筑业总产值154.6亿元，同比增长7.8%。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固定资产投资和房地产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固定资产投资增长稳定。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全区固定资产投资同比增长17.9%。全年固定资产投资</w:t>
      </w:r>
      <w:r>
        <w:rPr>
          <w:rFonts w:hint="eastAsia" w:ascii="Times New Roman" w:hAnsi="Times New Roman" w:eastAsiaTheme="minorEastAsia" w:cstheme="minorEastAsia"/>
          <w:caps w:val="0"/>
          <w:spacing w:val="-6"/>
          <w:w w:val="100"/>
          <w:kern w:val="0"/>
          <w:sz w:val="20"/>
          <w:szCs w:val="20"/>
        </w:rPr>
        <w:t>项目共217个，其中固定资产项目171个，房地产项目46个。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房地产开发增长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  <w:highlight w:val="none"/>
        </w:rPr>
        <w:t>平稳。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2023年全年商品房销售面积76.51万平方米，同比增长4.9%，其中住宅销售面积73.99万平方米，同比增长13.8%。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国内贸易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消费品市场稳中有进。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全区实现全社会消费品零售总额1063.1亿元，同比增长7.4%。其中限上零售额782.2亿元，同比增长6%。贸易销售全区实现全口径贸易业销售额3440.1亿元，同比增长10.4%，其中批发业销售额240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val="en-US" w:eastAsia="zh-CN"/>
        </w:rPr>
        <w:t>7.0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亿元，同比增长12.4%，零售业销售额867.8亿元，同比增长3.6%，住宿业销售额19.6亿元，同比增长42.8%，餐饮业销售额145.7亿元，同比增长17.4%。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开放型经济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对外贸易稳中趋降。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完成外贸进出口754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val="en-US" w:eastAsia="zh-CN"/>
        </w:rPr>
        <w:t>.0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亿元，同比下降2.2%</w:t>
      </w:r>
      <w:bookmarkStart w:id="25" w:name="_GoBack"/>
      <w:bookmarkEnd w:id="25"/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。全区实际利用外资29151万美元，同比增长135.8%。全年吸收外商直接投资新设立企业45家，新增合同外资25067亿美元。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科学技术和教育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科技创新能力增强。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新增专利授权量4667件，其中新增发明专利授权2514件，同比增长11.3%，有效发明专利拥有量达13143件，高维持年限（十年以上）发明专利数量达2234件。全年共1354家企业通过科技型中小企业评价，205家企业通过高新技术企业认定，全区高新技术企业总数达598家。新型研发机构累计孵化引进企业236家，全年营收突破27.18亿元，24家企业入选省产学研合作项目。新增省级工程技术研究中心4个，市级工程技术研究中心10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FF000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教育事业稳步推进。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现有普通高中5所、初中13所（含中华初中部、一中初中部）、小学38所（含2所特殊教育学校）、幼儿园68所（82个办学点）、高等职业学校1所，教师发展中心1所、少年宫（少年儿童校外活动基地）1所、开放大学1所。新增江苏省名校长工作室主持人1人、江苏省教学名师2人、正高级教师4人、南京市名师工作室主持人2人、南京市德育工作带头人12人、南京市优秀青年教师36人、南京市优秀教育工作者11人，南京市“普通高中教育先进个人”和“普通高中教学先进个人”34人。全区学前教育普惠率90.07%，省市优质园幼儿占比97.0%。学前教育普及普惠监测达标率达96.2%，全市第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文旅、卫生和体育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文化旅游服务水平提升。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共有市级以上文化产业园区14家，其中国家级1家，省级2家（1家同时为国家级），市级13家（1家同时为省级）。全区共有文化馆1个，公共图书馆1个，博物馆11个，市级以上文物保护单位95处。达到省级标准的社区综合性文化服务中心114个。年末全区规模以上文化企业179家。全年开展线下文化活动1350余场，服务人次逾25万人。全区实现旅游总收入860.31亿元，游客量6824.25万人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卫生事业稳步推进。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现有区属医疗卫生单位17家，其中现有二级医院2家、社区卫生服务中心12家、公共卫生单位3家；全区各类卫生机构拥有病床11558张，其中医院拥有病床9929张。共有卫生技术人员18681人，其中执业医师、执业助理医师7050人，注册护士8601人，疾病预防控制中心卫生技术人员67人，妇幼卫生保健机构卫生技术人员1948人（含市妇幼1901人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体育事业协调发展。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三支市队区办项目队2023年参加省级锦标赛、冠军赛获41金、40银、45铜；参加国家级比赛获4金5银2铜好成绩。射箭、游泳、排球、篮球等体育示范学校体育后备人才选拔招生44名。向市队输送体育人才61名，列全市第一。承办2023年中国街舞大赛（南京站）、全国射箭锦标赛（室外）、箭舞中华·全国大众射箭比赛等国家级赛事。全年开展秦淮区全民健身运动会、社区运动会等各类健身活动450余次。完成新建2个百姓健身房，4片灯光球场，更新31套室外健身器材等民生实事项目。完成4700人免费国民体质测试任务。明外郭高桥门公园被省体育局评为省示范体育公园，也是南京市主城区唯一一个省示范体育公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环境保护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环境质量持续向好。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空气质量优良天数297天，优良率81.4%，较去年上升1.7个百分点，PM2.5全年均值为27.6微克/立方米，较上年下降5.5%。全年共69场降水，平均pH值为5.11，其中33场酸雨，酸雨率47.8%，区域内降尘均值3.4吨/每月•平方公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2023年全区重点断面水环境质量考核达标率100%。国考七桥瓮断面水质年均值为Ⅱ类，与2022年持平，市考铁窗棂、西水关、凤台桥、解放南路桥、石杨路桥、双麒路桥、过兵桥断面年均值均达到或优于考核目标，</w:t>
      </w:r>
      <w:r>
        <w:rPr>
          <w:rFonts w:hint="eastAsia" w:ascii="Times New Roman" w:hAnsi="Times New Roman" w:eastAsiaTheme="minorEastAsia" w:cstheme="minorEastAsia"/>
          <w:caps w:val="0"/>
          <w:spacing w:val="-6"/>
          <w:w w:val="100"/>
          <w:kern w:val="0"/>
          <w:sz w:val="20"/>
          <w:szCs w:val="20"/>
        </w:rPr>
        <w:t>其中铁窗棂、西水关、凤台桥、解放南路桥、过兵桥5个断面年均值达到Ⅲ类。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功能区噪声达标率90.6%，区域环境噪声监测点位有22个，昼间均值51.7分贝，较上年下降1.2分贝。交通噪声监测57个路段，平均值为67.4分贝，同比下降0.1分贝，其中达标53条，达标率93.0%。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人口、人民生活和社会保障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FF000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常住人口温和增长。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年末常住人口74.29万人，比上年末增加0.1%。年末全区户籍人口67.09万人，总户数26.38万户。按性别分：男性32.50万人，女性34.59万人。男女性别比94.0：100（女性为100）。按年龄结构分，0-17岁8.70万人，18-34岁9.87万人，35-59岁25.58万人，60岁以上22.94万人。全年出生0.28万人，出生率4.10‰，死亡0.76万人，死亡率11.39‰，自然增长率为-7.29‰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居民收支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  <w:highlight w:val="none"/>
        </w:rPr>
        <w:t>平稳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全区城镇居民人均可支配收入80946.5元，同比增长4.1%。城镇居民人均生活消费支出47567.0元，同比增长7.5%。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FF000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社会保障日臻健全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sz w:val="20"/>
          <w:szCs w:val="20"/>
        </w:rPr>
        <w:t>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年末参加企业职工基本养老保险人数24.13万人，参加城镇职工基本医疗保险人数38.64万人，参加失业保险人数24.27万人，参加工伤保险人数24.38万人，参加生育保险人数26.97万人。企业职工基本养老保险净增缴费人数4175人，本市户籍中断缴费人员续保人数2461人，新增参保单位户数3438户，三项社会保险费（养老保险、失业保险、工伤保险）征收总额45.85亿元。企业退休人员周期免费体检8.39万人。劳动保障书面审查单位1.0378万户，劳动保障监察举报投诉案件结案率100%，劳动人事争议仲裁结案率100%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FF000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政务服务更加完善。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全年办理审批和其他行政权力事项5.6万余件；助力企业快进快出，推行 “执照+许可”集成审批体系，实行“1+N”一体化注销改革，实现开办、变更、注销时限分别压缩80%、67%、33%；推行跨区“一照多址”备案，全市率先发出跨区“一照多址”备案执照；全省首推双视频“聊天办”智能政务导办服务，提供7×24小时全时段咨询服务；。优化“政务管家”涉企帮办代办，搭建“一业一证”、告知承诺等审批快速通道，全年提供代办服务600余次。全年办理12345工单12万余件，综合满意率超95%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[1]本公报使用的数据为快报数。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[2]地区生产总值、规模以上工业增加值及其分类项目增长速度按可比价计算，为实际增长速度；其他指标除特殊说明外，按现价计算，为名义增长速度。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[3]部分数据因四舍五入问题，存在总计与分项合计不等的情况。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ascii="Times New Roman" w:hAnsi="Times New Roman" w:eastAsia="宋体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[4]部分指标数据因统计口径调整，较上年不具可比性。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" w:name="_Toc1258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地区生产总值及构成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389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25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现价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可比价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国内生产总值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1464.39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批发和零售业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交通运输、仓储和邮政业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住宿和餐饮业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其他营利性服务业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" w:name="_Toc11970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全社会固定资产投资完成情况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519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0" w:firstLineChars="15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#房地产投资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0" w:firstLineChars="15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#服务业投资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363.94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0" w:firstLineChars="15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#工业投资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00" w:firstLineChars="15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#高新技术产业投资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3" w:name="_Toc11099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房地产开发经营情况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单位：万元、平方米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781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2749030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商品房屋投资额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1008035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土地开发投资额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1740995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、按工程用途分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1719329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办公楼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221801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商业用房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301891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其他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506009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、房屋建筑面积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施工面积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5310547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#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3273537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竣工面积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439552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#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318388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、商品房销售面积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765130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#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739876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、房屋销售额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3243986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 xml:space="preserve">   #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3185838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4" w:name="_Toc69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社零及贸易业销售情况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1125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全区社会消费品零售总额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限额以上社会消费品零售总额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782.25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全区贸易业限额以上销售额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其中：批发业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零售业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724.50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住宿业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餐饮业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5" w:name="_Toc1966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规模以上服务业主要经济指标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978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行业类别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营业收入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(±%)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455.73</w:t>
            </w:r>
          </w:p>
        </w:tc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6" w:name="_Toc586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规模以上工业产值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50"/>
        <w:gridCol w:w="875"/>
        <w:gridCol w:w="688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本月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工业总产值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1、轻工业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-78.6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重工业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153.37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集体工业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-97.7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股份制工业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外商及港澳台投资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其他经济类型企业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3、总计中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国有控股企业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私营企业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4、大中型企业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118.35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5、高新技术产业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工业销售产值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168.99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#出口交货值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58.87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工业产销率（%）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7" w:name="_Toc13487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规模以上工业企业经济效益</w:t>
      </w:r>
      <w:bookmarkEnd w:id="7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76"/>
        <w:gridCol w:w="1239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企业单位数</w:t>
            </w:r>
          </w:p>
        </w:tc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#亏损企业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实现利税总额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#应交增值税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亏损企业亏损额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流动资产合计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应收帐款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产成品存货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平均用工人数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8" w:name="_Toc2699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开放型经济完成情况</w:t>
      </w:r>
      <w:bookmarkEnd w:id="8"/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08"/>
        <w:gridCol w:w="1266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实际使用外资</w:t>
            </w: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万美元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29151.00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地方外贸进出口总额</w:t>
            </w:r>
          </w:p>
        </w:tc>
        <w:tc>
          <w:tcPr>
            <w:tcW w:w="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754.00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进口总额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333.10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出口总额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420.90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9" w:name="_Toc2260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招商引资完成情况</w:t>
      </w:r>
      <w:bookmarkEnd w:id="9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72"/>
        <w:gridCol w:w="776"/>
        <w:gridCol w:w="1008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目标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完成进度（%）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实际投资总额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140.61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签约项目投资总额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701.65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亿元以上项目注册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亿元以上项目开工/运营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大体量项目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优质产业项目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总部项目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0" w:name="_Toc166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就业和社会保障情况</w:t>
      </w:r>
      <w:bookmarkEnd w:id="10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695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就业和社会保障情况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城镇新增就业人数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城镇失业人员就业人数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支持离校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年内高校毕业生新创业人数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支持成功自主创业人数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企业职工基本养老保险净增缴费人数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本市户籍中断缴费人员续保人数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新增参保单位户数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劳动关系调处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 受理职工举报投诉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劳动保障书面审查单位数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补贴性职业技能培训人数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新增数字技能人才数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新型学徒制培训人数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1" w:name="_Toc1900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环境保护工作情况</w:t>
      </w:r>
      <w:bookmarkEnd w:id="11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238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环境保护现场监督检查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污水处理设施运行情况监理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建设项目环境保护情况监理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污染源监测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施工工地现场检查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降水监测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降尘监测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2" w:name="_Toc1863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民政优抚、社会救济工作情况</w:t>
      </w:r>
      <w:bookmarkEnd w:id="12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913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最低生活保障情况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城镇居民最低生活保障人次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城镇居民最低生活保障季末户数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支出城镇居民最低生活保障金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社区公共服务站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街道市民服务中心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区级社区服务中心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居家养老服务中心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社会福利单位情况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季末收养人数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婚姻登记情况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结婚人数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离婚人数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本地户口死亡人数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民间组织情况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民非登记数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社团登记数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基金会登记数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3" w:name="_Toc2126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卫生健康工作情况</w:t>
      </w:r>
      <w:bookmarkEnd w:id="13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52"/>
        <w:gridCol w:w="1005"/>
        <w:gridCol w:w="111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医疗卫生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门（急）诊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社区卫生服务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社区门诊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计划免疫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医疗机构监督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办理健康证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公共场所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计划生育政策法规情况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办理生育登记证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发放退休职工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一次性奖励金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发放独生子女父母奖励金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四项手术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药具发放情况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安全套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口服药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外用模（冻）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4" w:name="_Toc1455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信访工作完成情况</w:t>
      </w:r>
      <w:bookmarkEnd w:id="1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64"/>
        <w:gridCol w:w="1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受理群众来信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件（次）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接待群众来访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重复访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5" w:name="_Toc3030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政府事务办理概况</w:t>
      </w:r>
      <w:bookmarkEnd w:id="15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85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市、区长信箱办理情况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3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市、区长信箱受理件数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3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政务大厅工作情况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3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政务大厅受理件数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3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175704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6" w:name="_Toc15113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科技创新完成情况</w:t>
      </w:r>
      <w:bookmarkEnd w:id="16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296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净增高新技术企业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科技型中小企业入库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累计新研孵化引进企业数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新增省级工程技术研究中心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新增市级工程技术研究中心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新增省级科创孵化载体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新增市级科创孵化载体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7" w:name="_Toc22437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全区户籍人口变动情况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单位：户、人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22"/>
        <w:gridCol w:w="1391"/>
        <w:gridCol w:w="900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人口自然增长（‰）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人口变动情况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总户数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263801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670900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324997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345903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93.96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8" w:name="_Toc2341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全区分街道户籍人口情况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单位：户、人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39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街道名称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总户数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总人口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263801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秦虹街道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夫子庙街道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双塘街道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中华门街道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五老村街道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洪武路街道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大光路街道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月牙湖街道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朝天宫街道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9" w:name="_Toc14000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各区地区生产总值完成情况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18"/>
        <w:gridCol w:w="142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17421.40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1464.39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1300.10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1783.56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3056.19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613.54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1061.76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2698.60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0" w:name="_Toc2198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各区固定资产投资额完成情况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82"/>
        <w:gridCol w:w="1514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1" w:name="_Toc3047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各区第三产业增加值完成情况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47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11174.65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1264.22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917.59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1891.54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782.32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889.26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1323.36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451.94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1242.84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2" w:name="_Toc917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各区社会消费品零售额完成情况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83"/>
        <w:gridCol w:w="1537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8201.07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1054.72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536.36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724.63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1103.49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787.06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3" w:name="_Toc1859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各区城镇居民人均可支配收入完成情况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49"/>
        <w:gridCol w:w="1489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79858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78060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87835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73876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78441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76693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71684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69929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70580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77980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4" w:name="_Toc3935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各区全体居民人均可支配收入完成情况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043"/>
        <w:gridCol w:w="1520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72112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78060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65715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56378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" w:lineRule="exact"/>
        <w:ind w:left="0" w:firstLine="402" w:firstLineChars="200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sectPr>
      <w:footerReference r:id="rId3" w:type="default"/>
      <w:pgSz w:w="6803" w:h="11905"/>
      <w:pgMar w:top="1417" w:right="850" w:bottom="1134" w:left="85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ZjFhNTE1ZWU4MGQ3N2I3ZWJlNDRkYzJmZDg3YmQifQ=="/>
  </w:docVars>
  <w:rsids>
    <w:rsidRoot w:val="00DF2E11"/>
    <w:rsid w:val="00001247"/>
    <w:rsid w:val="0001254B"/>
    <w:rsid w:val="000154D9"/>
    <w:rsid w:val="00017AF6"/>
    <w:rsid w:val="000275DC"/>
    <w:rsid w:val="00031E1D"/>
    <w:rsid w:val="00035AB3"/>
    <w:rsid w:val="000444E3"/>
    <w:rsid w:val="0004673C"/>
    <w:rsid w:val="00064047"/>
    <w:rsid w:val="000648FC"/>
    <w:rsid w:val="00075F21"/>
    <w:rsid w:val="00076BC7"/>
    <w:rsid w:val="00086162"/>
    <w:rsid w:val="0009327D"/>
    <w:rsid w:val="000A1880"/>
    <w:rsid w:val="000D5DC0"/>
    <w:rsid w:val="000D71D8"/>
    <w:rsid w:val="001263D6"/>
    <w:rsid w:val="00130294"/>
    <w:rsid w:val="00132216"/>
    <w:rsid w:val="00152F2E"/>
    <w:rsid w:val="00156284"/>
    <w:rsid w:val="0018146E"/>
    <w:rsid w:val="001937DC"/>
    <w:rsid w:val="001B1040"/>
    <w:rsid w:val="001B6E8D"/>
    <w:rsid w:val="001C7D52"/>
    <w:rsid w:val="001E4FAC"/>
    <w:rsid w:val="00210AAF"/>
    <w:rsid w:val="002226B4"/>
    <w:rsid w:val="0022396F"/>
    <w:rsid w:val="00223CF3"/>
    <w:rsid w:val="00227103"/>
    <w:rsid w:val="002307FB"/>
    <w:rsid w:val="002377F5"/>
    <w:rsid w:val="00244C84"/>
    <w:rsid w:val="002660BE"/>
    <w:rsid w:val="002740DC"/>
    <w:rsid w:val="00275D93"/>
    <w:rsid w:val="002838A0"/>
    <w:rsid w:val="00284DA0"/>
    <w:rsid w:val="00295643"/>
    <w:rsid w:val="002A3E3D"/>
    <w:rsid w:val="002C2351"/>
    <w:rsid w:val="002C378A"/>
    <w:rsid w:val="002C5F89"/>
    <w:rsid w:val="002D1D88"/>
    <w:rsid w:val="002E447A"/>
    <w:rsid w:val="002E62B2"/>
    <w:rsid w:val="00300457"/>
    <w:rsid w:val="00302799"/>
    <w:rsid w:val="0030664B"/>
    <w:rsid w:val="00312EC3"/>
    <w:rsid w:val="0031395D"/>
    <w:rsid w:val="00323FEC"/>
    <w:rsid w:val="003421FE"/>
    <w:rsid w:val="003560E8"/>
    <w:rsid w:val="00375706"/>
    <w:rsid w:val="00396807"/>
    <w:rsid w:val="003A5513"/>
    <w:rsid w:val="003A7C69"/>
    <w:rsid w:val="003C4B55"/>
    <w:rsid w:val="003E09C5"/>
    <w:rsid w:val="003E31E6"/>
    <w:rsid w:val="003E4D2D"/>
    <w:rsid w:val="0040387D"/>
    <w:rsid w:val="00411D71"/>
    <w:rsid w:val="00415230"/>
    <w:rsid w:val="00435AD8"/>
    <w:rsid w:val="00476380"/>
    <w:rsid w:val="004B7D63"/>
    <w:rsid w:val="004C1055"/>
    <w:rsid w:val="004E0B99"/>
    <w:rsid w:val="004F2EDA"/>
    <w:rsid w:val="00512B79"/>
    <w:rsid w:val="00517D07"/>
    <w:rsid w:val="00527BD9"/>
    <w:rsid w:val="00574065"/>
    <w:rsid w:val="00587EB1"/>
    <w:rsid w:val="00595AD4"/>
    <w:rsid w:val="005A5188"/>
    <w:rsid w:val="005A7619"/>
    <w:rsid w:val="005C4FBC"/>
    <w:rsid w:val="00600030"/>
    <w:rsid w:val="00616A24"/>
    <w:rsid w:val="0061723C"/>
    <w:rsid w:val="00635D72"/>
    <w:rsid w:val="00640269"/>
    <w:rsid w:val="00646CC4"/>
    <w:rsid w:val="006555B1"/>
    <w:rsid w:val="00656942"/>
    <w:rsid w:val="00660BEF"/>
    <w:rsid w:val="00671605"/>
    <w:rsid w:val="0068582F"/>
    <w:rsid w:val="00685E6B"/>
    <w:rsid w:val="00690205"/>
    <w:rsid w:val="006C69FB"/>
    <w:rsid w:val="006D0559"/>
    <w:rsid w:val="006D29DC"/>
    <w:rsid w:val="006D7281"/>
    <w:rsid w:val="006E1E22"/>
    <w:rsid w:val="006F286D"/>
    <w:rsid w:val="006F5CB0"/>
    <w:rsid w:val="00704FEC"/>
    <w:rsid w:val="00745C98"/>
    <w:rsid w:val="00777CBE"/>
    <w:rsid w:val="00787EC9"/>
    <w:rsid w:val="007A6080"/>
    <w:rsid w:val="007A6D68"/>
    <w:rsid w:val="007B2DE0"/>
    <w:rsid w:val="007B3CF8"/>
    <w:rsid w:val="007B591C"/>
    <w:rsid w:val="007C6D92"/>
    <w:rsid w:val="00801369"/>
    <w:rsid w:val="00810357"/>
    <w:rsid w:val="00811B71"/>
    <w:rsid w:val="00820643"/>
    <w:rsid w:val="0083494A"/>
    <w:rsid w:val="008424C0"/>
    <w:rsid w:val="00850ADF"/>
    <w:rsid w:val="00851FEB"/>
    <w:rsid w:val="0085301F"/>
    <w:rsid w:val="00860AD1"/>
    <w:rsid w:val="00867F15"/>
    <w:rsid w:val="00874F01"/>
    <w:rsid w:val="00882F6F"/>
    <w:rsid w:val="00883D0F"/>
    <w:rsid w:val="00886A9F"/>
    <w:rsid w:val="00894A7F"/>
    <w:rsid w:val="008A1E10"/>
    <w:rsid w:val="008A3005"/>
    <w:rsid w:val="008B2891"/>
    <w:rsid w:val="008C53BA"/>
    <w:rsid w:val="00904BCC"/>
    <w:rsid w:val="00916020"/>
    <w:rsid w:val="00920CD4"/>
    <w:rsid w:val="00932355"/>
    <w:rsid w:val="00941ACE"/>
    <w:rsid w:val="00946547"/>
    <w:rsid w:val="00974F6F"/>
    <w:rsid w:val="00982A91"/>
    <w:rsid w:val="00984E78"/>
    <w:rsid w:val="00992A45"/>
    <w:rsid w:val="009B58B7"/>
    <w:rsid w:val="009C46DE"/>
    <w:rsid w:val="009D151A"/>
    <w:rsid w:val="00A15E88"/>
    <w:rsid w:val="00A16B53"/>
    <w:rsid w:val="00A5284B"/>
    <w:rsid w:val="00A53192"/>
    <w:rsid w:val="00A6270F"/>
    <w:rsid w:val="00A8083D"/>
    <w:rsid w:val="00A837E7"/>
    <w:rsid w:val="00A930DD"/>
    <w:rsid w:val="00A97751"/>
    <w:rsid w:val="00AC47E4"/>
    <w:rsid w:val="00AD295E"/>
    <w:rsid w:val="00AD7898"/>
    <w:rsid w:val="00B05460"/>
    <w:rsid w:val="00B411AD"/>
    <w:rsid w:val="00B41961"/>
    <w:rsid w:val="00B54E04"/>
    <w:rsid w:val="00B627B5"/>
    <w:rsid w:val="00B76CA9"/>
    <w:rsid w:val="00B82747"/>
    <w:rsid w:val="00B979F2"/>
    <w:rsid w:val="00BA35CA"/>
    <w:rsid w:val="00BB017F"/>
    <w:rsid w:val="00BB1DA6"/>
    <w:rsid w:val="00BB4CA5"/>
    <w:rsid w:val="00BB5847"/>
    <w:rsid w:val="00BF6727"/>
    <w:rsid w:val="00C057D8"/>
    <w:rsid w:val="00C11274"/>
    <w:rsid w:val="00C45FB3"/>
    <w:rsid w:val="00C56180"/>
    <w:rsid w:val="00C60DE5"/>
    <w:rsid w:val="00C92553"/>
    <w:rsid w:val="00CA22D4"/>
    <w:rsid w:val="00CB63FF"/>
    <w:rsid w:val="00CF00FA"/>
    <w:rsid w:val="00D4327D"/>
    <w:rsid w:val="00D46DFE"/>
    <w:rsid w:val="00D70CE7"/>
    <w:rsid w:val="00D720D4"/>
    <w:rsid w:val="00D82863"/>
    <w:rsid w:val="00D8314A"/>
    <w:rsid w:val="00D86C67"/>
    <w:rsid w:val="00D87B86"/>
    <w:rsid w:val="00D90C96"/>
    <w:rsid w:val="00D90EB1"/>
    <w:rsid w:val="00DA1D13"/>
    <w:rsid w:val="00DA3C9A"/>
    <w:rsid w:val="00DA5A3B"/>
    <w:rsid w:val="00DA7D78"/>
    <w:rsid w:val="00DB7E04"/>
    <w:rsid w:val="00DC0158"/>
    <w:rsid w:val="00DC6D3D"/>
    <w:rsid w:val="00DD5EEB"/>
    <w:rsid w:val="00DF17B7"/>
    <w:rsid w:val="00DF2E11"/>
    <w:rsid w:val="00E02634"/>
    <w:rsid w:val="00E07E48"/>
    <w:rsid w:val="00E1210F"/>
    <w:rsid w:val="00E210B6"/>
    <w:rsid w:val="00E27168"/>
    <w:rsid w:val="00E3786C"/>
    <w:rsid w:val="00E52211"/>
    <w:rsid w:val="00E612F7"/>
    <w:rsid w:val="00E71FF6"/>
    <w:rsid w:val="00E720B9"/>
    <w:rsid w:val="00E84DF9"/>
    <w:rsid w:val="00EB0E88"/>
    <w:rsid w:val="00ED41BC"/>
    <w:rsid w:val="00ED4902"/>
    <w:rsid w:val="00ED6891"/>
    <w:rsid w:val="00EE149E"/>
    <w:rsid w:val="00EF1742"/>
    <w:rsid w:val="00EF6CAF"/>
    <w:rsid w:val="00EF7885"/>
    <w:rsid w:val="00F012EA"/>
    <w:rsid w:val="00F02C51"/>
    <w:rsid w:val="00F13574"/>
    <w:rsid w:val="00F14661"/>
    <w:rsid w:val="00F2168B"/>
    <w:rsid w:val="00F220F5"/>
    <w:rsid w:val="00F42D1F"/>
    <w:rsid w:val="00F5711F"/>
    <w:rsid w:val="00F70D34"/>
    <w:rsid w:val="00F76A8D"/>
    <w:rsid w:val="00F83DB7"/>
    <w:rsid w:val="00FA1169"/>
    <w:rsid w:val="00FA1697"/>
    <w:rsid w:val="00FA5175"/>
    <w:rsid w:val="00FB054B"/>
    <w:rsid w:val="00FD38CA"/>
    <w:rsid w:val="00FE14FA"/>
    <w:rsid w:val="00FE1F93"/>
    <w:rsid w:val="00FE6D32"/>
    <w:rsid w:val="00FE6DEC"/>
    <w:rsid w:val="02261695"/>
    <w:rsid w:val="026A2DC5"/>
    <w:rsid w:val="03861C60"/>
    <w:rsid w:val="051B61E0"/>
    <w:rsid w:val="052D1065"/>
    <w:rsid w:val="063640D1"/>
    <w:rsid w:val="06407383"/>
    <w:rsid w:val="068B6FB2"/>
    <w:rsid w:val="06CC603E"/>
    <w:rsid w:val="091615E2"/>
    <w:rsid w:val="0E9A6317"/>
    <w:rsid w:val="0FEA06DC"/>
    <w:rsid w:val="10E50428"/>
    <w:rsid w:val="14E37374"/>
    <w:rsid w:val="190743E6"/>
    <w:rsid w:val="1B481CDF"/>
    <w:rsid w:val="1B58131F"/>
    <w:rsid w:val="1B8F3DB2"/>
    <w:rsid w:val="1BCB46BE"/>
    <w:rsid w:val="1C272A2D"/>
    <w:rsid w:val="1CCD1E3D"/>
    <w:rsid w:val="1D24677C"/>
    <w:rsid w:val="1F061F30"/>
    <w:rsid w:val="206C0B11"/>
    <w:rsid w:val="22FF1E06"/>
    <w:rsid w:val="23F17B23"/>
    <w:rsid w:val="2755685C"/>
    <w:rsid w:val="27AF30E6"/>
    <w:rsid w:val="2C6A2B59"/>
    <w:rsid w:val="2EBE223B"/>
    <w:rsid w:val="2ED06383"/>
    <w:rsid w:val="33753C6E"/>
    <w:rsid w:val="34225F03"/>
    <w:rsid w:val="378B2626"/>
    <w:rsid w:val="397B3D3B"/>
    <w:rsid w:val="3A453DB6"/>
    <w:rsid w:val="3B8561E0"/>
    <w:rsid w:val="3BCB4B28"/>
    <w:rsid w:val="3C5A141B"/>
    <w:rsid w:val="3F03339E"/>
    <w:rsid w:val="3FE91433"/>
    <w:rsid w:val="404D63DB"/>
    <w:rsid w:val="40606713"/>
    <w:rsid w:val="40DB1452"/>
    <w:rsid w:val="41737C8B"/>
    <w:rsid w:val="424B4AFF"/>
    <w:rsid w:val="44B126A5"/>
    <w:rsid w:val="46807EE0"/>
    <w:rsid w:val="48B3438D"/>
    <w:rsid w:val="52AC4215"/>
    <w:rsid w:val="54411272"/>
    <w:rsid w:val="548F2152"/>
    <w:rsid w:val="558E71EB"/>
    <w:rsid w:val="569E4219"/>
    <w:rsid w:val="571A1A7B"/>
    <w:rsid w:val="57BD306D"/>
    <w:rsid w:val="59226B83"/>
    <w:rsid w:val="59AA59C5"/>
    <w:rsid w:val="5AEF54BF"/>
    <w:rsid w:val="5B3060BC"/>
    <w:rsid w:val="5E316B07"/>
    <w:rsid w:val="60EE27F2"/>
    <w:rsid w:val="617A7850"/>
    <w:rsid w:val="65AB6F91"/>
    <w:rsid w:val="68E47C6B"/>
    <w:rsid w:val="692403DD"/>
    <w:rsid w:val="69F36A8D"/>
    <w:rsid w:val="6AB2229E"/>
    <w:rsid w:val="6C1F6C8D"/>
    <w:rsid w:val="6D176D30"/>
    <w:rsid w:val="6F161326"/>
    <w:rsid w:val="6F790F01"/>
    <w:rsid w:val="6F8E17AF"/>
    <w:rsid w:val="6FBC61AE"/>
    <w:rsid w:val="709D28D0"/>
    <w:rsid w:val="72606407"/>
    <w:rsid w:val="72747633"/>
    <w:rsid w:val="728341B0"/>
    <w:rsid w:val="74101D88"/>
    <w:rsid w:val="764364A0"/>
    <w:rsid w:val="771340C5"/>
    <w:rsid w:val="77BD503B"/>
    <w:rsid w:val="7A51414C"/>
    <w:rsid w:val="7A682739"/>
    <w:rsid w:val="7C4A6A3D"/>
    <w:rsid w:val="7CE87DA1"/>
    <w:rsid w:val="7F80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Times New Roman" w:hAnsi="Times New Roman" w:cs="Times New Roman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</w:style>
  <w:style w:type="paragraph" w:customStyle="1" w:styleId="10">
    <w:name w:val="Char Char Char Char"/>
    <w:basedOn w:val="1"/>
    <w:qFormat/>
    <w:uiPriority w:val="0"/>
    <w:rPr>
      <w:rFonts w:ascii="宋体" w:hAnsi="宋体" w:eastAsia="仿宋_GB2312" w:cs="Courier New"/>
      <w:sz w:val="32"/>
      <w:szCs w:val="32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35</Pages>
  <Words>6743</Words>
  <Characters>9100</Characters>
  <Lines>29</Lines>
  <Paragraphs>8</Paragraphs>
  <TotalTime>17</TotalTime>
  <ScaleCrop>false</ScaleCrop>
  <LinksUpToDate>false</LinksUpToDate>
  <CharactersWithSpaces>9498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2023-03-03T07:48:00Z</dcterms:created>
  <dc:creator>dreamsummit</dc:creator>
  <cp:lastModifiedBy>统计局收发员(tjjsfy)</cp:lastModifiedBy>
  <dcterms:modified xsi:type="dcterms:W3CDTF">2025-10-13T08:01:54Z</dcterms:modified>
  <dc:title>2020年秦淮区国民经济和社会发展统计公报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67E86A610A95438E97A70F8A03440DD8_13</vt:lpwstr>
  </property>
</Properties>
</file>