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8200F">
      <w:pPr>
        <w:spacing w:line="580" w:lineRule="exact"/>
        <w:jc w:val="center"/>
        <w:rPr>
          <w:rFonts w:hint="eastAsia" w:ascii="Times New Roman" w:hAnsi="Times New Roman" w:eastAsia="方正小标宋_GBK" w:cs="Times New Roman"/>
          <w:color w:val="auto"/>
          <w:kern w:val="0"/>
          <w:sz w:val="44"/>
          <w:szCs w:val="44"/>
          <w:highlight w:val="none"/>
          <w:lang w:eastAsia="zh-CN"/>
        </w:rPr>
      </w:pPr>
      <w:r>
        <w:rPr>
          <w:rFonts w:hint="default" w:ascii="Times New Roman" w:hAnsi="Times New Roman" w:eastAsia="方正小标宋_GBK" w:cs="Times New Roman"/>
          <w:color w:val="auto"/>
          <w:kern w:val="0"/>
          <w:sz w:val="44"/>
          <w:szCs w:val="44"/>
          <w:highlight w:val="none"/>
        </w:rPr>
        <w:t>关于秦淮区202</w:t>
      </w:r>
      <w:r>
        <w:rPr>
          <w:rFonts w:hint="default" w:ascii="Times New Roman" w:hAnsi="Times New Roman" w:eastAsia="方正小标宋_GBK" w:cs="Times New Roman"/>
          <w:color w:val="auto"/>
          <w:kern w:val="0"/>
          <w:sz w:val="44"/>
          <w:szCs w:val="44"/>
          <w:highlight w:val="none"/>
          <w:lang w:val="en-US" w:eastAsia="zh-CN"/>
        </w:rPr>
        <w:t>3</w:t>
      </w:r>
      <w:r>
        <w:rPr>
          <w:rFonts w:hint="default" w:ascii="Times New Roman" w:hAnsi="Times New Roman" w:eastAsia="方正小标宋_GBK" w:cs="Times New Roman"/>
          <w:color w:val="auto"/>
          <w:kern w:val="0"/>
          <w:sz w:val="44"/>
          <w:szCs w:val="44"/>
          <w:highlight w:val="none"/>
        </w:rPr>
        <w:t>年国民经济和社会发展计划执行情况及202</w:t>
      </w:r>
      <w:r>
        <w:rPr>
          <w:rFonts w:hint="default" w:ascii="Times New Roman" w:hAnsi="Times New Roman" w:eastAsia="方正小标宋_GBK" w:cs="Times New Roman"/>
          <w:color w:val="auto"/>
          <w:kern w:val="0"/>
          <w:sz w:val="44"/>
          <w:szCs w:val="44"/>
          <w:highlight w:val="none"/>
          <w:lang w:val="en-US" w:eastAsia="zh-CN"/>
        </w:rPr>
        <w:t>4</w:t>
      </w:r>
      <w:r>
        <w:rPr>
          <w:rFonts w:hint="default" w:ascii="Times New Roman" w:hAnsi="Times New Roman" w:eastAsia="方正小标宋_GBK" w:cs="Times New Roman"/>
          <w:color w:val="auto"/>
          <w:kern w:val="0"/>
          <w:sz w:val="44"/>
          <w:szCs w:val="44"/>
          <w:highlight w:val="none"/>
        </w:rPr>
        <w:t>年国民经济和社会发展计划草案的</w:t>
      </w:r>
      <w:r>
        <w:rPr>
          <w:rFonts w:hint="eastAsia" w:ascii="Times New Roman" w:hAnsi="Times New Roman" w:eastAsia="方正小标宋_GBK" w:cs="Times New Roman"/>
          <w:color w:val="auto"/>
          <w:kern w:val="0"/>
          <w:sz w:val="44"/>
          <w:szCs w:val="44"/>
          <w:highlight w:val="none"/>
          <w:lang w:eastAsia="zh-CN"/>
        </w:rPr>
        <w:t>报告</w:t>
      </w:r>
    </w:p>
    <w:p w14:paraId="46876593">
      <w:pPr>
        <w:pStyle w:val="7"/>
        <w:rPr>
          <w:rFonts w:hint="default"/>
          <w:color w:val="auto"/>
          <w:highlight w:val="none"/>
        </w:rPr>
      </w:pPr>
    </w:p>
    <w:p w14:paraId="35F17872">
      <w:pPr>
        <w:spacing w:line="560" w:lineRule="exact"/>
        <w:jc w:val="center"/>
        <w:outlineLvl w:val="0"/>
        <w:rPr>
          <w:rFonts w:hint="default" w:ascii="Times New Roman" w:hAnsi="Times New Roman" w:eastAsia="方正黑体_GBK" w:cs="Times New Roman"/>
          <w:color w:val="auto"/>
          <w:kern w:val="0"/>
          <w:sz w:val="36"/>
          <w:szCs w:val="36"/>
          <w:highlight w:val="none"/>
        </w:rPr>
      </w:pPr>
      <w:r>
        <w:rPr>
          <w:rFonts w:hint="default" w:ascii="Times New Roman" w:hAnsi="Times New Roman" w:eastAsia="方正黑体_GBK" w:cs="Times New Roman"/>
          <w:color w:val="auto"/>
          <w:kern w:val="0"/>
          <w:sz w:val="36"/>
          <w:szCs w:val="36"/>
          <w:highlight w:val="none"/>
        </w:rPr>
        <w:t>202</w:t>
      </w:r>
      <w:r>
        <w:rPr>
          <w:rFonts w:hint="default" w:ascii="Times New Roman" w:hAnsi="Times New Roman" w:eastAsia="方正黑体_GBK" w:cs="Times New Roman"/>
          <w:color w:val="auto"/>
          <w:kern w:val="0"/>
          <w:sz w:val="36"/>
          <w:szCs w:val="36"/>
          <w:highlight w:val="none"/>
          <w:lang w:val="en-US" w:eastAsia="zh-CN"/>
        </w:rPr>
        <w:t>3</w:t>
      </w:r>
      <w:r>
        <w:rPr>
          <w:rFonts w:hint="default" w:ascii="Times New Roman" w:hAnsi="Times New Roman" w:eastAsia="方正黑体_GBK" w:cs="Times New Roman"/>
          <w:color w:val="auto"/>
          <w:kern w:val="0"/>
          <w:sz w:val="36"/>
          <w:szCs w:val="36"/>
          <w:highlight w:val="none"/>
        </w:rPr>
        <w:t>年计划执行情况</w:t>
      </w:r>
    </w:p>
    <w:p w14:paraId="19123C21">
      <w:pPr>
        <w:pStyle w:val="2"/>
        <w:spacing w:line="560" w:lineRule="exact"/>
        <w:rPr>
          <w:rFonts w:hint="default" w:ascii="Times New Roman" w:hAnsi="Times New Roman" w:cs="Times New Roman"/>
          <w:color w:val="auto"/>
          <w:kern w:val="0"/>
          <w:sz w:val="32"/>
          <w:szCs w:val="32"/>
          <w:highlight w:val="none"/>
        </w:rPr>
      </w:pPr>
    </w:p>
    <w:p w14:paraId="33CF6A05">
      <w:pPr>
        <w:keepNext w:val="0"/>
        <w:keepLines w:val="0"/>
        <w:pageBreakBefore w:val="0"/>
        <w:widowControl w:val="0"/>
        <w:kinsoku/>
        <w:wordWrap/>
        <w:overflowPunct/>
        <w:topLinePunct w:val="0"/>
        <w:autoSpaceDE/>
        <w:autoSpaceDN/>
        <w:bidi w:val="0"/>
        <w:adjustRightInd/>
        <w:snapToGrid/>
        <w:spacing w:line="520" w:lineRule="exact"/>
        <w:ind w:firstLine="648"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i w:val="0"/>
          <w:iCs w:val="0"/>
          <w:caps w:val="0"/>
          <w:color w:val="auto"/>
          <w:spacing w:val="2"/>
          <w:sz w:val="32"/>
          <w:szCs w:val="32"/>
          <w:highlight w:val="none"/>
          <w:shd w:val="clear" w:fill="FFFFFF"/>
        </w:rPr>
        <w:t>今年是全面贯彻党的二十大精神的开局之年，</w:t>
      </w:r>
      <w:r>
        <w:rPr>
          <w:rFonts w:hint="default" w:ascii="Times New Roman" w:hAnsi="Times New Roman" w:eastAsia="方正仿宋_GBK" w:cs="Times New Roman"/>
          <w:i w:val="0"/>
          <w:iCs w:val="0"/>
          <w:caps w:val="0"/>
          <w:color w:val="auto"/>
          <w:spacing w:val="2"/>
          <w:sz w:val="32"/>
          <w:szCs w:val="32"/>
          <w:highlight w:val="none"/>
          <w:shd w:val="clear" w:fill="FFFFFF"/>
          <w:lang w:eastAsia="zh-CN"/>
        </w:rPr>
        <w:t>是</w:t>
      </w:r>
      <w:r>
        <w:rPr>
          <w:rFonts w:hint="eastAsia" w:ascii="方正仿宋_GBK" w:hAnsi="方正仿宋_GBK" w:eastAsia="方正仿宋_GBK" w:cs="方正仿宋_GBK"/>
          <w:i w:val="0"/>
          <w:iCs w:val="0"/>
          <w:caps w:val="0"/>
          <w:color w:val="auto"/>
          <w:spacing w:val="2"/>
          <w:sz w:val="32"/>
          <w:szCs w:val="32"/>
          <w:shd w:val="clear" w:fill="FFFFFF"/>
        </w:rPr>
        <w:t>三年新冠疫情防控转段后经济恢复发展的一年</w:t>
      </w:r>
      <w:r>
        <w:rPr>
          <w:rFonts w:hint="default" w:ascii="Times New Roman" w:hAnsi="Times New Roman" w:eastAsia="方正仿宋_GBK" w:cs="Times New Roman"/>
          <w:i w:val="0"/>
          <w:iCs w:val="0"/>
          <w:caps w:val="0"/>
          <w:color w:val="auto"/>
          <w:spacing w:val="2"/>
          <w:sz w:val="32"/>
          <w:szCs w:val="32"/>
          <w:highlight w:val="none"/>
          <w:shd w:val="clear" w:fill="FFFFFF"/>
        </w:rPr>
        <w:t>。</w:t>
      </w:r>
      <w:r>
        <w:rPr>
          <w:rFonts w:hint="default" w:ascii="Times New Roman" w:hAnsi="Times New Roman" w:eastAsia="方正仿宋_GBK" w:cs="Times New Roman"/>
          <w:color w:val="auto"/>
          <w:sz w:val="32"/>
          <w:szCs w:val="32"/>
          <w:highlight w:val="none"/>
          <w:lang w:eastAsia="zh-CN"/>
        </w:rPr>
        <w:t>面对复杂严峻的国际环境和艰巨繁重的国内改革发展稳定任务，全区上下坚持以习近平新时代中国特色社会主义思想为指导，深入学习贯彻党的二十大精神和习近平总书记对江苏工作重要讲话重要指示精神，高效落实中央和省、市各项决策部署，坚持稳中求进工作总基调，完整、准确、全面贯彻新发展理念，全力以赴扩内需、稳增长、提信心、防风险，</w:t>
      </w:r>
      <w:r>
        <w:rPr>
          <w:rFonts w:hint="default" w:ascii="Times New Roman" w:hAnsi="Times New Roman" w:eastAsia="方正仿宋_GBK" w:cs="Times New Roman"/>
          <w:bCs/>
          <w:color w:val="auto"/>
          <w:sz w:val="32"/>
          <w:szCs w:val="32"/>
          <w:highlight w:val="none"/>
        </w:rPr>
        <w:t>全区经济社会发展保持</w:t>
      </w:r>
      <w:r>
        <w:rPr>
          <w:rFonts w:hint="default" w:ascii="Times New Roman" w:hAnsi="Times New Roman" w:eastAsia="方正仿宋_GBK" w:cs="Times New Roman"/>
          <w:bCs/>
          <w:color w:val="auto"/>
          <w:sz w:val="32"/>
          <w:szCs w:val="32"/>
          <w:highlight w:val="none"/>
          <w:lang w:eastAsia="zh-CN"/>
        </w:rPr>
        <w:t>总体</w:t>
      </w:r>
      <w:r>
        <w:rPr>
          <w:rFonts w:hint="default" w:ascii="Times New Roman" w:hAnsi="Times New Roman" w:eastAsia="方正仿宋_GBK" w:cs="Times New Roman"/>
          <w:bCs/>
          <w:color w:val="auto"/>
          <w:sz w:val="32"/>
          <w:szCs w:val="32"/>
          <w:highlight w:val="none"/>
        </w:rPr>
        <w:t>稳定。</w:t>
      </w:r>
    </w:p>
    <w:p w14:paraId="64970C6E">
      <w:pPr>
        <w:spacing w:line="560" w:lineRule="exact"/>
        <w:ind w:firstLine="640" w:firstLineChars="200"/>
        <w:outlineLvl w:val="1"/>
        <w:rPr>
          <w:rFonts w:hint="default" w:ascii="Times New Roman" w:hAnsi="Times New Roman" w:eastAsia="方正黑体_GBK" w:cs="Times New Roman"/>
          <w:color w:val="auto"/>
          <w:kern w:val="0"/>
          <w:sz w:val="32"/>
          <w:szCs w:val="32"/>
          <w:highlight w:val="none"/>
          <w:lang w:val="en-US"/>
        </w:rPr>
      </w:pPr>
      <w:r>
        <w:rPr>
          <w:rFonts w:hint="default" w:ascii="Times New Roman" w:hAnsi="Times New Roman" w:eastAsia="方正黑体_GBK" w:cs="Times New Roman"/>
          <w:color w:val="auto"/>
          <w:kern w:val="0"/>
          <w:sz w:val="32"/>
          <w:szCs w:val="32"/>
          <w:highlight w:val="none"/>
        </w:rPr>
        <w:t>一、</w:t>
      </w:r>
      <w:r>
        <w:rPr>
          <w:rFonts w:hint="default" w:ascii="Times New Roman" w:hAnsi="Times New Roman" w:eastAsia="方正黑体_GBK" w:cs="Times New Roman"/>
          <w:color w:val="auto"/>
          <w:kern w:val="0"/>
          <w:sz w:val="32"/>
          <w:szCs w:val="32"/>
          <w:highlight w:val="none"/>
          <w:lang w:eastAsia="zh-CN"/>
        </w:rPr>
        <w:t>高效统筹、需求牵引，经济运行</w:t>
      </w:r>
      <w:r>
        <w:rPr>
          <w:rFonts w:hint="default" w:ascii="Times New Roman" w:hAnsi="Times New Roman" w:eastAsia="方正黑体_GBK" w:cs="Times New Roman"/>
          <w:color w:val="auto"/>
          <w:kern w:val="0"/>
          <w:sz w:val="32"/>
          <w:szCs w:val="32"/>
          <w:highlight w:val="none"/>
          <w:lang w:val="en-US" w:eastAsia="zh-CN"/>
        </w:rPr>
        <w:t>总体平稳</w:t>
      </w:r>
    </w:p>
    <w:p w14:paraId="75783D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default"/>
          <w:color w:val="auto"/>
          <w:highlight w:val="none"/>
        </w:rPr>
      </w:pPr>
      <w:r>
        <w:rPr>
          <w:rFonts w:hint="default" w:ascii="Times New Roman" w:hAnsi="Times New Roman" w:eastAsia="方正仿宋_GBK" w:cs="Times New Roman"/>
          <w:bCs/>
          <w:color w:val="auto"/>
          <w:sz w:val="32"/>
          <w:szCs w:val="32"/>
          <w:highlight w:val="none"/>
        </w:rPr>
        <w:t>1、</w:t>
      </w:r>
      <w:r>
        <w:rPr>
          <w:rFonts w:hint="default" w:ascii="Times New Roman" w:hAnsi="Times New Roman" w:eastAsia="方正楷体_GBK" w:cs="Times New Roman"/>
          <w:bCs/>
          <w:color w:val="auto"/>
          <w:sz w:val="32"/>
          <w:szCs w:val="32"/>
          <w:highlight w:val="none"/>
        </w:rPr>
        <w:t>主要指标</w:t>
      </w:r>
      <w:r>
        <w:rPr>
          <w:rFonts w:hint="default" w:ascii="Times New Roman" w:hAnsi="Times New Roman" w:eastAsia="方正楷体_GBK" w:cs="Times New Roman"/>
          <w:bCs/>
          <w:color w:val="auto"/>
          <w:sz w:val="32"/>
          <w:szCs w:val="32"/>
          <w:highlight w:val="none"/>
          <w:lang w:val="en-US" w:eastAsia="zh-CN"/>
        </w:rPr>
        <w:t>企稳向好</w:t>
      </w:r>
      <w:r>
        <w:rPr>
          <w:rFonts w:hint="default" w:ascii="Times New Roman" w:hAnsi="Times New Roman" w:eastAsia="方正楷体_GBK" w:cs="Times New Roman"/>
          <w:bCs/>
          <w:color w:val="auto"/>
          <w:sz w:val="32"/>
          <w:szCs w:val="32"/>
          <w:highlight w:val="none"/>
        </w:rPr>
        <w:t>。</w:t>
      </w:r>
      <w:r>
        <w:rPr>
          <w:rFonts w:hint="default" w:ascii="Times New Roman" w:hAnsi="Times New Roman" w:eastAsia="方正仿宋_GBK" w:cs="Times New Roman"/>
          <w:bCs/>
          <w:color w:val="auto"/>
          <w:sz w:val="32"/>
          <w:szCs w:val="32"/>
          <w:highlight w:val="none"/>
          <w:lang w:eastAsia="zh-CN"/>
        </w:rPr>
        <w:t>对照年初人代会确定的主要经济指标，预计</w:t>
      </w:r>
      <w:r>
        <w:rPr>
          <w:rFonts w:hint="default" w:ascii="Times New Roman" w:hAnsi="Times New Roman" w:eastAsia="方正仿宋_GBK" w:cs="Times New Roman"/>
          <w:bCs/>
          <w:color w:val="auto"/>
          <w:sz w:val="32"/>
          <w:szCs w:val="32"/>
          <w:highlight w:val="none"/>
          <w:lang w:val="en-US" w:eastAsia="zh-CN"/>
        </w:rPr>
        <w:t>5项指标能超额完成、基本完成年度目标任务。</w:t>
      </w:r>
      <w:r>
        <w:rPr>
          <w:rFonts w:hint="default" w:ascii="Times New Roman" w:hAnsi="Times New Roman" w:eastAsia="方正仿宋_GBK" w:cs="Times New Roman"/>
          <w:bCs/>
          <w:color w:val="auto"/>
          <w:sz w:val="32"/>
          <w:szCs w:val="32"/>
          <w:highlight w:val="none"/>
        </w:rPr>
        <w:t>预计地区生产总值增长</w:t>
      </w:r>
      <w:r>
        <w:rPr>
          <w:rFonts w:hint="default" w:ascii="Times New Roman" w:hAnsi="Times New Roman" w:eastAsia="方正仿宋_GBK" w:cs="Times New Roman"/>
          <w:bCs/>
          <w:color w:val="auto"/>
          <w:sz w:val="32"/>
          <w:szCs w:val="32"/>
          <w:highlight w:val="none"/>
          <w:lang w:val="en-US" w:eastAsia="zh-CN"/>
        </w:rPr>
        <w:t>5</w:t>
      </w:r>
      <w:r>
        <w:rPr>
          <w:rFonts w:hint="default" w:ascii="Times New Roman" w:hAnsi="Times New Roman" w:eastAsia="方正仿宋_GBK" w:cs="Times New Roman"/>
          <w:bCs/>
          <w:color w:val="auto"/>
          <w:sz w:val="32"/>
          <w:szCs w:val="32"/>
          <w:highlight w:val="none"/>
        </w:rPr>
        <w:t>%</w:t>
      </w:r>
      <w:r>
        <w:rPr>
          <w:rFonts w:hint="eastAsia" w:ascii="Times New Roman" w:hAnsi="Times New Roman" w:eastAsia="方正仿宋_GBK" w:cs="Times New Roman"/>
          <w:bCs/>
          <w:color w:val="auto"/>
          <w:sz w:val="32"/>
          <w:szCs w:val="32"/>
          <w:highlight w:val="none"/>
          <w:lang w:eastAsia="zh-CN"/>
        </w:rPr>
        <w:t>；实现</w:t>
      </w:r>
      <w:r>
        <w:rPr>
          <w:rFonts w:hint="default" w:ascii="Times New Roman" w:hAnsi="Times New Roman" w:eastAsia="方正仿宋_GBK" w:cs="Times New Roman"/>
          <w:bCs/>
          <w:color w:val="auto"/>
          <w:sz w:val="32"/>
          <w:szCs w:val="32"/>
          <w:highlight w:val="none"/>
        </w:rPr>
        <w:t>一般公共预算收入</w:t>
      </w:r>
      <w:r>
        <w:rPr>
          <w:rFonts w:hint="default" w:ascii="Times New Roman" w:hAnsi="Times New Roman" w:eastAsia="方正仿宋_GBK" w:cs="Times New Roman"/>
          <w:bCs/>
          <w:color w:val="auto"/>
          <w:sz w:val="32"/>
          <w:szCs w:val="32"/>
          <w:highlight w:val="none"/>
          <w:lang w:val="en-US" w:eastAsia="zh-CN"/>
        </w:rPr>
        <w:t>11</w:t>
      </w:r>
      <w:r>
        <w:rPr>
          <w:rFonts w:hint="eastAsia" w:ascii="Times New Roman" w:hAnsi="Times New Roman" w:eastAsia="方正仿宋_GBK" w:cs="Times New Roman"/>
          <w:bCs/>
          <w:color w:val="auto"/>
          <w:sz w:val="32"/>
          <w:szCs w:val="32"/>
          <w:highlight w:val="none"/>
          <w:lang w:val="en-US" w:eastAsia="zh-CN"/>
        </w:rPr>
        <w:t>3.1</w:t>
      </w:r>
      <w:r>
        <w:rPr>
          <w:rFonts w:hint="default" w:ascii="Times New Roman" w:hAnsi="Times New Roman" w:eastAsia="方正仿宋_GBK" w:cs="Times New Roman"/>
          <w:bCs/>
          <w:color w:val="auto"/>
          <w:sz w:val="32"/>
          <w:szCs w:val="32"/>
          <w:highlight w:val="none"/>
          <w:lang w:val="en-US" w:eastAsia="zh-CN"/>
        </w:rPr>
        <w:t>亿元，</w:t>
      </w:r>
      <w:r>
        <w:rPr>
          <w:rFonts w:hint="default" w:ascii="Times New Roman" w:hAnsi="Times New Roman" w:eastAsia="方正仿宋_GBK" w:cs="Times New Roman"/>
          <w:bCs/>
          <w:color w:val="auto"/>
          <w:sz w:val="32"/>
          <w:szCs w:val="32"/>
          <w:highlight w:val="none"/>
        </w:rPr>
        <w:t>增长</w:t>
      </w:r>
      <w:r>
        <w:rPr>
          <w:rFonts w:hint="eastAsia" w:ascii="Times New Roman" w:hAnsi="Times New Roman" w:eastAsia="方正仿宋_GBK" w:cs="Times New Roman"/>
          <w:bCs/>
          <w:color w:val="auto"/>
          <w:sz w:val="32"/>
          <w:szCs w:val="32"/>
          <w:highlight w:val="none"/>
          <w:lang w:val="en-US" w:eastAsia="zh-CN"/>
        </w:rPr>
        <w:t>10.6</w:t>
      </w:r>
      <w:r>
        <w:rPr>
          <w:rFonts w:hint="default"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完成</w:t>
      </w:r>
      <w:r>
        <w:rPr>
          <w:rFonts w:hint="default" w:ascii="Times New Roman" w:hAnsi="Times New Roman" w:eastAsia="方正仿宋_GBK" w:cs="Times New Roman"/>
          <w:bCs/>
          <w:color w:val="auto"/>
          <w:sz w:val="32"/>
          <w:szCs w:val="32"/>
          <w:highlight w:val="none"/>
        </w:rPr>
        <w:t>全社会固定资产投资</w:t>
      </w:r>
      <w:r>
        <w:rPr>
          <w:rFonts w:hint="eastAsia" w:ascii="Times New Roman" w:hAnsi="Times New Roman" w:eastAsia="方正仿宋_GBK" w:cs="Times New Roman"/>
          <w:bCs/>
          <w:color w:val="auto"/>
          <w:sz w:val="32"/>
          <w:szCs w:val="32"/>
          <w:highlight w:val="none"/>
          <w:lang w:val="en-US" w:eastAsia="zh-CN"/>
        </w:rPr>
        <w:t>368</w:t>
      </w:r>
      <w:r>
        <w:rPr>
          <w:rFonts w:hint="default" w:ascii="Times New Roman" w:hAnsi="Times New Roman" w:eastAsia="方正仿宋_GBK" w:cs="Times New Roman"/>
          <w:bCs/>
          <w:color w:val="auto"/>
          <w:sz w:val="32"/>
          <w:szCs w:val="32"/>
          <w:highlight w:val="none"/>
          <w:lang w:val="en-US" w:eastAsia="zh-CN"/>
        </w:rPr>
        <w:t>亿元，</w:t>
      </w:r>
      <w:r>
        <w:rPr>
          <w:rFonts w:hint="default" w:ascii="Times New Roman" w:hAnsi="Times New Roman" w:eastAsia="方正仿宋_GBK" w:cs="Times New Roman"/>
          <w:bCs/>
          <w:color w:val="auto"/>
          <w:sz w:val="32"/>
          <w:szCs w:val="32"/>
          <w:highlight w:val="none"/>
        </w:rPr>
        <w:t>同比增长</w:t>
      </w:r>
      <w:r>
        <w:rPr>
          <w:rFonts w:hint="eastAsia" w:ascii="Times New Roman" w:hAnsi="Times New Roman" w:eastAsia="方正仿宋_GBK" w:cs="Times New Roman"/>
          <w:bCs/>
          <w:color w:val="auto"/>
          <w:sz w:val="32"/>
          <w:szCs w:val="32"/>
          <w:highlight w:val="none"/>
          <w:lang w:val="en-US" w:eastAsia="zh-CN"/>
        </w:rPr>
        <w:t>17.9</w:t>
      </w:r>
      <w:r>
        <w:rPr>
          <w:rFonts w:hint="default" w:ascii="Times New Roman" w:hAnsi="Times New Roman" w:eastAsia="方正仿宋_GBK" w:cs="Times New Roman"/>
          <w:bCs/>
          <w:color w:val="auto"/>
          <w:sz w:val="32"/>
          <w:szCs w:val="32"/>
          <w:highlight w:val="none"/>
        </w:rPr>
        <w:t>%</w:t>
      </w:r>
      <w:r>
        <w:rPr>
          <w:rFonts w:hint="eastAsia" w:ascii="Times New Roman" w:hAnsi="Times New Roman" w:eastAsia="方正仿宋_GBK" w:cs="Times New Roman"/>
          <w:bCs/>
          <w:color w:val="auto"/>
          <w:sz w:val="32"/>
          <w:szCs w:val="32"/>
          <w:highlight w:val="none"/>
          <w:lang w:eastAsia="zh-CN"/>
        </w:rPr>
        <w:t>，增速排名全市第</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eastAsia="zh-CN"/>
        </w:rPr>
        <w:t>完成</w:t>
      </w:r>
      <w:r>
        <w:rPr>
          <w:rFonts w:hint="eastAsia" w:ascii="Times New Roman" w:hAnsi="Times New Roman" w:eastAsia="方正仿宋_GBK" w:cs="Times New Roman"/>
          <w:sz w:val="32"/>
          <w:szCs w:val="32"/>
        </w:rPr>
        <w:t>社会消费品零售总额1</w:t>
      </w:r>
      <w:r>
        <w:rPr>
          <w:rFonts w:ascii="Times New Roman" w:hAnsi="Times New Roman" w:eastAsia="方正仿宋_GBK" w:cs="Times New Roman"/>
          <w:sz w:val="32"/>
          <w:szCs w:val="32"/>
        </w:rPr>
        <w:t>063.1</w:t>
      </w:r>
      <w:r>
        <w:rPr>
          <w:rFonts w:hint="eastAsia" w:ascii="Times New Roman" w:hAnsi="Times New Roman" w:eastAsia="方正仿宋_GBK" w:cs="Times New Roman"/>
          <w:sz w:val="32"/>
          <w:szCs w:val="32"/>
        </w:rPr>
        <w:t>亿元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Cs/>
          <w:color w:val="auto"/>
          <w:sz w:val="32"/>
          <w:szCs w:val="32"/>
          <w:highlight w:val="none"/>
          <w:lang w:eastAsia="zh-CN"/>
        </w:rPr>
        <w:t>同比增长</w:t>
      </w:r>
      <w:r>
        <w:rPr>
          <w:rFonts w:hint="eastAsia" w:ascii="Times New Roman" w:hAnsi="Times New Roman" w:eastAsia="方正仿宋_GBK" w:cs="Times New Roman"/>
          <w:bCs/>
          <w:color w:val="auto"/>
          <w:sz w:val="32"/>
          <w:szCs w:val="32"/>
          <w:highlight w:val="none"/>
          <w:lang w:val="en-US" w:eastAsia="zh-CN"/>
        </w:rPr>
        <w:t>7.4</w:t>
      </w:r>
      <w:r>
        <w:rPr>
          <w:rFonts w:hint="default"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rPr>
        <w:t>。</w:t>
      </w:r>
      <w:r>
        <w:rPr>
          <w:rFonts w:hint="default" w:ascii="Times New Roman" w:hAnsi="Times New Roman" w:eastAsia="方正仿宋_GBK" w:cs="Times New Roman"/>
          <w:color w:val="000000"/>
          <w:sz w:val="32"/>
          <w:szCs w:val="32"/>
          <w:highlight w:val="none"/>
          <w:u w:val="none"/>
          <w:lang w:val="en-US" w:eastAsia="zh-Hans"/>
        </w:rPr>
        <w:t>完成</w:t>
      </w:r>
      <w:r>
        <w:rPr>
          <w:rFonts w:hint="default" w:ascii="Times New Roman" w:hAnsi="Times New Roman" w:eastAsia="方正仿宋_GBK" w:cs="Times New Roman"/>
          <w:color w:val="000000"/>
          <w:sz w:val="32"/>
          <w:szCs w:val="32"/>
          <w:highlight w:val="none"/>
          <w:u w:val="none"/>
          <w:lang w:val="en-US" w:eastAsia="zh-CN"/>
        </w:rPr>
        <w:t>外贸进出口总额</w:t>
      </w:r>
      <w:r>
        <w:rPr>
          <w:rFonts w:hint="eastAsia" w:ascii="Times New Roman" w:hAnsi="Times New Roman" w:eastAsia="方正仿宋_GBK" w:cs="Times New Roman"/>
          <w:color w:val="000000"/>
          <w:sz w:val="32"/>
          <w:szCs w:val="32"/>
          <w:highlight w:val="none"/>
          <w:u w:val="none"/>
          <w:lang w:val="en-US" w:eastAsia="zh-CN"/>
        </w:rPr>
        <w:t>754</w:t>
      </w:r>
      <w:r>
        <w:rPr>
          <w:rFonts w:hint="default" w:ascii="Times New Roman" w:hAnsi="Times New Roman" w:eastAsia="方正仿宋_GBK" w:cs="Times New Roman"/>
          <w:color w:val="000000"/>
          <w:sz w:val="32"/>
          <w:szCs w:val="32"/>
          <w:highlight w:val="none"/>
          <w:u w:val="none"/>
          <w:lang w:val="en-US" w:eastAsia="zh-Hans"/>
        </w:rPr>
        <w:t>亿，同比</w:t>
      </w:r>
      <w:r>
        <w:rPr>
          <w:rFonts w:hint="eastAsia" w:ascii="Times New Roman" w:hAnsi="Times New Roman" w:eastAsia="方正仿宋_GBK" w:cs="Times New Roman"/>
          <w:color w:val="000000"/>
          <w:sz w:val="32"/>
          <w:szCs w:val="32"/>
          <w:highlight w:val="none"/>
          <w:u w:val="none"/>
          <w:lang w:val="en-US" w:eastAsia="zh-CN"/>
        </w:rPr>
        <w:t>下降2.2</w:t>
      </w:r>
      <w:r>
        <w:rPr>
          <w:rFonts w:hint="default" w:ascii="Times New Roman" w:hAnsi="Times New Roman" w:eastAsia="方正仿宋_GBK" w:cs="Times New Roman"/>
          <w:color w:val="000000"/>
          <w:sz w:val="32"/>
          <w:szCs w:val="32"/>
          <w:highlight w:val="none"/>
          <w:u w:val="none"/>
          <w:lang w:val="en-US" w:eastAsia="zh-Hans"/>
        </w:rPr>
        <w:t>%</w:t>
      </w:r>
      <w:r>
        <w:rPr>
          <w:rFonts w:hint="eastAsia" w:ascii="Times New Roman" w:hAnsi="Times New Roman" w:eastAsia="方正仿宋_GBK" w:cs="Times New Roman"/>
          <w:color w:val="000000"/>
          <w:sz w:val="32"/>
          <w:szCs w:val="32"/>
          <w:highlight w:val="none"/>
          <w:u w:val="none"/>
          <w:lang w:val="en-US" w:eastAsia="zh-CN"/>
        </w:rPr>
        <w:t>。</w:t>
      </w:r>
      <w:r>
        <w:rPr>
          <w:rFonts w:hint="default" w:ascii="Times New Roman" w:hAnsi="Times New Roman" w:eastAsia="方正仿宋_GBK" w:cs="Times New Roman"/>
          <w:bCs/>
          <w:color w:val="auto"/>
          <w:sz w:val="32"/>
          <w:szCs w:val="32"/>
          <w:highlight w:val="none"/>
        </w:rPr>
        <w:t>居民人均可支配收入</w:t>
      </w:r>
      <w:r>
        <w:rPr>
          <w:rFonts w:hint="default" w:ascii="Times New Roman" w:hAnsi="Times New Roman" w:eastAsia="方正仿宋_GBK" w:cs="Times New Roman"/>
          <w:bCs/>
          <w:color w:val="auto"/>
          <w:sz w:val="32"/>
          <w:szCs w:val="32"/>
          <w:highlight w:val="none"/>
          <w:lang w:eastAsia="zh-CN"/>
        </w:rPr>
        <w:t>增长</w:t>
      </w:r>
      <w:r>
        <w:rPr>
          <w:rFonts w:hint="default" w:ascii="Times New Roman" w:hAnsi="Times New Roman" w:eastAsia="方正仿宋_GBK" w:cs="Times New Roman"/>
          <w:bCs/>
          <w:color w:val="auto"/>
          <w:sz w:val="32"/>
          <w:szCs w:val="32"/>
          <w:highlight w:val="none"/>
          <w:lang w:val="en-US" w:eastAsia="zh-CN"/>
        </w:rPr>
        <w:t>预计与经济发展基本同步</w:t>
      </w:r>
      <w:r>
        <w:rPr>
          <w:rFonts w:hint="default" w:ascii="Times New Roman" w:hAnsi="Times New Roman" w:eastAsia="方正仿宋_GBK" w:cs="Times New Roman"/>
          <w:bCs/>
          <w:color w:val="auto"/>
          <w:sz w:val="32"/>
          <w:szCs w:val="32"/>
          <w:highlight w:val="none"/>
          <w:lang w:eastAsia="zh-CN"/>
        </w:rPr>
        <w:t>。预计全年完成</w:t>
      </w:r>
      <w:r>
        <w:rPr>
          <w:rFonts w:hint="default" w:ascii="Times New Roman" w:hAnsi="Times New Roman" w:eastAsia="方正仿宋_GBK" w:cs="Times New Roman"/>
          <w:bCs/>
          <w:color w:val="auto"/>
          <w:sz w:val="32"/>
          <w:szCs w:val="32"/>
          <w:highlight w:val="none"/>
        </w:rPr>
        <w:t>实际利用外资</w:t>
      </w:r>
      <w:r>
        <w:rPr>
          <w:rFonts w:hint="default"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val="en-US" w:eastAsia="zh-CN"/>
        </w:rPr>
        <w:t>89</w:t>
      </w:r>
      <w:r>
        <w:rPr>
          <w:rFonts w:hint="default" w:ascii="Times New Roman" w:hAnsi="Times New Roman" w:eastAsia="方正仿宋_GBK" w:cs="Times New Roman"/>
          <w:bCs/>
          <w:color w:val="auto"/>
          <w:sz w:val="32"/>
          <w:szCs w:val="32"/>
          <w:highlight w:val="none"/>
        </w:rPr>
        <w:t>亿美元</w:t>
      </w:r>
      <w:r>
        <w:rPr>
          <w:rFonts w:hint="default" w:ascii="Times New Roman" w:hAnsi="Times New Roman" w:eastAsia="方正仿宋_GBK" w:cs="Times New Roman"/>
          <w:bCs/>
          <w:color w:val="auto"/>
          <w:sz w:val="32"/>
          <w:szCs w:val="32"/>
          <w:highlight w:val="none"/>
          <w:lang w:eastAsia="zh-CN"/>
        </w:rPr>
        <w:t>。</w:t>
      </w:r>
    </w:p>
    <w:p w14:paraId="72113D08">
      <w:pPr>
        <w:spacing w:line="560" w:lineRule="exact"/>
        <w:jc w:val="center"/>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表一 主要指标预计完成情况</w:t>
      </w:r>
    </w:p>
    <w:tbl>
      <w:tblPr>
        <w:tblStyle w:val="13"/>
        <w:tblW w:w="9641" w:type="dxa"/>
        <w:jc w:val="center"/>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2715"/>
        <w:gridCol w:w="1710"/>
        <w:gridCol w:w="1943"/>
        <w:gridCol w:w="1522"/>
        <w:gridCol w:w="1751"/>
      </w:tblGrid>
      <w:tr w14:paraId="29FAAE32">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2715" w:type="dxa"/>
            <w:noWrap/>
            <w:vAlign w:val="center"/>
          </w:tcPr>
          <w:p w14:paraId="24D7D755">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指标名称</w:t>
            </w:r>
          </w:p>
        </w:tc>
        <w:tc>
          <w:tcPr>
            <w:tcW w:w="1710" w:type="dxa"/>
            <w:noWrap/>
            <w:vAlign w:val="center"/>
          </w:tcPr>
          <w:p w14:paraId="7A33971B">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目标值</w:t>
            </w:r>
          </w:p>
        </w:tc>
        <w:tc>
          <w:tcPr>
            <w:tcW w:w="1943" w:type="dxa"/>
            <w:noWrap/>
            <w:vAlign w:val="center"/>
          </w:tcPr>
          <w:p w14:paraId="043C117C">
            <w:pPr>
              <w:spacing w:line="300" w:lineRule="exact"/>
              <w:jc w:val="center"/>
              <w:rPr>
                <w:rFonts w:hint="default" w:ascii="Times New Roman" w:hAnsi="Times New Roman" w:eastAsia="方正仿宋_GBK" w:cs="Times New Roman"/>
                <w:b/>
                <w:iCs/>
                <w:color w:val="auto"/>
                <w:kern w:val="0"/>
                <w:sz w:val="24"/>
                <w:highlight w:val="none"/>
                <w:lang w:eastAsia="zh-CN"/>
              </w:rPr>
            </w:pPr>
            <w:r>
              <w:rPr>
                <w:rFonts w:hint="default" w:ascii="Times New Roman" w:hAnsi="Times New Roman" w:eastAsia="方正仿宋_GBK" w:cs="Times New Roman"/>
                <w:b/>
                <w:iCs/>
                <w:color w:val="auto"/>
                <w:kern w:val="0"/>
                <w:sz w:val="24"/>
                <w:highlight w:val="none"/>
              </w:rPr>
              <w:t>完成情况</w:t>
            </w:r>
          </w:p>
        </w:tc>
        <w:tc>
          <w:tcPr>
            <w:tcW w:w="1522" w:type="dxa"/>
            <w:noWrap/>
            <w:vAlign w:val="center"/>
          </w:tcPr>
          <w:p w14:paraId="5FBB6F8F">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是否达计划</w:t>
            </w:r>
          </w:p>
        </w:tc>
        <w:tc>
          <w:tcPr>
            <w:tcW w:w="1751" w:type="dxa"/>
            <w:noWrap/>
            <w:vAlign w:val="center"/>
          </w:tcPr>
          <w:p w14:paraId="116991BE">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lang w:eastAsia="zh-CN"/>
              </w:rPr>
              <w:t>排名</w:t>
            </w:r>
          </w:p>
        </w:tc>
      </w:tr>
      <w:tr w14:paraId="47C9E774">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2715" w:type="dxa"/>
            <w:noWrap/>
            <w:vAlign w:val="center"/>
          </w:tcPr>
          <w:p w14:paraId="6A48FF58">
            <w:pPr>
              <w:spacing w:line="300" w:lineRule="exact"/>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color w:val="auto"/>
                <w:kern w:val="0"/>
                <w:sz w:val="24"/>
                <w:highlight w:val="none"/>
              </w:rPr>
              <w:t>地区生产总值</w:t>
            </w:r>
          </w:p>
        </w:tc>
        <w:tc>
          <w:tcPr>
            <w:tcW w:w="1710" w:type="dxa"/>
            <w:noWrap/>
            <w:vAlign w:val="center"/>
          </w:tcPr>
          <w:p w14:paraId="527DC5D5">
            <w:pPr>
              <w:shd w:val="clear"/>
              <w:spacing w:line="300" w:lineRule="exact"/>
              <w:jc w:val="center"/>
              <w:rPr>
                <w:rFonts w:hint="default" w:ascii="Times New Roman" w:hAnsi="Times New Roman" w:eastAsia="方正仿宋_GBK" w:cs="Times New Roman"/>
                <w:iCs/>
                <w:color w:val="auto"/>
                <w:kern w:val="0"/>
                <w:sz w:val="24"/>
                <w:szCs w:val="24"/>
                <w:highlight w:val="none"/>
              </w:rPr>
            </w:pPr>
            <w:r>
              <w:rPr>
                <w:rFonts w:hint="default" w:ascii="Times New Roman" w:hAnsi="Times New Roman" w:eastAsia="方正仿宋_GBK" w:cs="Times New Roman"/>
                <w:iCs/>
                <w:color w:val="auto"/>
                <w:kern w:val="0"/>
                <w:sz w:val="24"/>
                <w:highlight w:val="none"/>
                <w:lang w:val="en-US" w:eastAsia="zh-CN"/>
              </w:rPr>
              <w:t>6.5%</w:t>
            </w:r>
          </w:p>
        </w:tc>
        <w:tc>
          <w:tcPr>
            <w:tcW w:w="1943" w:type="dxa"/>
            <w:noWrap/>
            <w:vAlign w:val="center"/>
          </w:tcPr>
          <w:p w14:paraId="6496B1A9">
            <w:pPr>
              <w:spacing w:line="300" w:lineRule="exact"/>
              <w:jc w:val="center"/>
              <w:rPr>
                <w:rFonts w:hint="default" w:ascii="Times New Roman" w:hAnsi="Times New Roman" w:eastAsia="方正仿宋_GBK" w:cs="Times New Roman"/>
                <w:iCs/>
                <w:color w:val="auto"/>
                <w:kern w:val="0"/>
                <w:sz w:val="24"/>
                <w:szCs w:val="24"/>
                <w:highlight w:val="none"/>
                <w:lang w:val="en-US" w:eastAsia="zh-CN"/>
              </w:rPr>
            </w:pPr>
            <w:r>
              <w:rPr>
                <w:rFonts w:hint="default" w:ascii="Times New Roman" w:hAnsi="Times New Roman" w:eastAsia="方正仿宋_GBK" w:cs="Times New Roman"/>
                <w:iCs/>
                <w:color w:val="auto"/>
                <w:kern w:val="0"/>
                <w:sz w:val="24"/>
                <w:szCs w:val="24"/>
                <w:highlight w:val="none"/>
                <w:lang w:val="en-US" w:eastAsia="zh-CN"/>
              </w:rPr>
              <w:t>5%</w:t>
            </w:r>
            <w:r>
              <w:rPr>
                <w:rFonts w:hint="eastAsia" w:ascii="Times New Roman" w:hAnsi="Times New Roman" w:eastAsia="方正仿宋_GBK" w:cs="Times New Roman"/>
                <w:iCs/>
                <w:color w:val="auto"/>
                <w:kern w:val="0"/>
                <w:sz w:val="24"/>
                <w:szCs w:val="24"/>
                <w:highlight w:val="none"/>
                <w:lang w:val="en-US" w:eastAsia="zh-CN"/>
              </w:rPr>
              <w:t>（预计数）</w:t>
            </w:r>
          </w:p>
        </w:tc>
        <w:tc>
          <w:tcPr>
            <w:tcW w:w="1522" w:type="dxa"/>
            <w:noWrap/>
            <w:vAlign w:val="center"/>
          </w:tcPr>
          <w:p w14:paraId="34AA8AA2">
            <w:pPr>
              <w:spacing w:line="300" w:lineRule="exact"/>
              <w:jc w:val="center"/>
              <w:rPr>
                <w:rFonts w:hint="default" w:ascii="Times New Roman" w:hAnsi="Times New Roman" w:eastAsia="方正仿宋_GBK" w:cs="Times New Roman"/>
                <w:iCs/>
                <w:color w:val="auto"/>
                <w:kern w:val="0"/>
                <w:sz w:val="24"/>
                <w:szCs w:val="24"/>
                <w:highlight w:val="none"/>
                <w:lang w:val="en-US" w:eastAsia="zh-CN"/>
              </w:rPr>
            </w:pPr>
            <w:r>
              <w:rPr>
                <w:rFonts w:hint="default" w:ascii="Times New Roman" w:hAnsi="Times New Roman" w:eastAsia="方正仿宋_GBK" w:cs="Times New Roman"/>
                <w:iCs/>
                <w:color w:val="auto"/>
                <w:kern w:val="0"/>
                <w:sz w:val="24"/>
                <w:szCs w:val="24"/>
                <w:highlight w:val="none"/>
                <w:lang w:val="en-US" w:eastAsia="zh-CN"/>
              </w:rPr>
              <w:t>否</w:t>
            </w:r>
          </w:p>
        </w:tc>
        <w:tc>
          <w:tcPr>
            <w:tcW w:w="1751" w:type="dxa"/>
            <w:noWrap/>
            <w:vAlign w:val="center"/>
          </w:tcPr>
          <w:p w14:paraId="47E2C018">
            <w:pPr>
              <w:spacing w:line="300" w:lineRule="exact"/>
              <w:jc w:val="center"/>
              <w:rPr>
                <w:rFonts w:hint="default" w:ascii="Times New Roman" w:hAnsi="Times New Roman" w:eastAsia="方正仿宋_GBK" w:cs="Times New Roman"/>
                <w:iCs/>
                <w:color w:val="auto"/>
                <w:kern w:val="0"/>
                <w:sz w:val="24"/>
                <w:szCs w:val="24"/>
                <w:highlight w:val="none"/>
                <w:lang w:val="en-US" w:eastAsia="zh-CN"/>
              </w:rPr>
            </w:pPr>
            <w:r>
              <w:rPr>
                <w:rFonts w:hint="default" w:ascii="Times New Roman" w:hAnsi="Times New Roman" w:eastAsia="方正仿宋_GBK" w:cs="Times New Roman"/>
                <w:iCs/>
                <w:color w:val="auto"/>
                <w:kern w:val="0"/>
                <w:sz w:val="24"/>
                <w:szCs w:val="24"/>
                <w:highlight w:val="none"/>
                <w:lang w:val="en-US" w:eastAsia="zh-CN"/>
              </w:rPr>
              <w:t>预计主城</w:t>
            </w:r>
            <w:r>
              <w:rPr>
                <w:rFonts w:hint="eastAsia" w:ascii="Times New Roman" w:hAnsi="Times New Roman" w:eastAsia="方正仿宋_GBK" w:cs="Times New Roman"/>
                <w:iCs/>
                <w:color w:val="auto"/>
                <w:kern w:val="0"/>
                <w:sz w:val="24"/>
                <w:szCs w:val="24"/>
                <w:highlight w:val="none"/>
                <w:lang w:val="en-US" w:eastAsia="zh-CN"/>
              </w:rPr>
              <w:t>第2</w:t>
            </w:r>
          </w:p>
        </w:tc>
      </w:tr>
      <w:tr w14:paraId="2E7BE8DB">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2715" w:type="dxa"/>
            <w:noWrap/>
            <w:vAlign w:val="center"/>
          </w:tcPr>
          <w:p w14:paraId="2C7618FE">
            <w:pPr>
              <w:spacing w:line="300" w:lineRule="exact"/>
              <w:rPr>
                <w:rFonts w:hint="default" w:ascii="Times New Roman" w:hAnsi="Times New Roman" w:eastAsia="方正仿宋_GBK" w:cs="Times New Roman"/>
                <w:b/>
                <w:color w:val="auto"/>
                <w:kern w:val="0"/>
                <w:sz w:val="24"/>
                <w:highlight w:val="none"/>
              </w:rPr>
            </w:pPr>
            <w:r>
              <w:rPr>
                <w:rFonts w:hint="default" w:ascii="Times New Roman" w:hAnsi="Times New Roman" w:eastAsia="方正仿宋_GBK" w:cs="Times New Roman"/>
                <w:b/>
                <w:color w:val="auto"/>
                <w:kern w:val="0"/>
                <w:sz w:val="24"/>
                <w:highlight w:val="none"/>
              </w:rPr>
              <w:t>一般公共预算收入</w:t>
            </w:r>
          </w:p>
        </w:tc>
        <w:tc>
          <w:tcPr>
            <w:tcW w:w="1710" w:type="dxa"/>
            <w:noWrap/>
            <w:vAlign w:val="center"/>
          </w:tcPr>
          <w:p w14:paraId="2E5B0B90">
            <w:pPr>
              <w:shd w:val="clear"/>
              <w:spacing w:line="300" w:lineRule="exact"/>
              <w:jc w:val="center"/>
              <w:rPr>
                <w:rFonts w:hint="default" w:ascii="Times New Roman" w:hAnsi="Times New Roman" w:eastAsia="方正仿宋_GBK" w:cs="Times New Roman"/>
                <w:iCs/>
                <w:color w:val="auto"/>
                <w:kern w:val="0"/>
                <w:sz w:val="24"/>
                <w:szCs w:val="24"/>
                <w:highlight w:val="none"/>
              </w:rPr>
            </w:pPr>
            <w:r>
              <w:rPr>
                <w:rFonts w:hint="default" w:ascii="Times New Roman" w:hAnsi="Times New Roman" w:eastAsia="方正仿宋_GBK" w:cs="Times New Roman"/>
                <w:iCs/>
                <w:color w:val="auto"/>
                <w:kern w:val="0"/>
                <w:sz w:val="24"/>
                <w:highlight w:val="none"/>
              </w:rPr>
              <w:t>8</w:t>
            </w:r>
            <w:r>
              <w:rPr>
                <w:rFonts w:hint="default" w:ascii="Times New Roman" w:hAnsi="Times New Roman" w:eastAsia="方正仿宋_GBK" w:cs="Times New Roman"/>
                <w:iCs/>
                <w:color w:val="auto"/>
                <w:kern w:val="0"/>
                <w:sz w:val="24"/>
                <w:highlight w:val="none"/>
                <w:lang w:eastAsia="zh-CN"/>
              </w:rPr>
              <w:t>.</w:t>
            </w:r>
            <w:r>
              <w:rPr>
                <w:rFonts w:hint="default" w:ascii="Times New Roman" w:hAnsi="Times New Roman" w:eastAsia="方正仿宋_GBK" w:cs="Times New Roman"/>
                <w:iCs/>
                <w:color w:val="auto"/>
                <w:kern w:val="0"/>
                <w:sz w:val="24"/>
                <w:highlight w:val="none"/>
                <w:lang w:val="en-US" w:eastAsia="zh-CN"/>
              </w:rPr>
              <w:t>5</w:t>
            </w:r>
            <w:r>
              <w:rPr>
                <w:rFonts w:hint="default" w:ascii="Times New Roman" w:hAnsi="Times New Roman" w:eastAsia="方正仿宋_GBK" w:cs="Times New Roman"/>
                <w:iCs/>
                <w:color w:val="auto"/>
                <w:kern w:val="0"/>
                <w:sz w:val="24"/>
                <w:highlight w:val="none"/>
              </w:rPr>
              <w:t>%</w:t>
            </w:r>
          </w:p>
        </w:tc>
        <w:tc>
          <w:tcPr>
            <w:tcW w:w="1943" w:type="dxa"/>
            <w:noWrap/>
            <w:vAlign w:val="center"/>
          </w:tcPr>
          <w:p w14:paraId="4FB22FC6">
            <w:pPr>
              <w:pStyle w:val="9"/>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11</w:t>
            </w:r>
            <w:r>
              <w:rPr>
                <w:rFonts w:hint="eastAsia" w:ascii="Times New Roman" w:hAnsi="Times New Roman" w:eastAsia="方正仿宋_GBK" w:cs="Times New Roman"/>
                <w:color w:val="auto"/>
                <w:sz w:val="24"/>
                <w:szCs w:val="24"/>
                <w:highlight w:val="none"/>
                <w:lang w:val="en-US" w:eastAsia="zh-CN"/>
              </w:rPr>
              <w:t>3.1</w:t>
            </w:r>
            <w:r>
              <w:rPr>
                <w:rFonts w:hint="default" w:ascii="Times New Roman" w:hAnsi="Times New Roman" w:eastAsia="方正仿宋_GBK" w:cs="Times New Roman"/>
                <w:color w:val="auto"/>
                <w:sz w:val="24"/>
                <w:szCs w:val="24"/>
                <w:highlight w:val="none"/>
                <w:lang w:val="en-US" w:eastAsia="zh-CN"/>
              </w:rPr>
              <w:t>亿元，1</w:t>
            </w:r>
            <w:r>
              <w:rPr>
                <w:rFonts w:hint="eastAsia" w:ascii="Times New Roman" w:hAnsi="Times New Roman" w:eastAsia="方正仿宋_GBK" w:cs="Times New Roman"/>
                <w:color w:val="auto"/>
                <w:sz w:val="24"/>
                <w:szCs w:val="24"/>
                <w:highlight w:val="none"/>
                <w:lang w:val="en-US" w:eastAsia="zh-CN"/>
              </w:rPr>
              <w:t>0.6</w:t>
            </w:r>
            <w:r>
              <w:rPr>
                <w:rFonts w:hint="default" w:ascii="Times New Roman" w:hAnsi="Times New Roman" w:eastAsia="方正仿宋_GBK" w:cs="Times New Roman"/>
                <w:color w:val="auto"/>
                <w:sz w:val="24"/>
                <w:szCs w:val="24"/>
                <w:highlight w:val="none"/>
                <w:lang w:val="en-US" w:eastAsia="zh-CN"/>
              </w:rPr>
              <w:t>%</w:t>
            </w:r>
          </w:p>
        </w:tc>
        <w:tc>
          <w:tcPr>
            <w:tcW w:w="1522" w:type="dxa"/>
            <w:noWrap/>
            <w:vAlign w:val="center"/>
          </w:tcPr>
          <w:p w14:paraId="3DEFD71B">
            <w:pPr>
              <w:spacing w:line="300" w:lineRule="exact"/>
              <w:jc w:val="center"/>
              <w:rPr>
                <w:rFonts w:hint="default" w:ascii="Times New Roman" w:hAnsi="Times New Roman" w:eastAsia="方正仿宋_GBK" w:cs="Times New Roman"/>
                <w:iCs/>
                <w:color w:val="auto"/>
                <w:kern w:val="0"/>
                <w:sz w:val="24"/>
                <w:szCs w:val="24"/>
                <w:highlight w:val="none"/>
                <w:lang w:val="en-US" w:eastAsia="zh-CN"/>
              </w:rPr>
            </w:pPr>
            <w:r>
              <w:rPr>
                <w:rFonts w:hint="default" w:ascii="Times New Roman" w:hAnsi="Times New Roman" w:eastAsia="方正仿宋_GBK" w:cs="Times New Roman"/>
                <w:iCs/>
                <w:color w:val="auto"/>
                <w:kern w:val="0"/>
                <w:sz w:val="24"/>
                <w:szCs w:val="24"/>
                <w:highlight w:val="none"/>
                <w:lang w:val="en-US" w:eastAsia="zh-CN"/>
              </w:rPr>
              <w:t>是</w:t>
            </w:r>
          </w:p>
        </w:tc>
        <w:tc>
          <w:tcPr>
            <w:tcW w:w="1751" w:type="dxa"/>
            <w:noWrap/>
            <w:vAlign w:val="center"/>
          </w:tcPr>
          <w:p w14:paraId="72D55312">
            <w:pPr>
              <w:spacing w:line="300" w:lineRule="exact"/>
              <w:jc w:val="center"/>
              <w:rPr>
                <w:rFonts w:hint="default" w:ascii="Times New Roman" w:hAnsi="Times New Roman" w:eastAsia="方正仿宋_GBK" w:cs="Times New Roman"/>
                <w:iCs/>
                <w:color w:val="auto"/>
                <w:kern w:val="0"/>
                <w:sz w:val="24"/>
                <w:szCs w:val="24"/>
                <w:highlight w:val="none"/>
                <w:lang w:val="en-US" w:eastAsia="zh-CN"/>
              </w:rPr>
            </w:pPr>
            <w:r>
              <w:rPr>
                <w:rFonts w:hint="default" w:ascii="Times New Roman" w:hAnsi="Times New Roman" w:eastAsia="方正仿宋_GBK" w:cs="Times New Roman"/>
                <w:iCs/>
                <w:color w:val="auto"/>
                <w:kern w:val="0"/>
                <w:sz w:val="24"/>
                <w:szCs w:val="24"/>
                <w:highlight w:val="none"/>
                <w:lang w:val="en-US" w:eastAsia="zh-CN"/>
              </w:rPr>
              <w:t>主城</w:t>
            </w:r>
            <w:r>
              <w:rPr>
                <w:rFonts w:hint="eastAsia" w:ascii="Times New Roman" w:hAnsi="Times New Roman" w:eastAsia="方正仿宋_GBK" w:cs="Times New Roman"/>
                <w:iCs/>
                <w:color w:val="auto"/>
                <w:kern w:val="0"/>
                <w:sz w:val="24"/>
                <w:szCs w:val="24"/>
                <w:highlight w:val="none"/>
                <w:lang w:val="en-US" w:eastAsia="zh-CN"/>
              </w:rPr>
              <w:t>第2</w:t>
            </w:r>
          </w:p>
        </w:tc>
      </w:tr>
      <w:tr w14:paraId="5FF5A806">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2715" w:type="dxa"/>
            <w:noWrap/>
            <w:vAlign w:val="center"/>
          </w:tcPr>
          <w:p w14:paraId="5A5A7F50">
            <w:pPr>
              <w:spacing w:line="300" w:lineRule="exact"/>
              <w:rPr>
                <w:rFonts w:hint="default" w:ascii="Times New Roman" w:hAnsi="Times New Roman" w:eastAsia="方正仿宋_GBK" w:cs="Times New Roman"/>
                <w:b/>
                <w:color w:val="auto"/>
                <w:kern w:val="0"/>
                <w:sz w:val="24"/>
                <w:highlight w:val="none"/>
              </w:rPr>
            </w:pPr>
            <w:r>
              <w:rPr>
                <w:rFonts w:hint="default" w:ascii="Times New Roman" w:hAnsi="Times New Roman" w:eastAsia="方正仿宋_GBK" w:cs="Times New Roman"/>
                <w:b/>
                <w:color w:val="auto"/>
                <w:kern w:val="0"/>
                <w:sz w:val="24"/>
                <w:highlight w:val="none"/>
              </w:rPr>
              <w:t>全社会固定资产投资</w:t>
            </w:r>
          </w:p>
        </w:tc>
        <w:tc>
          <w:tcPr>
            <w:tcW w:w="1710" w:type="dxa"/>
            <w:noWrap/>
            <w:vAlign w:val="center"/>
          </w:tcPr>
          <w:p w14:paraId="2FD7695C">
            <w:pPr>
              <w:shd w:val="clear"/>
              <w:spacing w:line="300" w:lineRule="exact"/>
              <w:jc w:val="center"/>
              <w:rPr>
                <w:rFonts w:hint="default" w:ascii="Times New Roman" w:hAnsi="Times New Roman" w:eastAsia="方正仿宋_GBK" w:cs="Times New Roman"/>
                <w:iCs/>
                <w:color w:val="auto"/>
                <w:kern w:val="0"/>
                <w:sz w:val="24"/>
                <w:szCs w:val="24"/>
                <w:highlight w:val="none"/>
              </w:rPr>
            </w:pPr>
            <w:r>
              <w:rPr>
                <w:rFonts w:hint="default" w:ascii="Times New Roman" w:hAnsi="Times New Roman" w:eastAsia="方正仿宋_GBK" w:cs="Times New Roman"/>
                <w:iCs/>
                <w:color w:val="auto"/>
                <w:kern w:val="0"/>
                <w:sz w:val="24"/>
                <w:highlight w:val="none"/>
                <w:lang w:val="en-US" w:eastAsia="zh-CN"/>
              </w:rPr>
              <w:t>5</w:t>
            </w:r>
            <w:r>
              <w:rPr>
                <w:rFonts w:hint="default" w:ascii="Times New Roman" w:hAnsi="Times New Roman" w:eastAsia="方正仿宋_GBK" w:cs="Times New Roman"/>
                <w:iCs/>
                <w:color w:val="auto"/>
                <w:kern w:val="0"/>
                <w:sz w:val="24"/>
                <w:highlight w:val="none"/>
              </w:rPr>
              <w:t>%</w:t>
            </w:r>
          </w:p>
        </w:tc>
        <w:tc>
          <w:tcPr>
            <w:tcW w:w="1943" w:type="dxa"/>
            <w:noWrap/>
            <w:vAlign w:val="center"/>
          </w:tcPr>
          <w:p w14:paraId="43942EF7">
            <w:pPr>
              <w:spacing w:line="300" w:lineRule="exact"/>
              <w:jc w:val="center"/>
              <w:rPr>
                <w:rFonts w:hint="default" w:ascii="Times New Roman" w:hAnsi="Times New Roman" w:eastAsia="方正仿宋_GBK" w:cs="Times New Roman"/>
                <w:iCs/>
                <w:color w:val="auto"/>
                <w:kern w:val="0"/>
                <w:sz w:val="24"/>
                <w:szCs w:val="24"/>
                <w:highlight w:val="none"/>
                <w:lang w:val="en-US" w:eastAsia="zh-CN"/>
              </w:rPr>
            </w:pPr>
            <w:r>
              <w:rPr>
                <w:rFonts w:hint="default" w:ascii="Times New Roman" w:hAnsi="Times New Roman" w:eastAsia="方正仿宋_GBK" w:cs="Times New Roman"/>
                <w:iCs/>
                <w:color w:val="auto"/>
                <w:kern w:val="0"/>
                <w:sz w:val="24"/>
                <w:szCs w:val="24"/>
                <w:highlight w:val="none"/>
                <w:lang w:val="en-US" w:eastAsia="zh-CN"/>
              </w:rPr>
              <w:t>36</w:t>
            </w:r>
            <w:r>
              <w:rPr>
                <w:rFonts w:hint="eastAsia" w:ascii="Times New Roman" w:hAnsi="Times New Roman" w:eastAsia="方正仿宋_GBK" w:cs="Times New Roman"/>
                <w:iCs/>
                <w:color w:val="auto"/>
                <w:kern w:val="0"/>
                <w:sz w:val="24"/>
                <w:szCs w:val="24"/>
                <w:highlight w:val="none"/>
                <w:lang w:val="en-US" w:eastAsia="zh-CN"/>
              </w:rPr>
              <w:t>8</w:t>
            </w:r>
            <w:r>
              <w:rPr>
                <w:rFonts w:hint="default" w:ascii="Times New Roman" w:hAnsi="Times New Roman" w:eastAsia="方正仿宋_GBK" w:cs="Times New Roman"/>
                <w:iCs/>
                <w:color w:val="auto"/>
                <w:kern w:val="0"/>
                <w:sz w:val="24"/>
                <w:szCs w:val="24"/>
                <w:highlight w:val="none"/>
                <w:lang w:val="en-US" w:eastAsia="zh-CN"/>
              </w:rPr>
              <w:t>亿元，</w:t>
            </w:r>
            <w:r>
              <w:rPr>
                <w:rFonts w:hint="eastAsia" w:ascii="Times New Roman" w:hAnsi="Times New Roman" w:eastAsia="方正仿宋_GBK" w:cs="Times New Roman"/>
                <w:iCs/>
                <w:color w:val="auto"/>
                <w:kern w:val="0"/>
                <w:sz w:val="24"/>
                <w:szCs w:val="24"/>
                <w:highlight w:val="none"/>
                <w:lang w:val="en-US" w:eastAsia="zh-CN"/>
              </w:rPr>
              <w:t>17.9</w:t>
            </w:r>
            <w:r>
              <w:rPr>
                <w:rFonts w:hint="default" w:ascii="Times New Roman" w:hAnsi="Times New Roman" w:eastAsia="方正仿宋_GBK" w:cs="Times New Roman"/>
                <w:iCs/>
                <w:color w:val="auto"/>
                <w:kern w:val="0"/>
                <w:sz w:val="24"/>
                <w:szCs w:val="24"/>
                <w:highlight w:val="none"/>
                <w:lang w:val="en-US" w:eastAsia="zh-CN"/>
              </w:rPr>
              <w:t>%</w:t>
            </w:r>
          </w:p>
        </w:tc>
        <w:tc>
          <w:tcPr>
            <w:tcW w:w="1522" w:type="dxa"/>
            <w:noWrap/>
            <w:vAlign w:val="center"/>
          </w:tcPr>
          <w:p w14:paraId="607F89F0">
            <w:pPr>
              <w:spacing w:line="300" w:lineRule="exact"/>
              <w:jc w:val="center"/>
              <w:rPr>
                <w:rFonts w:hint="default" w:ascii="Times New Roman" w:hAnsi="Times New Roman" w:eastAsia="方正仿宋_GBK" w:cs="Times New Roman"/>
                <w:iCs/>
                <w:color w:val="auto"/>
                <w:kern w:val="0"/>
                <w:sz w:val="24"/>
                <w:szCs w:val="24"/>
                <w:highlight w:val="none"/>
                <w:lang w:val="en-US" w:eastAsia="zh-CN"/>
              </w:rPr>
            </w:pPr>
            <w:r>
              <w:rPr>
                <w:rFonts w:hint="default" w:ascii="Times New Roman" w:hAnsi="Times New Roman" w:eastAsia="方正仿宋_GBK" w:cs="Times New Roman"/>
                <w:iCs/>
                <w:color w:val="auto"/>
                <w:kern w:val="0"/>
                <w:sz w:val="24"/>
                <w:szCs w:val="24"/>
                <w:highlight w:val="none"/>
                <w:lang w:val="en-US" w:eastAsia="zh-CN"/>
              </w:rPr>
              <w:t>是</w:t>
            </w:r>
          </w:p>
        </w:tc>
        <w:tc>
          <w:tcPr>
            <w:tcW w:w="1751" w:type="dxa"/>
            <w:noWrap/>
            <w:vAlign w:val="center"/>
          </w:tcPr>
          <w:p w14:paraId="35760AD3">
            <w:pPr>
              <w:spacing w:line="300" w:lineRule="exact"/>
              <w:jc w:val="center"/>
              <w:rPr>
                <w:rFonts w:hint="default" w:ascii="Times New Roman" w:hAnsi="Times New Roman" w:eastAsia="方正仿宋_GBK" w:cs="Times New Roman"/>
                <w:iCs/>
                <w:color w:val="auto"/>
                <w:kern w:val="0"/>
                <w:sz w:val="24"/>
                <w:szCs w:val="24"/>
                <w:highlight w:val="none"/>
                <w:lang w:val="en-US" w:eastAsia="zh-CN"/>
              </w:rPr>
            </w:pPr>
            <w:r>
              <w:rPr>
                <w:rFonts w:hint="eastAsia" w:ascii="Times New Roman" w:hAnsi="Times New Roman" w:eastAsia="方正仿宋_GBK" w:cs="Times New Roman"/>
                <w:iCs/>
                <w:color w:val="auto"/>
                <w:kern w:val="0"/>
                <w:sz w:val="24"/>
                <w:szCs w:val="24"/>
                <w:highlight w:val="none"/>
                <w:lang w:val="en-US" w:eastAsia="zh-CN"/>
              </w:rPr>
              <w:t>全市第1</w:t>
            </w:r>
          </w:p>
        </w:tc>
      </w:tr>
      <w:tr w14:paraId="0631DB52">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500" w:hRule="atLeast"/>
          <w:jc w:val="center"/>
        </w:trPr>
        <w:tc>
          <w:tcPr>
            <w:tcW w:w="2715" w:type="dxa"/>
            <w:noWrap/>
            <w:vAlign w:val="center"/>
          </w:tcPr>
          <w:p w14:paraId="42D52685">
            <w:pPr>
              <w:spacing w:line="300" w:lineRule="exact"/>
              <w:rPr>
                <w:rFonts w:hint="default" w:ascii="Times New Roman" w:hAnsi="Times New Roman" w:eastAsia="方正仿宋_GBK" w:cs="Times New Roman"/>
                <w:b/>
                <w:color w:val="auto"/>
                <w:kern w:val="0"/>
                <w:sz w:val="24"/>
                <w:highlight w:val="none"/>
              </w:rPr>
            </w:pPr>
            <w:r>
              <w:rPr>
                <w:rFonts w:hint="default" w:ascii="Times New Roman" w:hAnsi="Times New Roman" w:eastAsia="方正仿宋_GBK" w:cs="Times New Roman"/>
                <w:b/>
                <w:color w:val="auto"/>
                <w:kern w:val="0"/>
                <w:sz w:val="24"/>
                <w:highlight w:val="none"/>
              </w:rPr>
              <w:t>社会消费品零售总额</w:t>
            </w:r>
          </w:p>
        </w:tc>
        <w:tc>
          <w:tcPr>
            <w:tcW w:w="1710" w:type="dxa"/>
            <w:noWrap/>
            <w:vAlign w:val="center"/>
          </w:tcPr>
          <w:p w14:paraId="4ACB0C21">
            <w:pPr>
              <w:shd w:val="clear"/>
              <w:spacing w:line="300" w:lineRule="exact"/>
              <w:jc w:val="center"/>
              <w:rPr>
                <w:rFonts w:hint="default" w:ascii="Times New Roman" w:hAnsi="Times New Roman" w:eastAsia="方正仿宋_GBK" w:cs="Times New Roman"/>
                <w:iCs/>
                <w:color w:val="auto"/>
                <w:kern w:val="0"/>
                <w:sz w:val="24"/>
                <w:szCs w:val="24"/>
                <w:highlight w:val="none"/>
              </w:rPr>
            </w:pPr>
            <w:r>
              <w:rPr>
                <w:rFonts w:hint="default" w:ascii="Times New Roman" w:hAnsi="Times New Roman" w:eastAsia="方正仿宋_GBK" w:cs="Times New Roman"/>
                <w:iCs/>
                <w:color w:val="auto"/>
                <w:kern w:val="0"/>
                <w:sz w:val="24"/>
                <w:highlight w:val="none"/>
                <w:lang w:val="en-US" w:eastAsia="zh-CN"/>
              </w:rPr>
              <w:t>6%</w:t>
            </w:r>
          </w:p>
        </w:tc>
        <w:tc>
          <w:tcPr>
            <w:tcW w:w="1943" w:type="dxa"/>
            <w:noWrap/>
            <w:vAlign w:val="center"/>
          </w:tcPr>
          <w:p w14:paraId="7B3DA875">
            <w:pPr>
              <w:spacing w:line="300" w:lineRule="exact"/>
              <w:jc w:val="center"/>
              <w:rPr>
                <w:rFonts w:hint="default" w:ascii="Times New Roman" w:hAnsi="Times New Roman" w:eastAsia="方正仿宋_GBK" w:cs="Times New Roman"/>
                <w:iCs/>
                <w:color w:val="auto"/>
                <w:kern w:val="0"/>
                <w:sz w:val="24"/>
                <w:szCs w:val="24"/>
                <w:highlight w:val="none"/>
                <w:lang w:val="en-US" w:eastAsia="zh-CN"/>
              </w:rPr>
            </w:pPr>
            <w:r>
              <w:rPr>
                <w:rFonts w:hint="eastAsia" w:ascii="Times New Roman" w:hAnsi="Times New Roman" w:eastAsia="方正仿宋_GBK" w:cs="Times New Roman"/>
                <w:iCs/>
                <w:color w:val="auto"/>
                <w:kern w:val="0"/>
                <w:sz w:val="24"/>
                <w:szCs w:val="24"/>
                <w:highlight w:val="none"/>
                <w:lang w:val="en-US" w:eastAsia="zh-CN"/>
              </w:rPr>
              <w:t>1063.1亿元，7.4</w:t>
            </w:r>
            <w:r>
              <w:rPr>
                <w:rFonts w:hint="default" w:ascii="Times New Roman" w:hAnsi="Times New Roman" w:eastAsia="方正仿宋_GBK" w:cs="Times New Roman"/>
                <w:iCs/>
                <w:color w:val="auto"/>
                <w:kern w:val="0"/>
                <w:sz w:val="24"/>
                <w:szCs w:val="24"/>
                <w:highlight w:val="none"/>
                <w:lang w:val="en-US" w:eastAsia="zh-CN"/>
              </w:rPr>
              <w:t>%</w:t>
            </w:r>
          </w:p>
        </w:tc>
        <w:tc>
          <w:tcPr>
            <w:tcW w:w="1522" w:type="dxa"/>
            <w:noWrap/>
            <w:vAlign w:val="center"/>
          </w:tcPr>
          <w:p w14:paraId="78D64108">
            <w:pPr>
              <w:spacing w:line="300" w:lineRule="exact"/>
              <w:jc w:val="center"/>
              <w:rPr>
                <w:rFonts w:hint="default" w:ascii="Times New Roman" w:hAnsi="Times New Roman" w:eastAsia="方正仿宋_GBK" w:cs="Times New Roman"/>
                <w:iCs/>
                <w:color w:val="auto"/>
                <w:kern w:val="0"/>
                <w:sz w:val="24"/>
                <w:szCs w:val="24"/>
                <w:highlight w:val="none"/>
                <w:lang w:eastAsia="zh-CN"/>
              </w:rPr>
            </w:pPr>
            <w:r>
              <w:rPr>
                <w:rFonts w:hint="default" w:ascii="Times New Roman" w:hAnsi="Times New Roman" w:eastAsia="方正仿宋_GBK" w:cs="Times New Roman"/>
                <w:iCs/>
                <w:color w:val="auto"/>
                <w:kern w:val="0"/>
                <w:sz w:val="24"/>
                <w:szCs w:val="24"/>
                <w:highlight w:val="none"/>
                <w:lang w:eastAsia="zh-CN"/>
              </w:rPr>
              <w:t>是</w:t>
            </w:r>
          </w:p>
        </w:tc>
        <w:tc>
          <w:tcPr>
            <w:tcW w:w="1751" w:type="dxa"/>
            <w:noWrap/>
            <w:vAlign w:val="center"/>
          </w:tcPr>
          <w:p w14:paraId="6051F4E4">
            <w:pPr>
              <w:spacing w:line="300" w:lineRule="exact"/>
              <w:jc w:val="center"/>
              <w:rPr>
                <w:rFonts w:hint="default" w:ascii="Times New Roman" w:hAnsi="Times New Roman" w:eastAsia="方正仿宋_GBK" w:cs="Times New Roman"/>
                <w:iCs/>
                <w:color w:val="auto"/>
                <w:kern w:val="0"/>
                <w:sz w:val="24"/>
                <w:szCs w:val="24"/>
                <w:highlight w:val="none"/>
                <w:lang w:val="en-US" w:eastAsia="zh-CN"/>
              </w:rPr>
            </w:pPr>
            <w:r>
              <w:rPr>
                <w:rFonts w:hint="eastAsia" w:ascii="Times New Roman" w:hAnsi="Times New Roman" w:eastAsia="方正仿宋_GBK" w:cs="Times New Roman"/>
                <w:iCs/>
                <w:color w:val="auto"/>
                <w:kern w:val="0"/>
                <w:sz w:val="24"/>
                <w:szCs w:val="24"/>
                <w:highlight w:val="none"/>
                <w:lang w:eastAsia="zh-CN"/>
              </w:rPr>
              <w:t>主城第</w:t>
            </w:r>
            <w:r>
              <w:rPr>
                <w:rFonts w:hint="eastAsia" w:ascii="Times New Roman" w:hAnsi="Times New Roman" w:eastAsia="方正仿宋_GBK" w:cs="Times New Roman"/>
                <w:iCs/>
                <w:color w:val="auto"/>
                <w:kern w:val="0"/>
                <w:sz w:val="24"/>
                <w:szCs w:val="24"/>
                <w:highlight w:val="none"/>
                <w:lang w:val="en-US" w:eastAsia="zh-CN"/>
              </w:rPr>
              <w:t>2</w:t>
            </w:r>
          </w:p>
        </w:tc>
      </w:tr>
      <w:tr w14:paraId="4203E76B">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15" w:type="dxa"/>
            <w:noWrap/>
            <w:vAlign w:val="center"/>
          </w:tcPr>
          <w:p w14:paraId="7B59EC29">
            <w:pPr>
              <w:spacing w:line="300" w:lineRule="exact"/>
              <w:rPr>
                <w:rFonts w:hint="default" w:ascii="Times New Roman" w:hAnsi="Times New Roman" w:eastAsia="方正仿宋_GBK" w:cs="Times New Roman"/>
                <w:b/>
                <w:color w:val="auto"/>
                <w:kern w:val="0"/>
                <w:sz w:val="24"/>
                <w:highlight w:val="none"/>
              </w:rPr>
            </w:pPr>
            <w:r>
              <w:rPr>
                <w:rFonts w:hint="default" w:ascii="Times New Roman" w:hAnsi="Times New Roman" w:eastAsia="方正仿宋_GBK" w:cs="Times New Roman"/>
                <w:b/>
                <w:color w:val="auto"/>
                <w:kern w:val="0"/>
                <w:sz w:val="24"/>
                <w:highlight w:val="none"/>
              </w:rPr>
              <w:t>外贸进出口总额</w:t>
            </w:r>
          </w:p>
        </w:tc>
        <w:tc>
          <w:tcPr>
            <w:tcW w:w="1710" w:type="dxa"/>
            <w:noWrap/>
            <w:vAlign w:val="center"/>
          </w:tcPr>
          <w:p w14:paraId="698F15D8">
            <w:pPr>
              <w:shd w:val="clear"/>
              <w:spacing w:line="300" w:lineRule="exact"/>
              <w:jc w:val="center"/>
              <w:rPr>
                <w:rFonts w:hint="default" w:ascii="Times New Roman" w:hAnsi="Times New Roman" w:eastAsia="方正仿宋_GBK" w:cs="Times New Roman"/>
                <w:iCs/>
                <w:color w:val="auto"/>
                <w:kern w:val="0"/>
                <w:sz w:val="24"/>
                <w:szCs w:val="24"/>
                <w:highlight w:val="none"/>
              </w:rPr>
            </w:pPr>
            <w:r>
              <w:rPr>
                <w:rFonts w:hint="default" w:ascii="Times New Roman" w:hAnsi="Times New Roman" w:eastAsia="方正仿宋_GBK" w:cs="Times New Roman"/>
                <w:iCs/>
                <w:color w:val="auto"/>
                <w:kern w:val="0"/>
                <w:sz w:val="24"/>
                <w:highlight w:val="none"/>
                <w:lang w:val="en-US" w:eastAsia="zh-CN"/>
              </w:rPr>
              <w:t>2%</w:t>
            </w:r>
          </w:p>
        </w:tc>
        <w:tc>
          <w:tcPr>
            <w:tcW w:w="1943" w:type="dxa"/>
            <w:noWrap/>
            <w:vAlign w:val="center"/>
          </w:tcPr>
          <w:p w14:paraId="7F10FE31">
            <w:pPr>
              <w:spacing w:line="300" w:lineRule="exact"/>
              <w:jc w:val="center"/>
              <w:rPr>
                <w:rFonts w:hint="default" w:ascii="Times New Roman" w:hAnsi="Times New Roman" w:eastAsia="方正仿宋_GBK" w:cs="Times New Roman"/>
                <w:iCs/>
                <w:color w:val="auto"/>
                <w:kern w:val="0"/>
                <w:sz w:val="24"/>
                <w:szCs w:val="24"/>
                <w:highlight w:val="none"/>
                <w:lang w:val="en-US" w:eastAsia="zh-CN"/>
              </w:rPr>
            </w:pPr>
            <w:r>
              <w:rPr>
                <w:rFonts w:hint="default" w:ascii="Times New Roman" w:hAnsi="Times New Roman" w:eastAsia="方正仿宋_GBK" w:cs="Times New Roman"/>
                <w:iCs/>
                <w:color w:val="auto"/>
                <w:kern w:val="0"/>
                <w:sz w:val="24"/>
                <w:szCs w:val="24"/>
                <w:highlight w:val="none"/>
                <w:lang w:val="en-US" w:eastAsia="zh-CN"/>
              </w:rPr>
              <w:t>7</w:t>
            </w:r>
            <w:r>
              <w:rPr>
                <w:rFonts w:hint="eastAsia" w:ascii="Times New Roman" w:hAnsi="Times New Roman" w:eastAsia="方正仿宋_GBK" w:cs="Times New Roman"/>
                <w:iCs/>
                <w:color w:val="auto"/>
                <w:kern w:val="0"/>
                <w:sz w:val="24"/>
                <w:szCs w:val="24"/>
                <w:highlight w:val="none"/>
                <w:lang w:val="en-US" w:eastAsia="zh-CN"/>
              </w:rPr>
              <w:t>54</w:t>
            </w:r>
            <w:r>
              <w:rPr>
                <w:rFonts w:hint="default" w:ascii="Times New Roman" w:hAnsi="Times New Roman" w:eastAsia="方正仿宋_GBK" w:cs="Times New Roman"/>
                <w:iCs/>
                <w:color w:val="auto"/>
                <w:kern w:val="0"/>
                <w:sz w:val="24"/>
                <w:szCs w:val="24"/>
                <w:highlight w:val="none"/>
                <w:lang w:val="en-US" w:eastAsia="zh-CN"/>
              </w:rPr>
              <w:t>亿元，-</w:t>
            </w:r>
            <w:r>
              <w:rPr>
                <w:rFonts w:hint="eastAsia" w:ascii="Times New Roman" w:hAnsi="Times New Roman" w:eastAsia="方正仿宋_GBK" w:cs="Times New Roman"/>
                <w:iCs/>
                <w:color w:val="auto"/>
                <w:kern w:val="0"/>
                <w:sz w:val="24"/>
                <w:szCs w:val="24"/>
                <w:highlight w:val="none"/>
                <w:lang w:val="en-US" w:eastAsia="zh-CN"/>
              </w:rPr>
              <w:t>2.2</w:t>
            </w:r>
            <w:r>
              <w:rPr>
                <w:rFonts w:hint="default" w:ascii="Times New Roman" w:hAnsi="Times New Roman" w:eastAsia="方正仿宋_GBK" w:cs="Times New Roman"/>
                <w:iCs/>
                <w:color w:val="auto"/>
                <w:kern w:val="0"/>
                <w:sz w:val="24"/>
                <w:szCs w:val="24"/>
                <w:highlight w:val="none"/>
                <w:lang w:val="en-US" w:eastAsia="zh-CN"/>
              </w:rPr>
              <w:t>%</w:t>
            </w:r>
          </w:p>
        </w:tc>
        <w:tc>
          <w:tcPr>
            <w:tcW w:w="1522" w:type="dxa"/>
            <w:noWrap/>
            <w:vAlign w:val="center"/>
          </w:tcPr>
          <w:p w14:paraId="03396E81">
            <w:pPr>
              <w:spacing w:line="300" w:lineRule="exact"/>
              <w:jc w:val="center"/>
              <w:rPr>
                <w:rFonts w:hint="default" w:ascii="Times New Roman" w:hAnsi="Times New Roman" w:eastAsia="方正仿宋_GBK" w:cs="Times New Roman"/>
                <w:iCs/>
                <w:color w:val="auto"/>
                <w:kern w:val="0"/>
                <w:sz w:val="24"/>
                <w:szCs w:val="24"/>
                <w:highlight w:val="none"/>
                <w:lang w:val="en-US" w:eastAsia="zh-CN"/>
              </w:rPr>
            </w:pPr>
            <w:r>
              <w:rPr>
                <w:rFonts w:hint="default" w:ascii="Times New Roman" w:hAnsi="Times New Roman" w:eastAsia="方正仿宋_GBK" w:cs="Times New Roman"/>
                <w:iCs/>
                <w:color w:val="auto"/>
                <w:kern w:val="0"/>
                <w:sz w:val="24"/>
                <w:szCs w:val="24"/>
                <w:highlight w:val="none"/>
                <w:lang w:val="en-US" w:eastAsia="zh-CN"/>
              </w:rPr>
              <w:t>否</w:t>
            </w:r>
          </w:p>
        </w:tc>
        <w:tc>
          <w:tcPr>
            <w:tcW w:w="1751" w:type="dxa"/>
            <w:noWrap/>
            <w:vAlign w:val="center"/>
          </w:tcPr>
          <w:p w14:paraId="4408C49E">
            <w:pPr>
              <w:spacing w:line="300" w:lineRule="exact"/>
              <w:jc w:val="center"/>
              <w:rPr>
                <w:rFonts w:hint="default" w:ascii="Times New Roman" w:hAnsi="Times New Roman" w:eastAsia="方正仿宋_GBK" w:cs="Times New Roman"/>
                <w:iCs/>
                <w:color w:val="auto"/>
                <w:kern w:val="0"/>
                <w:sz w:val="24"/>
                <w:szCs w:val="24"/>
                <w:highlight w:val="none"/>
                <w:lang w:val="en-US" w:eastAsia="zh-CN"/>
              </w:rPr>
            </w:pPr>
            <w:r>
              <w:rPr>
                <w:rFonts w:hint="default" w:ascii="Times New Roman" w:hAnsi="Times New Roman" w:eastAsia="方正仿宋_GBK" w:cs="Times New Roman"/>
                <w:iCs/>
                <w:color w:val="auto"/>
                <w:kern w:val="0"/>
                <w:sz w:val="24"/>
                <w:szCs w:val="24"/>
                <w:highlight w:val="none"/>
                <w:lang w:eastAsia="zh-CN"/>
              </w:rPr>
              <w:t>主城第</w:t>
            </w:r>
            <w:r>
              <w:rPr>
                <w:rFonts w:hint="default" w:ascii="Times New Roman" w:hAnsi="Times New Roman" w:eastAsia="方正仿宋_GBK" w:cs="Times New Roman"/>
                <w:iCs/>
                <w:color w:val="auto"/>
                <w:kern w:val="0"/>
                <w:sz w:val="24"/>
                <w:szCs w:val="24"/>
                <w:highlight w:val="none"/>
                <w:lang w:val="en-US" w:eastAsia="zh-CN"/>
              </w:rPr>
              <w:t>2</w:t>
            </w:r>
          </w:p>
        </w:tc>
      </w:tr>
      <w:tr w14:paraId="63252E34">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15" w:type="dxa"/>
            <w:noWrap/>
            <w:vAlign w:val="center"/>
          </w:tcPr>
          <w:p w14:paraId="1ED819BB">
            <w:pPr>
              <w:spacing w:line="300" w:lineRule="exact"/>
              <w:rPr>
                <w:rFonts w:hint="default" w:ascii="Times New Roman" w:hAnsi="Times New Roman" w:eastAsia="方正仿宋_GBK" w:cs="Times New Roman"/>
                <w:b/>
                <w:color w:val="auto"/>
                <w:kern w:val="0"/>
                <w:sz w:val="24"/>
                <w:highlight w:val="none"/>
              </w:rPr>
            </w:pPr>
            <w:r>
              <w:rPr>
                <w:rFonts w:hint="default" w:ascii="Times New Roman" w:hAnsi="Times New Roman" w:eastAsia="方正仿宋_GBK" w:cs="Times New Roman"/>
                <w:b/>
                <w:color w:val="auto"/>
                <w:kern w:val="0"/>
                <w:sz w:val="24"/>
                <w:highlight w:val="none"/>
              </w:rPr>
              <w:t>实际使用外资</w:t>
            </w:r>
          </w:p>
        </w:tc>
        <w:tc>
          <w:tcPr>
            <w:tcW w:w="1710" w:type="dxa"/>
            <w:noWrap/>
            <w:vAlign w:val="center"/>
          </w:tcPr>
          <w:p w14:paraId="1C91F8DC">
            <w:pPr>
              <w:spacing w:line="300" w:lineRule="exact"/>
              <w:jc w:val="center"/>
              <w:rPr>
                <w:rFonts w:hint="default" w:ascii="Times New Roman" w:hAnsi="Times New Roman" w:eastAsia="方正仿宋_GBK" w:cs="Times New Roman"/>
                <w:iCs/>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2.8</w:t>
            </w:r>
            <w:r>
              <w:rPr>
                <w:rStyle w:val="18"/>
                <w:rFonts w:hint="default" w:ascii="Times New Roman" w:hAnsi="Times New Roman" w:eastAsia="方正仿宋_GBK" w:cs="Times New Roman"/>
                <w:color w:val="auto"/>
                <w:sz w:val="24"/>
                <w:szCs w:val="24"/>
                <w:highlight w:val="none"/>
              </w:rPr>
              <w:t>亿美元</w:t>
            </w:r>
          </w:p>
        </w:tc>
        <w:tc>
          <w:tcPr>
            <w:tcW w:w="1943" w:type="dxa"/>
            <w:noWrap/>
            <w:vAlign w:val="center"/>
          </w:tcPr>
          <w:p w14:paraId="3F0E0805">
            <w:pPr>
              <w:spacing w:line="300" w:lineRule="exact"/>
              <w:jc w:val="center"/>
              <w:rPr>
                <w:rFonts w:hint="default" w:ascii="Times New Roman" w:hAnsi="Times New Roman" w:eastAsia="方正仿宋_GBK" w:cs="Times New Roman"/>
                <w:iCs/>
                <w:color w:val="auto"/>
                <w:kern w:val="0"/>
                <w:sz w:val="24"/>
                <w:szCs w:val="24"/>
                <w:highlight w:val="none"/>
                <w:lang w:val="en-US" w:eastAsia="zh-CN"/>
              </w:rPr>
            </w:pPr>
            <w:r>
              <w:rPr>
                <w:rFonts w:hint="default" w:ascii="Times New Roman" w:hAnsi="Times New Roman" w:eastAsia="方正仿宋_GBK" w:cs="Times New Roman"/>
                <w:iCs/>
                <w:color w:val="auto"/>
                <w:kern w:val="0"/>
                <w:sz w:val="24"/>
                <w:szCs w:val="24"/>
                <w:highlight w:val="none"/>
                <w:lang w:val="en-US" w:eastAsia="zh-CN"/>
              </w:rPr>
              <w:t>2.8</w:t>
            </w:r>
            <w:r>
              <w:rPr>
                <w:rFonts w:hint="eastAsia" w:ascii="Times New Roman" w:hAnsi="Times New Roman" w:eastAsia="方正仿宋_GBK" w:cs="Times New Roman"/>
                <w:iCs/>
                <w:color w:val="auto"/>
                <w:kern w:val="0"/>
                <w:sz w:val="24"/>
                <w:szCs w:val="24"/>
                <w:highlight w:val="none"/>
                <w:lang w:val="en-US" w:eastAsia="zh-CN"/>
              </w:rPr>
              <w:t>9</w:t>
            </w:r>
            <w:r>
              <w:rPr>
                <w:rFonts w:hint="default" w:ascii="Times New Roman" w:hAnsi="Times New Roman" w:eastAsia="方正仿宋_GBK" w:cs="Times New Roman"/>
                <w:iCs/>
                <w:color w:val="auto"/>
                <w:kern w:val="0"/>
                <w:sz w:val="24"/>
                <w:szCs w:val="24"/>
                <w:highlight w:val="none"/>
                <w:lang w:val="en-US" w:eastAsia="zh-CN"/>
              </w:rPr>
              <w:t>亿美元</w:t>
            </w:r>
            <w:r>
              <w:rPr>
                <w:rFonts w:hint="eastAsia" w:ascii="Times New Roman" w:hAnsi="Times New Roman" w:eastAsia="方正仿宋_GBK" w:cs="Times New Roman"/>
                <w:iCs/>
                <w:color w:val="auto"/>
                <w:kern w:val="0"/>
                <w:sz w:val="24"/>
                <w:szCs w:val="24"/>
                <w:highlight w:val="none"/>
                <w:lang w:val="en-US" w:eastAsia="zh-CN"/>
              </w:rPr>
              <w:t>（预计数）</w:t>
            </w:r>
          </w:p>
        </w:tc>
        <w:tc>
          <w:tcPr>
            <w:tcW w:w="1522" w:type="dxa"/>
            <w:noWrap/>
            <w:vAlign w:val="center"/>
          </w:tcPr>
          <w:p w14:paraId="733323B1">
            <w:pPr>
              <w:spacing w:line="300" w:lineRule="exact"/>
              <w:jc w:val="center"/>
              <w:rPr>
                <w:rFonts w:hint="default" w:ascii="Times New Roman" w:hAnsi="Times New Roman" w:eastAsia="方正仿宋_GBK" w:cs="Times New Roman"/>
                <w:iCs/>
                <w:color w:val="auto"/>
                <w:kern w:val="0"/>
                <w:sz w:val="24"/>
                <w:szCs w:val="24"/>
                <w:highlight w:val="none"/>
                <w:lang w:eastAsia="zh-CN"/>
              </w:rPr>
            </w:pPr>
            <w:r>
              <w:rPr>
                <w:rFonts w:hint="default" w:ascii="Times New Roman" w:hAnsi="Times New Roman" w:eastAsia="方正仿宋_GBK" w:cs="Times New Roman"/>
                <w:iCs/>
                <w:color w:val="auto"/>
                <w:kern w:val="0"/>
                <w:sz w:val="24"/>
                <w:szCs w:val="24"/>
                <w:highlight w:val="none"/>
                <w:lang w:eastAsia="zh-CN"/>
              </w:rPr>
              <w:t>是</w:t>
            </w:r>
          </w:p>
        </w:tc>
        <w:tc>
          <w:tcPr>
            <w:tcW w:w="1751" w:type="dxa"/>
            <w:noWrap/>
            <w:vAlign w:val="center"/>
          </w:tcPr>
          <w:p w14:paraId="47C6E695">
            <w:pPr>
              <w:spacing w:line="300" w:lineRule="exact"/>
              <w:jc w:val="center"/>
              <w:rPr>
                <w:rFonts w:hint="default" w:ascii="Times New Roman" w:hAnsi="Times New Roman" w:eastAsia="方正仿宋_GBK" w:cs="Times New Roman"/>
                <w:iCs/>
                <w:color w:val="auto"/>
                <w:kern w:val="0"/>
                <w:sz w:val="24"/>
                <w:szCs w:val="24"/>
                <w:highlight w:val="none"/>
                <w:lang w:eastAsia="zh-CN"/>
              </w:rPr>
            </w:pPr>
            <w:r>
              <w:rPr>
                <w:rFonts w:hint="default" w:ascii="Times New Roman" w:hAnsi="Times New Roman" w:eastAsia="方正仿宋_GBK" w:cs="Times New Roman"/>
                <w:iCs/>
                <w:color w:val="auto"/>
                <w:kern w:val="0"/>
                <w:sz w:val="24"/>
                <w:szCs w:val="24"/>
                <w:highlight w:val="none"/>
                <w:lang w:eastAsia="zh-CN"/>
              </w:rPr>
              <w:t>——</w:t>
            </w:r>
          </w:p>
        </w:tc>
      </w:tr>
      <w:tr w14:paraId="67BFB670">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715" w:type="dxa"/>
            <w:noWrap/>
            <w:vAlign w:val="center"/>
          </w:tcPr>
          <w:p w14:paraId="23F6BB0B">
            <w:pPr>
              <w:spacing w:line="300" w:lineRule="exact"/>
              <w:rPr>
                <w:rFonts w:hint="default" w:ascii="Times New Roman" w:hAnsi="Times New Roman" w:eastAsia="方正仿宋_GBK" w:cs="Times New Roman"/>
                <w:b/>
                <w:color w:val="auto"/>
                <w:kern w:val="0"/>
                <w:sz w:val="24"/>
                <w:highlight w:val="none"/>
              </w:rPr>
            </w:pPr>
            <w:r>
              <w:rPr>
                <w:rFonts w:hint="default" w:ascii="Times New Roman" w:hAnsi="Times New Roman" w:eastAsia="方正仿宋_GBK" w:cs="Times New Roman"/>
                <w:b/>
                <w:color w:val="auto"/>
                <w:kern w:val="0"/>
                <w:sz w:val="24"/>
                <w:highlight w:val="none"/>
              </w:rPr>
              <w:t>居民人均可支配收入</w:t>
            </w:r>
          </w:p>
        </w:tc>
        <w:tc>
          <w:tcPr>
            <w:tcW w:w="1710" w:type="dxa"/>
            <w:noWrap/>
            <w:vAlign w:val="center"/>
          </w:tcPr>
          <w:p w14:paraId="59CCB1F8">
            <w:pPr>
              <w:spacing w:line="300" w:lineRule="exact"/>
              <w:jc w:val="center"/>
              <w:rPr>
                <w:rFonts w:hint="default" w:ascii="Times New Roman" w:hAnsi="Times New Roman" w:eastAsia="方正仿宋_GBK" w:cs="Times New Roman"/>
                <w:iCs/>
                <w:color w:val="auto"/>
                <w:kern w:val="0"/>
                <w:sz w:val="24"/>
                <w:highlight w:val="none"/>
              </w:rPr>
            </w:pPr>
            <w:r>
              <w:rPr>
                <w:rFonts w:hint="default" w:ascii="Times New Roman" w:hAnsi="Times New Roman" w:eastAsia="方正仿宋_GBK" w:cs="Times New Roman"/>
                <w:iCs/>
                <w:color w:val="auto"/>
                <w:kern w:val="0"/>
                <w:sz w:val="24"/>
                <w:highlight w:val="none"/>
                <w:lang w:val="en-US" w:eastAsia="zh-CN"/>
              </w:rPr>
              <w:t>与</w:t>
            </w:r>
            <w:r>
              <w:rPr>
                <w:rFonts w:hint="default" w:ascii="Times New Roman" w:hAnsi="Times New Roman" w:eastAsia="方正仿宋_GBK" w:cs="Times New Roman"/>
                <w:iCs/>
                <w:color w:val="auto"/>
                <w:kern w:val="0"/>
                <w:sz w:val="24"/>
                <w:highlight w:val="none"/>
              </w:rPr>
              <w:t>经济增</w:t>
            </w:r>
            <w:r>
              <w:rPr>
                <w:rFonts w:hint="default" w:ascii="Times New Roman" w:hAnsi="Times New Roman" w:eastAsia="方正仿宋_GBK" w:cs="Times New Roman"/>
                <w:iCs/>
                <w:color w:val="auto"/>
                <w:kern w:val="0"/>
                <w:sz w:val="24"/>
                <w:highlight w:val="none"/>
                <w:lang w:val="en-US" w:eastAsia="zh-CN"/>
              </w:rPr>
              <w:t>长基本同步</w:t>
            </w:r>
          </w:p>
        </w:tc>
        <w:tc>
          <w:tcPr>
            <w:tcW w:w="1943" w:type="dxa"/>
            <w:noWrap/>
            <w:vAlign w:val="center"/>
          </w:tcPr>
          <w:p w14:paraId="4E06DEEF">
            <w:pPr>
              <w:spacing w:line="300" w:lineRule="exact"/>
              <w:jc w:val="center"/>
              <w:rPr>
                <w:rFonts w:hint="default" w:ascii="Times New Roman" w:hAnsi="Times New Roman" w:eastAsia="方正仿宋_GBK" w:cs="Times New Roman"/>
                <w:iCs/>
                <w:color w:val="auto"/>
                <w:kern w:val="0"/>
                <w:sz w:val="24"/>
                <w:szCs w:val="24"/>
                <w:highlight w:val="none"/>
                <w:lang w:val="en-US" w:eastAsia="zh-CN"/>
              </w:rPr>
            </w:pPr>
            <w:r>
              <w:rPr>
                <w:rFonts w:hint="default" w:ascii="Times New Roman" w:hAnsi="Times New Roman" w:eastAsia="方正仿宋_GBK" w:cs="Times New Roman"/>
                <w:iCs/>
                <w:color w:val="auto"/>
                <w:kern w:val="0"/>
                <w:sz w:val="24"/>
                <w:highlight w:val="none"/>
                <w:lang w:val="en-US" w:eastAsia="zh-CN"/>
              </w:rPr>
              <w:t>与</w:t>
            </w:r>
            <w:r>
              <w:rPr>
                <w:rFonts w:hint="default" w:ascii="Times New Roman" w:hAnsi="Times New Roman" w:eastAsia="方正仿宋_GBK" w:cs="Times New Roman"/>
                <w:iCs/>
                <w:color w:val="auto"/>
                <w:kern w:val="0"/>
                <w:sz w:val="24"/>
                <w:highlight w:val="none"/>
              </w:rPr>
              <w:t>经济增</w:t>
            </w:r>
            <w:r>
              <w:rPr>
                <w:rFonts w:hint="default" w:ascii="Times New Roman" w:hAnsi="Times New Roman" w:eastAsia="方正仿宋_GBK" w:cs="Times New Roman"/>
                <w:iCs/>
                <w:color w:val="auto"/>
                <w:kern w:val="0"/>
                <w:sz w:val="24"/>
                <w:highlight w:val="none"/>
                <w:lang w:val="en-US" w:eastAsia="zh-CN"/>
              </w:rPr>
              <w:t>长基本同步</w:t>
            </w:r>
            <w:r>
              <w:rPr>
                <w:rFonts w:hint="eastAsia" w:ascii="Times New Roman" w:hAnsi="Times New Roman" w:eastAsia="方正仿宋_GBK" w:cs="Times New Roman"/>
                <w:iCs/>
                <w:color w:val="auto"/>
                <w:kern w:val="0"/>
                <w:sz w:val="24"/>
                <w:highlight w:val="none"/>
                <w:lang w:val="en-US" w:eastAsia="zh-CN"/>
              </w:rPr>
              <w:t>（预计数）</w:t>
            </w:r>
          </w:p>
        </w:tc>
        <w:tc>
          <w:tcPr>
            <w:tcW w:w="1522" w:type="dxa"/>
            <w:noWrap/>
            <w:vAlign w:val="center"/>
          </w:tcPr>
          <w:p w14:paraId="68EAAB7E">
            <w:pPr>
              <w:spacing w:line="300" w:lineRule="exact"/>
              <w:jc w:val="center"/>
              <w:rPr>
                <w:rFonts w:hint="default" w:ascii="Times New Roman" w:hAnsi="Times New Roman" w:eastAsia="方正仿宋_GBK" w:cs="Times New Roman"/>
                <w:iCs/>
                <w:color w:val="auto"/>
                <w:kern w:val="0"/>
                <w:sz w:val="24"/>
                <w:szCs w:val="24"/>
                <w:highlight w:val="none"/>
                <w:lang w:eastAsia="zh-CN"/>
              </w:rPr>
            </w:pPr>
            <w:r>
              <w:rPr>
                <w:rFonts w:hint="default" w:ascii="Times New Roman" w:hAnsi="Times New Roman" w:eastAsia="方正仿宋_GBK" w:cs="Times New Roman"/>
                <w:iCs/>
                <w:color w:val="auto"/>
                <w:kern w:val="0"/>
                <w:sz w:val="24"/>
                <w:szCs w:val="24"/>
                <w:highlight w:val="none"/>
                <w:lang w:eastAsia="zh-CN"/>
              </w:rPr>
              <w:t>是</w:t>
            </w:r>
          </w:p>
        </w:tc>
        <w:tc>
          <w:tcPr>
            <w:tcW w:w="1751" w:type="dxa"/>
            <w:noWrap/>
            <w:vAlign w:val="center"/>
          </w:tcPr>
          <w:p w14:paraId="052D4833">
            <w:pPr>
              <w:spacing w:line="300" w:lineRule="exact"/>
              <w:jc w:val="center"/>
              <w:rPr>
                <w:rFonts w:hint="default" w:ascii="Times New Roman" w:hAnsi="Times New Roman" w:eastAsia="方正仿宋_GBK" w:cs="Times New Roman"/>
                <w:iCs/>
                <w:color w:val="auto"/>
                <w:kern w:val="0"/>
                <w:sz w:val="24"/>
                <w:szCs w:val="24"/>
                <w:highlight w:val="none"/>
                <w:lang w:eastAsia="zh-CN"/>
              </w:rPr>
            </w:pPr>
            <w:r>
              <w:rPr>
                <w:rFonts w:hint="default" w:ascii="Times New Roman" w:hAnsi="Times New Roman" w:eastAsia="方正仿宋_GBK" w:cs="Times New Roman"/>
                <w:iCs/>
                <w:color w:val="auto"/>
                <w:kern w:val="0"/>
                <w:sz w:val="24"/>
                <w:szCs w:val="24"/>
                <w:highlight w:val="none"/>
                <w:lang w:eastAsia="zh-CN"/>
              </w:rPr>
              <w:t>——</w:t>
            </w:r>
          </w:p>
        </w:tc>
      </w:tr>
    </w:tbl>
    <w:p w14:paraId="7BF171CC">
      <w:pPr>
        <w:pStyle w:val="19"/>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方正仿宋_GBK" w:cs="Times New Roman"/>
          <w:b/>
          <w:bCs/>
          <w:color w:val="auto"/>
          <w:kern w:val="0"/>
          <w:sz w:val="32"/>
          <w:szCs w:val="32"/>
          <w:highlight w:val="none"/>
          <w:lang w:val="en-US"/>
        </w:rPr>
      </w:pPr>
      <w:r>
        <w:rPr>
          <w:rFonts w:hint="default" w:ascii="Times New Roman" w:hAnsi="Times New Roman" w:eastAsia="方正楷体_GBK" w:cs="Times New Roman"/>
          <w:color w:val="auto"/>
          <w:sz w:val="32"/>
          <w:szCs w:val="28"/>
          <w:highlight w:val="none"/>
          <w:lang w:val="en-US" w:eastAsia="zh-CN"/>
        </w:rPr>
        <w:t>2、</w:t>
      </w:r>
      <w:r>
        <w:rPr>
          <w:rFonts w:hint="default" w:ascii="Times New Roman" w:hAnsi="Times New Roman" w:eastAsia="方正楷体_GBK" w:cs="Times New Roman"/>
          <w:color w:val="auto"/>
          <w:sz w:val="32"/>
          <w:szCs w:val="28"/>
          <w:highlight w:val="none"/>
          <w:lang w:eastAsia="zh-CN"/>
        </w:rPr>
        <w:t>项目建设推进有力。</w:t>
      </w:r>
      <w:r>
        <w:rPr>
          <w:rFonts w:hint="default" w:ascii="Times New Roman" w:hAnsi="Times New Roman" w:cs="Times New Roman"/>
          <w:color w:val="auto"/>
          <w:sz w:val="32"/>
          <w:szCs w:val="28"/>
          <w:highlight w:val="none"/>
          <w:lang w:val="en-US" w:eastAsia="zh-CN"/>
        </w:rPr>
        <w:t>有效投资持续扩大，全区</w:t>
      </w:r>
      <w:r>
        <w:rPr>
          <w:rFonts w:hint="default" w:ascii="Times New Roman" w:hAnsi="Times New Roman" w:cs="Times New Roman"/>
          <w:color w:val="auto"/>
          <w:sz w:val="32"/>
          <w:szCs w:val="28"/>
          <w:highlight w:val="none"/>
          <w:lang w:eastAsia="zh-CN"/>
        </w:rPr>
        <w:t>重大项目投资</w:t>
      </w:r>
      <w:r>
        <w:rPr>
          <w:rFonts w:hint="default" w:ascii="Times New Roman" w:hAnsi="Times New Roman" w:cs="Times New Roman"/>
          <w:color w:val="auto"/>
          <w:sz w:val="32"/>
          <w:szCs w:val="28"/>
          <w:highlight w:val="none"/>
          <w:lang w:val="en-US" w:eastAsia="zh-CN"/>
        </w:rPr>
        <w:t>预计</w:t>
      </w:r>
      <w:r>
        <w:rPr>
          <w:rFonts w:hint="default" w:ascii="Times New Roman" w:hAnsi="Times New Roman" w:cs="Times New Roman"/>
          <w:color w:val="auto"/>
          <w:sz w:val="32"/>
          <w:szCs w:val="28"/>
          <w:highlight w:val="none"/>
          <w:lang w:eastAsia="zh-CN"/>
        </w:rPr>
        <w:t>完成</w:t>
      </w:r>
      <w:r>
        <w:rPr>
          <w:rFonts w:hint="default" w:ascii="Times New Roman" w:hAnsi="Times New Roman" w:cs="Times New Roman"/>
          <w:color w:val="auto"/>
          <w:sz w:val="32"/>
          <w:szCs w:val="28"/>
          <w:highlight w:val="none"/>
          <w:lang w:val="en-US" w:eastAsia="zh-CN"/>
        </w:rPr>
        <w:t>325亿元，完成进度117%，占固定资产投资比重超90%。其中，市重大项目投资预计完成112.8</w:t>
      </w:r>
      <w:r>
        <w:rPr>
          <w:rFonts w:hint="eastAsia" w:cs="Times New Roman"/>
          <w:color w:val="auto"/>
          <w:sz w:val="32"/>
          <w:szCs w:val="28"/>
          <w:highlight w:val="none"/>
          <w:lang w:val="en-US" w:eastAsia="zh-CN"/>
        </w:rPr>
        <w:t>1</w:t>
      </w:r>
      <w:r>
        <w:rPr>
          <w:rFonts w:hint="default" w:ascii="Times New Roman" w:hAnsi="Times New Roman" w:cs="Times New Roman"/>
          <w:color w:val="auto"/>
          <w:sz w:val="32"/>
          <w:szCs w:val="28"/>
          <w:highlight w:val="none"/>
          <w:lang w:val="en-US" w:eastAsia="zh-CN"/>
        </w:rPr>
        <w:t>亿元，达超年度目标任务14.8亿元。全年实现15个项目新开工，南部新城国际路以西商办中心等2个市重大新开工项目</w:t>
      </w:r>
      <w:r>
        <w:rPr>
          <w:rFonts w:hint="eastAsia" w:cs="Times New Roman"/>
          <w:color w:val="auto"/>
          <w:sz w:val="32"/>
          <w:szCs w:val="28"/>
          <w:highlight w:val="none"/>
          <w:lang w:val="en-US" w:eastAsia="zh-CN"/>
        </w:rPr>
        <w:t>、</w:t>
      </w:r>
      <w:r>
        <w:rPr>
          <w:rFonts w:hint="default" w:ascii="Times New Roman" w:hAnsi="Times New Roman" w:eastAsia="方正仿宋_GBK" w:cs="Times New Roman"/>
          <w:color w:val="auto"/>
          <w:sz w:val="32"/>
          <w:szCs w:val="32"/>
          <w:highlight w:val="none"/>
        </w:rPr>
        <w:t>校场大道以北商办中心</w:t>
      </w:r>
      <w:r>
        <w:rPr>
          <w:rFonts w:hint="default" w:ascii="Times New Roman" w:hAnsi="Times New Roman" w:cs="Times New Roman"/>
          <w:color w:val="auto"/>
          <w:sz w:val="32"/>
          <w:szCs w:val="32"/>
          <w:highlight w:val="none"/>
          <w:lang w:eastAsia="zh-CN"/>
        </w:rPr>
        <w:t>等</w:t>
      </w:r>
      <w:r>
        <w:rPr>
          <w:rFonts w:hint="default" w:ascii="Times New Roman" w:hAnsi="Times New Roman" w:cs="Times New Roman"/>
          <w:color w:val="auto"/>
          <w:sz w:val="32"/>
          <w:szCs w:val="28"/>
          <w:highlight w:val="none"/>
          <w:lang w:val="en-US" w:eastAsia="zh-CN"/>
        </w:rPr>
        <w:t>3个市重大力争开工项目全面开工。67个在建项目总体进展良好，预计</w:t>
      </w:r>
      <w:r>
        <w:rPr>
          <w:rFonts w:hint="default" w:ascii="Times New Roman" w:hAnsi="Times New Roman" w:cs="Times New Roman"/>
          <w:color w:val="auto"/>
          <w:sz w:val="32"/>
          <w:szCs w:val="32"/>
          <w:highlight w:val="none"/>
          <w:lang w:eastAsia="zh-CN"/>
        </w:rPr>
        <w:t>完成投资</w:t>
      </w:r>
      <w:r>
        <w:rPr>
          <w:rFonts w:hint="default" w:ascii="Times New Roman" w:hAnsi="Times New Roman" w:cs="Times New Roman"/>
          <w:color w:val="auto"/>
          <w:sz w:val="32"/>
          <w:szCs w:val="28"/>
          <w:highlight w:val="none"/>
          <w:lang w:val="en-US" w:eastAsia="zh-CN"/>
        </w:rPr>
        <w:t>275亿元</w:t>
      </w:r>
      <w:r>
        <w:rPr>
          <w:rFonts w:hint="eastAsia" w:cs="Times New Roman"/>
          <w:color w:val="auto"/>
          <w:sz w:val="32"/>
          <w:szCs w:val="28"/>
          <w:highlight w:val="none"/>
          <w:lang w:val="en-US" w:eastAsia="zh-CN"/>
        </w:rPr>
        <w:t>；</w:t>
      </w:r>
      <w:r>
        <w:rPr>
          <w:rFonts w:hint="default" w:ascii="Times New Roman" w:hAnsi="Times New Roman" w:eastAsia="方正仿宋_GBK" w:cs="Times New Roman"/>
          <w:color w:val="auto"/>
          <w:sz w:val="32"/>
          <w:szCs w:val="32"/>
          <w:highlight w:val="none"/>
        </w:rPr>
        <w:t>锋晖</w:t>
      </w:r>
      <w:r>
        <w:rPr>
          <w:rFonts w:hint="default" w:ascii="Times New Roman" w:hAnsi="Times New Roman" w:cs="Times New Roman"/>
          <w:color w:val="auto"/>
          <w:sz w:val="32"/>
          <w:szCs w:val="32"/>
          <w:highlight w:val="none"/>
          <w:lang w:eastAsia="zh-CN"/>
        </w:rPr>
        <w:t>材料</w:t>
      </w:r>
      <w:r>
        <w:rPr>
          <w:rFonts w:hint="default" w:ascii="Times New Roman" w:hAnsi="Times New Roman" w:eastAsia="方正仿宋_GBK" w:cs="Times New Roman"/>
          <w:color w:val="auto"/>
          <w:sz w:val="32"/>
          <w:szCs w:val="32"/>
          <w:highlight w:val="none"/>
        </w:rPr>
        <w:t>科研生产基地、庆华社区中心等</w:t>
      </w:r>
      <w:r>
        <w:rPr>
          <w:rFonts w:hint="eastAsia" w:cs="Times New Roman"/>
          <w:color w:val="auto"/>
          <w:sz w:val="32"/>
          <w:szCs w:val="32"/>
          <w:highlight w:val="none"/>
          <w:lang w:val="en-US" w:eastAsia="zh-CN"/>
        </w:rPr>
        <w:t>17</w:t>
      </w:r>
      <w:r>
        <w:rPr>
          <w:rFonts w:hint="default" w:ascii="Times New Roman" w:hAnsi="Times New Roman" w:eastAsia="方正仿宋_GBK" w:cs="Times New Roman"/>
          <w:color w:val="auto"/>
          <w:sz w:val="32"/>
          <w:szCs w:val="32"/>
          <w:highlight w:val="none"/>
        </w:rPr>
        <w:t>个项目竣工。</w:t>
      </w:r>
      <w:r>
        <w:rPr>
          <w:rFonts w:hint="default" w:ascii="Times New Roman" w:hAnsi="Times New Roman" w:cs="Times New Roman"/>
          <w:color w:val="auto"/>
          <w:sz w:val="32"/>
          <w:szCs w:val="28"/>
          <w:highlight w:val="none"/>
          <w:lang w:val="en-US" w:eastAsia="zh-CN"/>
        </w:rPr>
        <w:t>项目攻坚成效显著，佰汇广场全面复工建设，中航科技城教育</w:t>
      </w:r>
      <w:r>
        <w:rPr>
          <w:rFonts w:hint="eastAsia" w:cs="Times New Roman"/>
          <w:color w:val="auto"/>
          <w:sz w:val="32"/>
          <w:szCs w:val="28"/>
          <w:highlight w:val="none"/>
          <w:lang w:val="en-US" w:eastAsia="zh-CN"/>
        </w:rPr>
        <w:t>、科研</w:t>
      </w:r>
      <w:r>
        <w:rPr>
          <w:rFonts w:hint="default" w:ascii="Times New Roman" w:hAnsi="Times New Roman" w:cs="Times New Roman"/>
          <w:color w:val="auto"/>
          <w:sz w:val="32"/>
          <w:szCs w:val="28"/>
          <w:highlight w:val="none"/>
          <w:lang w:val="en-US" w:eastAsia="zh-CN"/>
        </w:rPr>
        <w:t>地块实现开工，新华社地块初步具备挂牌条件，全力招商推介。</w:t>
      </w:r>
    </w:p>
    <w:p w14:paraId="0EA31160">
      <w:pPr>
        <w:jc w:val="center"/>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表</w:t>
      </w:r>
      <w:r>
        <w:rPr>
          <w:rFonts w:hint="default" w:ascii="Times New Roman" w:hAnsi="Times New Roman" w:eastAsia="方正仿宋_GBK" w:cs="Times New Roman"/>
          <w:b/>
          <w:bCs/>
          <w:color w:val="auto"/>
          <w:kern w:val="0"/>
          <w:sz w:val="32"/>
          <w:szCs w:val="32"/>
          <w:highlight w:val="none"/>
          <w:lang w:eastAsia="zh-CN"/>
        </w:rPr>
        <w:t>二</w:t>
      </w:r>
      <w:r>
        <w:rPr>
          <w:rFonts w:hint="default" w:ascii="Times New Roman" w:hAnsi="Times New Roman" w:eastAsia="方正仿宋_GBK" w:cs="Times New Roman"/>
          <w:b/>
          <w:bCs/>
          <w:color w:val="auto"/>
          <w:kern w:val="0"/>
          <w:sz w:val="32"/>
          <w:szCs w:val="32"/>
          <w:highlight w:val="none"/>
        </w:rPr>
        <w:t xml:space="preserve"> 重大项目进展情况</w:t>
      </w:r>
    </w:p>
    <w:tbl>
      <w:tblPr>
        <w:tblStyle w:val="13"/>
        <w:tblW w:w="0" w:type="auto"/>
        <w:jc w:val="center"/>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Layout w:type="fixed"/>
        <w:tblCellMar>
          <w:top w:w="0" w:type="dxa"/>
          <w:left w:w="108" w:type="dxa"/>
          <w:bottom w:w="0" w:type="dxa"/>
          <w:right w:w="108" w:type="dxa"/>
        </w:tblCellMar>
      </w:tblPr>
      <w:tblGrid>
        <w:gridCol w:w="2078"/>
        <w:gridCol w:w="6742"/>
      </w:tblGrid>
      <w:tr w14:paraId="2F200A93">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560E5CB4">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主要领域</w:t>
            </w:r>
          </w:p>
        </w:tc>
        <w:tc>
          <w:tcPr>
            <w:tcW w:w="6742" w:type="dxa"/>
            <w:tcBorders>
              <w:top w:val="single" w:color="000000" w:sz="6" w:space="0"/>
              <w:bottom w:val="single" w:color="000000" w:sz="6" w:space="0"/>
            </w:tcBorders>
            <w:noWrap/>
            <w:vAlign w:val="center"/>
          </w:tcPr>
          <w:p w14:paraId="6FCB1A2F">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主要进展</w:t>
            </w:r>
          </w:p>
        </w:tc>
      </w:tr>
      <w:tr w14:paraId="44EB8014">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495" w:hRule="atLeast"/>
          <w:jc w:val="center"/>
        </w:trPr>
        <w:tc>
          <w:tcPr>
            <w:tcW w:w="2078" w:type="dxa"/>
            <w:tcBorders>
              <w:top w:val="single" w:color="000000" w:sz="6" w:space="0"/>
              <w:bottom w:val="single" w:color="000000" w:sz="6" w:space="0"/>
            </w:tcBorders>
            <w:noWrap/>
            <w:vAlign w:val="center"/>
          </w:tcPr>
          <w:p w14:paraId="6932140D">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新开工项目</w:t>
            </w:r>
          </w:p>
        </w:tc>
        <w:tc>
          <w:tcPr>
            <w:tcW w:w="6742" w:type="dxa"/>
            <w:tcBorders>
              <w:top w:val="single" w:color="000000" w:sz="6" w:space="0"/>
              <w:bottom w:val="single" w:color="000000" w:sz="6" w:space="0"/>
            </w:tcBorders>
            <w:noWrap/>
            <w:vAlign w:val="center"/>
          </w:tcPr>
          <w:p w14:paraId="2182C3CF">
            <w:pPr>
              <w:pStyle w:val="19"/>
              <w:rPr>
                <w:rFonts w:hint="default" w:ascii="Times New Roman" w:hAnsi="Times New Roman" w:cs="Times New Roman"/>
                <w:color w:val="auto"/>
                <w:highlight w:val="none"/>
              </w:rPr>
            </w:pPr>
            <w:r>
              <w:rPr>
                <w:rFonts w:hint="default" w:ascii="Times New Roman" w:hAnsi="Times New Roman" w:cs="Times New Roman"/>
                <w:color w:val="auto"/>
                <w:highlight w:val="none"/>
              </w:rPr>
              <w:t>荷花塘片区城市更新、南部新城国际路以西商办中心2个</w:t>
            </w:r>
            <w:r>
              <w:rPr>
                <w:rFonts w:hint="default" w:ascii="Times New Roman" w:hAnsi="Times New Roman" w:cs="Times New Roman"/>
                <w:color w:val="auto"/>
                <w:highlight w:val="none"/>
                <w:lang w:eastAsia="zh-CN"/>
              </w:rPr>
              <w:t>市</w:t>
            </w:r>
            <w:r>
              <w:rPr>
                <w:rFonts w:hint="default" w:ascii="Times New Roman" w:hAnsi="Times New Roman" w:cs="Times New Roman"/>
                <w:color w:val="auto"/>
                <w:highlight w:val="none"/>
              </w:rPr>
              <w:t>新开工项目</w:t>
            </w:r>
            <w:r>
              <w:rPr>
                <w:rFonts w:hint="default" w:ascii="Times New Roman" w:hAnsi="Times New Roman" w:cs="Times New Roman"/>
                <w:color w:val="auto"/>
                <w:highlight w:val="none"/>
                <w:lang w:eastAsia="zh-CN"/>
              </w:rPr>
              <w:t>全部开工。</w:t>
            </w:r>
          </w:p>
          <w:p w14:paraId="0F3D8E96">
            <w:pPr>
              <w:pStyle w:val="19"/>
              <w:rPr>
                <w:rFonts w:hint="default" w:ascii="Times New Roman" w:hAnsi="Times New Roman" w:cs="Times New Roman"/>
                <w:color w:val="auto"/>
                <w:highlight w:val="none"/>
              </w:rPr>
            </w:pPr>
            <w:r>
              <w:rPr>
                <w:rFonts w:hint="default" w:ascii="Times New Roman" w:hAnsi="Times New Roman" w:cs="Times New Roman"/>
                <w:color w:val="auto"/>
                <w:highlight w:val="none"/>
              </w:rPr>
              <w:t>南部新城校场大道以北商办中心、佰汇广场、中航科技城3个</w:t>
            </w:r>
            <w:r>
              <w:rPr>
                <w:rFonts w:hint="default" w:ascii="Times New Roman" w:hAnsi="Times New Roman" w:cs="Times New Roman"/>
                <w:color w:val="auto"/>
                <w:highlight w:val="none"/>
                <w:lang w:eastAsia="zh-CN"/>
              </w:rPr>
              <w:t>市</w:t>
            </w:r>
            <w:r>
              <w:rPr>
                <w:rFonts w:hint="default" w:ascii="Times New Roman" w:hAnsi="Times New Roman" w:cs="Times New Roman"/>
                <w:color w:val="auto"/>
                <w:highlight w:val="none"/>
              </w:rPr>
              <w:t>力争开工项目全面开工</w:t>
            </w:r>
            <w:r>
              <w:rPr>
                <w:rFonts w:hint="default" w:ascii="Times New Roman" w:hAnsi="Times New Roman" w:cs="Times New Roman"/>
                <w:color w:val="auto"/>
                <w:highlight w:val="none"/>
                <w:lang w:eastAsia="zh-CN"/>
              </w:rPr>
              <w:t>。</w:t>
            </w:r>
          </w:p>
          <w:p w14:paraId="25626FD6">
            <w:pPr>
              <w:pStyle w:val="19"/>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北文投</w:t>
            </w:r>
            <w:r>
              <w:rPr>
                <w:rFonts w:hint="default" w:ascii="Times New Roman" w:hAnsi="Times New Roman" w:cs="Times New Roman"/>
                <w:color w:val="auto"/>
                <w:highlight w:val="none"/>
              </w:rPr>
              <w:t>项目完成综合楼基本改造</w:t>
            </w:r>
            <w:r>
              <w:rPr>
                <w:rFonts w:hint="default" w:ascii="Times New Roman" w:hAnsi="Times New Roman" w:cs="Times New Roman"/>
                <w:color w:val="auto"/>
                <w:highlight w:val="none"/>
                <w:lang w:eastAsia="zh-CN"/>
              </w:rPr>
              <w:t>。</w:t>
            </w:r>
          </w:p>
          <w:p w14:paraId="52BA61CE">
            <w:pPr>
              <w:pStyle w:val="19"/>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秦淮体育中心</w:t>
            </w:r>
            <w:r>
              <w:rPr>
                <w:rFonts w:hint="default" w:ascii="Times New Roman" w:hAnsi="Times New Roman" w:cs="Times New Roman"/>
                <w:color w:val="auto"/>
                <w:highlight w:val="none"/>
              </w:rPr>
              <w:t>新电梯已投入使用</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完成局部顶面拆除、垃圾清运工作</w:t>
            </w:r>
            <w:r>
              <w:rPr>
                <w:rFonts w:hint="default" w:ascii="Times New Roman" w:hAnsi="Times New Roman" w:cs="Times New Roman"/>
                <w:color w:val="auto"/>
                <w:highlight w:val="none"/>
                <w:lang w:eastAsia="zh-CN"/>
              </w:rPr>
              <w:t>。</w:t>
            </w:r>
          </w:p>
          <w:p w14:paraId="7DB669D8">
            <w:pPr>
              <w:pStyle w:val="19"/>
              <w:rPr>
                <w:rFonts w:hint="default" w:ascii="Times New Roman" w:hAnsi="Times New Roman" w:cs="Times New Roman"/>
                <w:color w:val="auto"/>
                <w:highlight w:val="none"/>
              </w:rPr>
            </w:pPr>
            <w:r>
              <w:rPr>
                <w:rFonts w:hint="default" w:ascii="Times New Roman" w:hAnsi="Times New Roman" w:cs="Times New Roman"/>
                <w:color w:val="auto"/>
                <w:highlight w:val="none"/>
              </w:rPr>
              <w:t>怡居路北侧幼儿园</w:t>
            </w:r>
            <w:r>
              <w:rPr>
                <w:rFonts w:hint="default" w:ascii="Times New Roman" w:hAnsi="Times New Roman" w:cs="Times New Roman"/>
                <w:color w:val="auto"/>
                <w:highlight w:val="none"/>
                <w:lang w:val="en-US" w:eastAsia="zh-CN"/>
              </w:rPr>
              <w:t>主体结构验收完成。</w:t>
            </w:r>
          </w:p>
        </w:tc>
      </w:tr>
      <w:tr w14:paraId="2D4DD9E0">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35F7745C">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在建项目</w:t>
            </w:r>
          </w:p>
        </w:tc>
        <w:tc>
          <w:tcPr>
            <w:tcW w:w="6742" w:type="dxa"/>
            <w:tcBorders>
              <w:top w:val="single" w:color="000000" w:sz="6" w:space="0"/>
              <w:bottom w:val="single" w:color="000000" w:sz="6" w:space="0"/>
            </w:tcBorders>
            <w:noWrap/>
            <w:vAlign w:val="center"/>
          </w:tcPr>
          <w:p w14:paraId="3AC92D21">
            <w:pPr>
              <w:pStyle w:val="19"/>
              <w:rPr>
                <w:rFonts w:hint="default" w:ascii="Times New Roman" w:hAnsi="Times New Roman" w:cs="Times New Roman"/>
                <w:color w:val="auto"/>
                <w:highlight w:val="none"/>
              </w:rPr>
            </w:pPr>
            <w:r>
              <w:rPr>
                <w:rFonts w:hint="default" w:ascii="Times New Roman" w:hAnsi="Times New Roman" w:cs="Times New Roman"/>
                <w:color w:val="auto"/>
                <w:highlight w:val="none"/>
              </w:rPr>
              <w:t>西五华里休闲文化街区</w:t>
            </w:r>
            <w:r>
              <w:rPr>
                <w:rFonts w:hint="default" w:ascii="Times New Roman" w:hAnsi="Times New Roman" w:cs="Times New Roman"/>
                <w:color w:val="auto"/>
                <w:highlight w:val="none"/>
                <w:lang w:val="en-US" w:eastAsia="zh-CN"/>
              </w:rPr>
              <w:t>开展桩基施工。</w:t>
            </w:r>
          </w:p>
          <w:p w14:paraId="4FB65344">
            <w:pPr>
              <w:pStyle w:val="19"/>
              <w:rPr>
                <w:rFonts w:hint="default" w:ascii="Times New Roman" w:hAnsi="Times New Roman" w:cs="Times New Roman"/>
                <w:color w:val="auto"/>
                <w:highlight w:val="none"/>
              </w:rPr>
            </w:pPr>
            <w:r>
              <w:rPr>
                <w:rFonts w:hint="default" w:ascii="Times New Roman" w:hAnsi="Times New Roman" w:cs="Times New Roman"/>
                <w:color w:val="auto"/>
                <w:highlight w:val="none"/>
              </w:rPr>
              <w:t>分布文化总部大厦</w:t>
            </w:r>
            <w:r>
              <w:rPr>
                <w:rFonts w:hint="default" w:ascii="Times New Roman" w:hAnsi="Times New Roman" w:cs="Times New Roman"/>
                <w:color w:val="auto"/>
                <w:highlight w:val="none"/>
                <w:lang w:eastAsia="zh-CN"/>
              </w:rPr>
              <w:t>、周处读书台“山水人文苑”</w:t>
            </w:r>
            <w:r>
              <w:rPr>
                <w:rFonts w:hint="default" w:ascii="Times New Roman" w:hAnsi="Times New Roman" w:cs="Times New Roman"/>
                <w:color w:val="auto"/>
                <w:highlight w:val="none"/>
                <w:lang w:val="en-US" w:eastAsia="zh-CN"/>
              </w:rPr>
              <w:t>进行地下施工。</w:t>
            </w:r>
          </w:p>
          <w:p w14:paraId="17846CAA">
            <w:pPr>
              <w:pStyle w:val="19"/>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江苏无线电厂综合电子产品研发基地等项目进行主体施工。</w:t>
            </w:r>
          </w:p>
          <w:p w14:paraId="621254BB">
            <w:pPr>
              <w:pStyle w:val="19"/>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大明路商办综合体、</w:t>
            </w:r>
            <w:r>
              <w:rPr>
                <w:rFonts w:hint="default" w:ascii="Times New Roman" w:hAnsi="Times New Roman" w:cs="Times New Roman"/>
                <w:color w:val="auto"/>
                <w:highlight w:val="none"/>
              </w:rPr>
              <w:t>白下高新区数据产业园</w:t>
            </w:r>
            <w:r>
              <w:rPr>
                <w:rFonts w:hint="default" w:ascii="Times New Roman" w:hAnsi="Times New Roman" w:cs="Times New Roman"/>
                <w:color w:val="auto"/>
                <w:highlight w:val="none"/>
                <w:lang w:eastAsia="zh-CN"/>
              </w:rPr>
              <w:t>、人工智能产业大厦、</w:t>
            </w:r>
            <w:r>
              <w:rPr>
                <w:rFonts w:hint="default" w:ascii="Times New Roman" w:hAnsi="Times New Roman" w:cs="Times New Roman"/>
                <w:color w:val="auto"/>
                <w:highlight w:val="none"/>
                <w:lang w:val="en-US" w:eastAsia="zh-CN"/>
              </w:rPr>
              <w:t>越城天地文化旅游街区自持商业主体结构封顶。</w:t>
            </w:r>
          </w:p>
          <w:p w14:paraId="58D6774E">
            <w:pPr>
              <w:pStyle w:val="19"/>
              <w:rPr>
                <w:rFonts w:hint="default" w:ascii="Times New Roman" w:hAnsi="Times New Roman" w:cs="Times New Roman"/>
                <w:color w:val="auto"/>
                <w:highlight w:val="none"/>
              </w:rPr>
            </w:pPr>
            <w:r>
              <w:rPr>
                <w:color w:val="auto"/>
                <w:highlight w:val="none"/>
              </w:rPr>
              <w:t>南部新城全民健身中心</w:t>
            </w:r>
            <w:r>
              <w:rPr>
                <w:rFonts w:hint="eastAsia"/>
                <w:color w:val="auto"/>
                <w:highlight w:val="none"/>
                <w:lang w:val="en-US" w:eastAsia="zh-CN"/>
              </w:rPr>
              <w:t>基本建成</w:t>
            </w:r>
            <w:r>
              <w:rPr>
                <w:rFonts w:hint="eastAsia"/>
                <w:color w:val="auto"/>
                <w:highlight w:val="none"/>
                <w:lang w:eastAsia="zh-CN"/>
              </w:rPr>
              <w:t>，</w:t>
            </w:r>
            <w:r>
              <w:rPr>
                <w:color w:val="auto"/>
                <w:highlight w:val="none"/>
              </w:rPr>
              <w:t>校场一路公交综合体</w:t>
            </w:r>
            <w:r>
              <w:rPr>
                <w:rFonts w:hint="eastAsia"/>
                <w:color w:val="auto"/>
                <w:highlight w:val="none"/>
                <w:lang w:val="en-US" w:eastAsia="zh-CN"/>
              </w:rPr>
              <w:t>即将交付</w:t>
            </w:r>
            <w:r>
              <w:rPr>
                <w:color w:val="auto"/>
                <w:highlight w:val="none"/>
              </w:rPr>
              <w:t>。</w:t>
            </w:r>
          </w:p>
          <w:p w14:paraId="16F055B7">
            <w:pPr>
              <w:pStyle w:val="19"/>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天安数码城二期、庆华社区中心、观门口保障房、南京锋晖复合材料有限公司科研生产基地等项目已竣备。</w:t>
            </w:r>
          </w:p>
        </w:tc>
      </w:tr>
      <w:tr w14:paraId="7E8410D3">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1024FBAD">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前期项目</w:t>
            </w:r>
          </w:p>
        </w:tc>
        <w:tc>
          <w:tcPr>
            <w:tcW w:w="6742" w:type="dxa"/>
            <w:tcBorders>
              <w:top w:val="single" w:color="000000" w:sz="6" w:space="0"/>
              <w:bottom w:val="single" w:color="000000" w:sz="6" w:space="0"/>
            </w:tcBorders>
            <w:noWrap/>
            <w:vAlign w:val="center"/>
          </w:tcPr>
          <w:p w14:paraId="1ED6D1B7">
            <w:pPr>
              <w:pStyle w:val="19"/>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44个前期项目中，25个已取得明显进展。</w:t>
            </w:r>
          </w:p>
          <w:p w14:paraId="0F8F4CED">
            <w:pPr>
              <w:pStyle w:val="19"/>
              <w:rPr>
                <w:rFonts w:hint="default" w:ascii="Times New Roman" w:hAnsi="Times New Roman" w:cs="Times New Roman"/>
                <w:color w:val="auto"/>
                <w:highlight w:val="none"/>
              </w:rPr>
            </w:pPr>
            <w:r>
              <w:rPr>
                <w:rFonts w:hint="default" w:ascii="Times New Roman" w:hAnsi="Times New Roman" w:cs="Times New Roman"/>
                <w:color w:val="auto"/>
                <w:highlight w:val="none"/>
              </w:rPr>
              <w:t>牌楼、郑家营地块、养虎仓、弘学路推进方案研究。</w:t>
            </w:r>
          </w:p>
          <w:p w14:paraId="3A44C8CB">
            <w:pPr>
              <w:pStyle w:val="19"/>
              <w:rPr>
                <w:rFonts w:hint="default" w:ascii="Times New Roman" w:hAnsi="Times New Roman" w:cs="Times New Roman"/>
                <w:color w:val="auto"/>
                <w:highlight w:val="none"/>
              </w:rPr>
            </w:pPr>
            <w:r>
              <w:rPr>
                <w:rFonts w:hint="default" w:ascii="Times New Roman" w:hAnsi="Times New Roman" w:cs="Times New Roman"/>
                <w:color w:val="auto"/>
                <w:highlight w:val="none"/>
              </w:rPr>
              <w:t>新街口商务商贸大厦推进土地挂牌出让</w:t>
            </w:r>
            <w:r>
              <w:rPr>
                <w:rFonts w:hint="default" w:ascii="Times New Roman" w:hAnsi="Times New Roman" w:cs="Times New Roman"/>
                <w:color w:val="auto"/>
                <w:highlight w:val="none"/>
                <w:lang w:eastAsia="zh-CN"/>
              </w:rPr>
              <w:t>。</w:t>
            </w:r>
          </w:p>
        </w:tc>
      </w:tr>
    </w:tbl>
    <w:p w14:paraId="0E279B6C">
      <w:pPr>
        <w:pStyle w:val="19"/>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Cs/>
          <w:color w:val="auto"/>
          <w:kern w:val="0"/>
          <w:sz w:val="32"/>
          <w:szCs w:val="32"/>
          <w:highlight w:val="none"/>
          <w:lang w:val="en-US" w:eastAsia="zh-CN"/>
        </w:rPr>
      </w:pPr>
      <w:r>
        <w:rPr>
          <w:rFonts w:hint="default" w:ascii="Times New Roman" w:hAnsi="Times New Roman" w:eastAsia="方正楷体_GBK" w:cs="Times New Roman"/>
          <w:color w:val="auto"/>
          <w:kern w:val="2"/>
          <w:sz w:val="32"/>
          <w:szCs w:val="28"/>
          <w:highlight w:val="none"/>
          <w:lang w:val="en-US" w:eastAsia="zh-CN" w:bidi="ar-SA"/>
        </w:rPr>
        <w:t>3、内外需求稳步恢复</w:t>
      </w:r>
      <w:r>
        <w:rPr>
          <w:rFonts w:hint="default" w:ascii="Times New Roman" w:hAnsi="Times New Roman" w:eastAsia="方正楷体_GBK" w:cs="Times New Roman"/>
          <w:b w:val="0"/>
          <w:bCs w:val="0"/>
          <w:color w:val="auto"/>
          <w:sz w:val="32"/>
          <w:szCs w:val="28"/>
          <w:highlight w:val="none"/>
        </w:rPr>
        <w:t>。</w:t>
      </w:r>
      <w:r>
        <w:rPr>
          <w:rFonts w:hint="default" w:ascii="Times New Roman" w:hAnsi="Times New Roman" w:cs="Times New Roman"/>
          <w:color w:val="auto"/>
          <w:sz w:val="32"/>
          <w:szCs w:val="28"/>
          <w:highlight w:val="none"/>
        </w:rPr>
        <w:t>现代商贸流通体系建设深入推进</w:t>
      </w:r>
      <w:r>
        <w:rPr>
          <w:rFonts w:hint="default" w:ascii="Times New Roman" w:hAnsi="Times New Roman" w:cs="Times New Roman"/>
          <w:color w:val="auto"/>
          <w:sz w:val="32"/>
          <w:szCs w:val="28"/>
          <w:highlight w:val="none"/>
          <w:lang w:eastAsia="zh-CN"/>
        </w:rPr>
        <w:t>，</w:t>
      </w:r>
      <w:r>
        <w:rPr>
          <w:rFonts w:hint="default" w:ascii="Times New Roman" w:hAnsi="Times New Roman" w:eastAsia="方正仿宋_GBK" w:cs="Times New Roman"/>
          <w:color w:val="auto"/>
          <w:sz w:val="32"/>
          <w:szCs w:val="32"/>
          <w:highlight w:val="none"/>
        </w:rPr>
        <w:t>新街口</w:t>
      </w:r>
      <w:r>
        <w:rPr>
          <w:rFonts w:hint="eastAsia" w:cs="Times New Roman"/>
          <w:color w:val="auto"/>
          <w:sz w:val="32"/>
          <w:szCs w:val="32"/>
          <w:highlight w:val="none"/>
          <w:lang w:eastAsia="zh-CN"/>
        </w:rPr>
        <w:t>商圈入选</w:t>
      </w:r>
      <w:r>
        <w:rPr>
          <w:rFonts w:hint="default" w:ascii="Times New Roman" w:hAnsi="Times New Roman" w:eastAsia="方正仿宋_GBK" w:cs="Times New Roman"/>
          <w:color w:val="auto"/>
          <w:sz w:val="32"/>
          <w:szCs w:val="32"/>
          <w:highlight w:val="none"/>
        </w:rPr>
        <w:t>省级夜间文旅消费集聚区</w:t>
      </w:r>
      <w:r>
        <w:rPr>
          <w:rFonts w:hint="eastAsia" w:cs="Times New Roman"/>
          <w:color w:val="auto"/>
          <w:sz w:val="32"/>
          <w:szCs w:val="32"/>
          <w:highlight w:val="none"/>
          <w:lang w:eastAsia="zh-CN"/>
        </w:rPr>
        <w:t>建设单位</w:t>
      </w:r>
      <w:r>
        <w:rPr>
          <w:rFonts w:hint="default" w:ascii="Times New Roman" w:hAnsi="Times New Roman"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熙南里</w:t>
      </w:r>
      <w:r>
        <w:rPr>
          <w:rFonts w:hint="default" w:ascii="Times New Roman" w:hAnsi="Times New Roman" w:cs="Times New Roman"/>
          <w:color w:val="auto"/>
          <w:sz w:val="32"/>
          <w:szCs w:val="32"/>
          <w:highlight w:val="none"/>
          <w:lang w:eastAsia="zh-CN"/>
        </w:rPr>
        <w:t>作为全市唯一入选</w:t>
      </w:r>
      <w:r>
        <w:rPr>
          <w:rFonts w:hint="default" w:ascii="Times New Roman" w:hAnsi="Times New Roman" w:eastAsia="方正仿宋_GBK" w:cs="Times New Roman"/>
          <w:color w:val="auto"/>
          <w:sz w:val="32"/>
          <w:szCs w:val="32"/>
          <w:highlight w:val="none"/>
        </w:rPr>
        <w:t>第二批江苏省示范步行街</w:t>
      </w:r>
      <w:r>
        <w:rPr>
          <w:rFonts w:hint="default" w:ascii="Times New Roman" w:hAnsi="Times New Roman" w:cs="Times New Roman"/>
          <w:color w:val="auto"/>
          <w:sz w:val="32"/>
          <w:szCs w:val="32"/>
          <w:highlight w:val="none"/>
          <w:lang w:eastAsia="zh-CN"/>
        </w:rPr>
        <w:t>。</w:t>
      </w:r>
      <w:r>
        <w:rPr>
          <w:rFonts w:hint="default" w:ascii="Times New Roman" w:hAnsi="Times New Roman" w:eastAsia="方正仿宋_GBK" w:cs="Times New Roman"/>
          <w:b w:val="0"/>
          <w:bCs w:val="0"/>
          <w:color w:val="auto"/>
          <w:sz w:val="32"/>
          <w:szCs w:val="28"/>
          <w:highlight w:val="none"/>
          <w:lang w:eastAsia="zh-CN"/>
        </w:rPr>
        <w:t>消费市场</w:t>
      </w:r>
      <w:r>
        <w:rPr>
          <w:rFonts w:hint="default" w:ascii="Times New Roman" w:hAnsi="Times New Roman" w:cs="Times New Roman"/>
          <w:b w:val="0"/>
          <w:bCs w:val="0"/>
          <w:color w:val="auto"/>
          <w:sz w:val="32"/>
          <w:szCs w:val="28"/>
          <w:highlight w:val="none"/>
          <w:lang w:eastAsia="zh-CN"/>
        </w:rPr>
        <w:t>逐步回暖</w:t>
      </w:r>
      <w:r>
        <w:rPr>
          <w:rFonts w:hint="default" w:ascii="Times New Roman" w:hAnsi="Times New Roman" w:eastAsia="方正仿宋_GBK" w:cs="Times New Roman"/>
          <w:b w:val="0"/>
          <w:bCs w:val="0"/>
          <w:color w:val="auto"/>
          <w:sz w:val="32"/>
          <w:szCs w:val="28"/>
          <w:highlight w:val="none"/>
          <w:lang w:eastAsia="zh-CN"/>
        </w:rPr>
        <w:t>，</w:t>
      </w:r>
      <w:r>
        <w:rPr>
          <w:rFonts w:hint="default" w:ascii="Times New Roman" w:hAnsi="Times New Roman" w:cs="Times New Roman"/>
          <w:color w:val="auto"/>
          <w:sz w:val="32"/>
          <w:szCs w:val="32"/>
          <w:highlight w:val="none"/>
          <w:lang w:val="en-US" w:eastAsia="zh-CN"/>
        </w:rPr>
        <w:t>举办各类消费促进活动4</w:t>
      </w:r>
      <w:r>
        <w:rPr>
          <w:rFonts w:hint="eastAsia" w:cs="Times New Roman"/>
          <w:color w:val="auto"/>
          <w:sz w:val="32"/>
          <w:szCs w:val="32"/>
          <w:highlight w:val="none"/>
          <w:lang w:val="en-US" w:eastAsia="zh-CN"/>
        </w:rPr>
        <w:t>60</w:t>
      </w:r>
      <w:r>
        <w:rPr>
          <w:rFonts w:hint="default" w:ascii="Times New Roman" w:hAnsi="Times New Roman" w:cs="Times New Roman"/>
          <w:color w:val="auto"/>
          <w:sz w:val="32"/>
          <w:szCs w:val="32"/>
          <w:highlight w:val="none"/>
          <w:lang w:val="en-US" w:eastAsia="zh-CN"/>
        </w:rPr>
        <w:t>余场，</w:t>
      </w:r>
      <w:r>
        <w:rPr>
          <w:rFonts w:hint="default" w:ascii="Times New Roman" w:hAnsi="Times New Roman" w:eastAsia="方正仿宋_GBK" w:cs="Times New Roman"/>
          <w:b w:val="0"/>
          <w:bCs w:val="0"/>
          <w:color w:val="auto"/>
          <w:sz w:val="32"/>
          <w:szCs w:val="28"/>
          <w:highlight w:val="none"/>
          <w:lang w:eastAsia="zh-CN"/>
        </w:rPr>
        <w:t>招引</w:t>
      </w:r>
      <w:r>
        <w:rPr>
          <w:rFonts w:hint="eastAsia" w:cs="Times New Roman"/>
          <w:b w:val="0"/>
          <w:bCs w:val="0"/>
          <w:color w:val="auto"/>
          <w:sz w:val="32"/>
          <w:szCs w:val="28"/>
          <w:highlight w:val="none"/>
          <w:lang w:val="en-US" w:eastAsia="zh-CN"/>
        </w:rPr>
        <w:t>高端消费品牌首店、旗舰店93家</w:t>
      </w:r>
      <w:r>
        <w:rPr>
          <w:rFonts w:hint="default" w:ascii="Times New Roman" w:hAnsi="Times New Roman" w:eastAsia="方正仿宋_GBK" w:cs="Times New Roman"/>
          <w:b w:val="0"/>
          <w:bCs w:val="0"/>
          <w:color w:val="auto"/>
          <w:sz w:val="32"/>
          <w:szCs w:val="28"/>
          <w:highlight w:val="none"/>
          <w:lang w:eastAsia="zh-CN"/>
        </w:rPr>
        <w:t>，新增特色消费场景</w:t>
      </w:r>
      <w:r>
        <w:rPr>
          <w:rFonts w:hint="eastAsia" w:cs="Times New Roman"/>
          <w:b w:val="0"/>
          <w:bCs w:val="0"/>
          <w:color w:val="auto"/>
          <w:sz w:val="32"/>
          <w:szCs w:val="28"/>
          <w:highlight w:val="none"/>
          <w:lang w:val="en-US" w:eastAsia="zh-CN"/>
        </w:rPr>
        <w:t>214</w:t>
      </w:r>
      <w:r>
        <w:rPr>
          <w:rFonts w:hint="default" w:ascii="Times New Roman" w:hAnsi="Times New Roman" w:eastAsia="方正仿宋_GBK" w:cs="Times New Roman"/>
          <w:b w:val="0"/>
          <w:bCs w:val="0"/>
          <w:color w:val="auto"/>
          <w:sz w:val="32"/>
          <w:szCs w:val="28"/>
          <w:highlight w:val="none"/>
          <w:lang w:eastAsia="zh-CN"/>
        </w:rPr>
        <w:t>个，</w:t>
      </w:r>
      <w:r>
        <w:rPr>
          <w:rFonts w:hint="default" w:ascii="Times New Roman" w:hAnsi="Times New Roman" w:cs="Times New Roman"/>
          <w:color w:val="auto"/>
          <w:sz w:val="32"/>
          <w:szCs w:val="32"/>
          <w:highlight w:val="none"/>
          <w:lang w:val="en-US" w:eastAsia="zh-CN"/>
        </w:rPr>
        <w:t>3处体育新场景入选省级典型案例和精品案例</w:t>
      </w:r>
      <w:r>
        <w:rPr>
          <w:rFonts w:hint="default" w:ascii="Times New Roman" w:hAnsi="Times New Roman" w:eastAsia="方正仿宋_GBK" w:cs="Times New Roman"/>
          <w:color w:val="auto"/>
          <w:sz w:val="32"/>
          <w:szCs w:val="32"/>
          <w:highlight w:val="none"/>
        </w:rPr>
        <w:t>。</w:t>
      </w:r>
      <w:r>
        <w:rPr>
          <w:rFonts w:hint="default" w:ascii="Times New Roman" w:hAnsi="Times New Roman" w:cs="Times New Roman"/>
          <w:color w:val="auto"/>
          <w:sz w:val="32"/>
          <w:szCs w:val="32"/>
          <w:highlight w:val="none"/>
          <w:lang w:eastAsia="zh-CN"/>
        </w:rPr>
        <w:t>大力发展开放型经济，</w:t>
      </w:r>
      <w:r>
        <w:rPr>
          <w:rFonts w:hint="default" w:ascii="Times New Roman" w:hAnsi="Times New Roman" w:cs="Times New Roman"/>
          <w:color w:val="auto"/>
          <w:sz w:val="32"/>
          <w:szCs w:val="32"/>
          <w:highlight w:val="none"/>
          <w:lang w:val="en-US" w:eastAsia="zh-CN"/>
        </w:rPr>
        <w:t>“秦淮模式”</w:t>
      </w:r>
      <w:r>
        <w:rPr>
          <w:rFonts w:hint="default" w:ascii="Times New Roman" w:hAnsi="Times New Roman" w:eastAsia="方正仿宋_GBK" w:cs="Times New Roman"/>
          <w:color w:val="auto"/>
          <w:sz w:val="32"/>
          <w:szCs w:val="32"/>
          <w:highlight w:val="none"/>
        </w:rPr>
        <w:t>助推自贸联动发展案例在全市推广</w:t>
      </w:r>
      <w:r>
        <w:rPr>
          <w:rFonts w:hint="default" w:ascii="Times New Roman" w:hAnsi="Times New Roman"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引进拓扑丝路数智化标准化国际物流综合服务平台</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全区跨境电商企业达75家</w:t>
      </w:r>
      <w:r>
        <w:rPr>
          <w:rFonts w:hint="eastAsia" w:cs="Times New Roman"/>
          <w:color w:val="auto"/>
          <w:sz w:val="32"/>
          <w:szCs w:val="32"/>
          <w:highlight w:val="none"/>
          <w:lang w:val="en-US" w:eastAsia="zh-CN"/>
        </w:rPr>
        <w:t>，</w:t>
      </w:r>
      <w:r>
        <w:rPr>
          <w:rFonts w:hint="eastAsia" w:cs="Times New Roman"/>
          <w:bCs/>
          <w:color w:val="auto"/>
          <w:kern w:val="0"/>
          <w:sz w:val="32"/>
          <w:szCs w:val="32"/>
          <w:highlight w:val="none"/>
          <w:lang w:eastAsia="zh-CN"/>
        </w:rPr>
        <w:t>跨境电商进出口总额同比增长</w:t>
      </w:r>
      <w:r>
        <w:rPr>
          <w:rFonts w:hint="eastAsia" w:cs="Times New Roman"/>
          <w:bCs/>
          <w:color w:val="auto"/>
          <w:kern w:val="0"/>
          <w:sz w:val="32"/>
          <w:szCs w:val="32"/>
          <w:highlight w:val="none"/>
          <w:lang w:val="en-US" w:eastAsia="zh-CN"/>
        </w:rPr>
        <w:t>21.4%。</w:t>
      </w:r>
    </w:p>
    <w:p w14:paraId="038BFCCB">
      <w:pPr>
        <w:jc w:val="center"/>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表</w:t>
      </w:r>
      <w:r>
        <w:rPr>
          <w:rFonts w:hint="default" w:ascii="Times New Roman" w:hAnsi="Times New Roman" w:eastAsia="方正仿宋_GBK" w:cs="Times New Roman"/>
          <w:b/>
          <w:bCs/>
          <w:color w:val="auto"/>
          <w:kern w:val="0"/>
          <w:sz w:val="32"/>
          <w:szCs w:val="32"/>
          <w:highlight w:val="none"/>
          <w:lang w:eastAsia="zh-CN"/>
        </w:rPr>
        <w:t>三</w:t>
      </w:r>
      <w:r>
        <w:rPr>
          <w:rFonts w:hint="default" w:ascii="Times New Roman" w:hAnsi="Times New Roman" w:eastAsia="方正仿宋_GBK" w:cs="Times New Roman"/>
          <w:b/>
          <w:bCs/>
          <w:color w:val="auto"/>
          <w:kern w:val="0"/>
          <w:sz w:val="32"/>
          <w:szCs w:val="32"/>
          <w:highlight w:val="none"/>
        </w:rPr>
        <w:t xml:space="preserve"> </w:t>
      </w:r>
      <w:r>
        <w:rPr>
          <w:rFonts w:hint="default" w:ascii="Times New Roman" w:hAnsi="Times New Roman" w:eastAsia="方正仿宋_GBK" w:cs="Times New Roman"/>
          <w:b/>
          <w:bCs/>
          <w:color w:val="auto"/>
          <w:kern w:val="0"/>
          <w:sz w:val="32"/>
          <w:szCs w:val="32"/>
          <w:highlight w:val="none"/>
          <w:lang w:eastAsia="zh-CN"/>
        </w:rPr>
        <w:t>需求释放</w:t>
      </w:r>
      <w:r>
        <w:rPr>
          <w:rFonts w:hint="default" w:ascii="Times New Roman" w:hAnsi="Times New Roman" w:eastAsia="方正仿宋_GBK" w:cs="Times New Roman"/>
          <w:b/>
          <w:bCs/>
          <w:color w:val="auto"/>
          <w:kern w:val="0"/>
          <w:sz w:val="32"/>
          <w:szCs w:val="32"/>
          <w:highlight w:val="none"/>
        </w:rPr>
        <w:t>情况</w:t>
      </w:r>
    </w:p>
    <w:tbl>
      <w:tblPr>
        <w:tblStyle w:val="13"/>
        <w:tblW w:w="8820" w:type="dxa"/>
        <w:jc w:val="center"/>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Layout w:type="fixed"/>
        <w:tblCellMar>
          <w:top w:w="0" w:type="dxa"/>
          <w:left w:w="108" w:type="dxa"/>
          <w:bottom w:w="0" w:type="dxa"/>
          <w:right w:w="108" w:type="dxa"/>
        </w:tblCellMar>
      </w:tblPr>
      <w:tblGrid>
        <w:gridCol w:w="2078"/>
        <w:gridCol w:w="6742"/>
      </w:tblGrid>
      <w:tr w14:paraId="3789BCEC">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716D575D">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主要领域</w:t>
            </w:r>
          </w:p>
        </w:tc>
        <w:tc>
          <w:tcPr>
            <w:tcW w:w="6742" w:type="dxa"/>
            <w:tcBorders>
              <w:top w:val="single" w:color="000000" w:sz="6" w:space="0"/>
              <w:bottom w:val="single" w:color="000000" w:sz="6" w:space="0"/>
            </w:tcBorders>
            <w:noWrap/>
            <w:vAlign w:val="center"/>
          </w:tcPr>
          <w:p w14:paraId="50AF62F9">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主要进展</w:t>
            </w:r>
          </w:p>
        </w:tc>
      </w:tr>
      <w:tr w14:paraId="48B174E7">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90" w:hRule="atLeast"/>
          <w:jc w:val="center"/>
        </w:trPr>
        <w:tc>
          <w:tcPr>
            <w:tcW w:w="2078" w:type="dxa"/>
            <w:tcBorders>
              <w:top w:val="single" w:color="000000" w:sz="6" w:space="0"/>
              <w:bottom w:val="single" w:color="000000" w:sz="6" w:space="0"/>
            </w:tcBorders>
            <w:noWrap/>
            <w:vAlign w:val="center"/>
          </w:tcPr>
          <w:p w14:paraId="4E7D81C7">
            <w:pPr>
              <w:spacing w:line="300" w:lineRule="exact"/>
              <w:jc w:val="center"/>
              <w:rPr>
                <w:rFonts w:hint="default" w:ascii="Times New Roman" w:hAnsi="Times New Roman" w:eastAsia="方正仿宋_GBK" w:cs="Times New Roman"/>
                <w:color w:val="auto"/>
                <w:highlight w:val="none"/>
                <w:lang w:eastAsia="zh-CN"/>
              </w:rPr>
            </w:pPr>
            <w:r>
              <w:rPr>
                <w:rFonts w:hint="default" w:ascii="Times New Roman" w:hAnsi="Times New Roman" w:eastAsia="方正仿宋_GBK" w:cs="Times New Roman"/>
                <w:b/>
                <w:iCs/>
                <w:color w:val="auto"/>
                <w:kern w:val="0"/>
                <w:sz w:val="24"/>
                <w:highlight w:val="none"/>
                <w:lang w:eastAsia="zh-CN"/>
              </w:rPr>
              <w:t>消费</w:t>
            </w:r>
          </w:p>
        </w:tc>
        <w:tc>
          <w:tcPr>
            <w:tcW w:w="6742" w:type="dxa"/>
            <w:tcBorders>
              <w:top w:val="single" w:color="000000" w:sz="6" w:space="0"/>
              <w:bottom w:val="single" w:color="000000" w:sz="6" w:space="0"/>
            </w:tcBorders>
            <w:noWrap/>
            <w:vAlign w:val="center"/>
          </w:tcPr>
          <w:p w14:paraId="40039ED4">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新增10个餐饮消费应用场景，推进餐饮文化融合发展。</w:t>
            </w:r>
          </w:p>
          <w:p w14:paraId="0FC179A9">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val="en-US"/>
              </w:rPr>
              <w:t>研究出台购车补贴政策，实现补贴销售</w:t>
            </w:r>
            <w:r>
              <w:rPr>
                <w:rFonts w:hint="default" w:ascii="Times New Roman" w:hAnsi="Times New Roman" w:eastAsia="方正仿宋_GBK" w:cs="Times New Roman"/>
                <w:color w:val="auto"/>
                <w:kern w:val="0"/>
                <w:sz w:val="24"/>
                <w:highlight w:val="none"/>
                <w:lang w:val="en-US" w:eastAsia="zh-CN"/>
              </w:rPr>
              <w:t>1041</w:t>
            </w:r>
            <w:r>
              <w:rPr>
                <w:rFonts w:hint="default" w:ascii="Times New Roman" w:hAnsi="Times New Roman" w:eastAsia="方正仿宋_GBK" w:cs="Times New Roman"/>
                <w:color w:val="auto"/>
                <w:kern w:val="0"/>
                <w:sz w:val="24"/>
                <w:highlight w:val="none"/>
                <w:lang w:val="en-US"/>
              </w:rPr>
              <w:t>台，拉动销售额6.5亿元。</w:t>
            </w:r>
          </w:p>
          <w:p w14:paraId="65E45A47">
            <w:pPr>
              <w:numPr>
                <w:ilvl w:val="0"/>
                <w:numId w:val="2"/>
              </w:numPr>
              <w:spacing w:line="300" w:lineRule="exact"/>
              <w:rPr>
                <w:rFonts w:hint="default" w:ascii="Times New Roman" w:hAnsi="Times New Roman" w:eastAsia="方正仿宋_GBK" w:cs="Times New Roman"/>
                <w:color w:val="auto"/>
                <w:kern w:val="0"/>
                <w:sz w:val="24"/>
                <w:highlight w:val="none"/>
                <w:lang w:val="en-US"/>
              </w:rPr>
            </w:pPr>
            <w:r>
              <w:rPr>
                <w:rFonts w:hint="default" w:ascii="Times New Roman" w:hAnsi="Times New Roman" w:eastAsia="方正仿宋_GBK" w:cs="Times New Roman"/>
                <w:color w:val="auto"/>
                <w:kern w:val="0"/>
                <w:sz w:val="24"/>
                <w:highlight w:val="none"/>
                <w:lang w:val="en-US" w:eastAsia="zh-CN"/>
              </w:rPr>
              <w:t>8家体育企业成功入选全市体育消费新场景。</w:t>
            </w:r>
          </w:p>
          <w:p w14:paraId="6AF1C50C">
            <w:pPr>
              <w:numPr>
                <w:ilvl w:val="0"/>
                <w:numId w:val="2"/>
              </w:numPr>
              <w:spacing w:line="300" w:lineRule="exact"/>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24"/>
                <w:highlight w:val="none"/>
                <w:lang w:val="en-US" w:eastAsia="zh-CN"/>
              </w:rPr>
              <w:t>国创园创成市级夜间文旅消费集聚区。</w:t>
            </w:r>
          </w:p>
          <w:p w14:paraId="3CD4DD09">
            <w:pPr>
              <w:numPr>
                <w:ilvl w:val="0"/>
                <w:numId w:val="2"/>
              </w:numPr>
              <w:spacing w:line="300" w:lineRule="exact"/>
              <w:rPr>
                <w:rFonts w:hint="default" w:ascii="Times New Roman" w:hAnsi="Times New Roman" w:eastAsia="方正仿宋_GBK" w:cs="Times New Roman"/>
                <w:color w:val="auto"/>
                <w:kern w:val="0"/>
                <w:sz w:val="24"/>
                <w:highlight w:val="none"/>
                <w:lang w:val="en-US" w:eastAsia="zh-CN"/>
              </w:rPr>
            </w:pPr>
            <w:r>
              <w:rPr>
                <w:rFonts w:hint="default" w:ascii="Times New Roman" w:hAnsi="Times New Roman" w:eastAsia="方正仿宋_GBK" w:cs="Times New Roman"/>
                <w:color w:val="auto"/>
                <w:kern w:val="0"/>
                <w:sz w:val="24"/>
                <w:highlight w:val="none"/>
                <w:lang w:val="en-US" w:eastAsia="zh-CN"/>
              </w:rPr>
              <w:t>3家单位获省级放心消费创建示范街区，放心消费满意度测评位列全市第一。</w:t>
            </w:r>
          </w:p>
          <w:p w14:paraId="622E711E">
            <w:pPr>
              <w:numPr>
                <w:ilvl w:val="0"/>
                <w:numId w:val="2"/>
              </w:numPr>
              <w:spacing w:line="300" w:lineRule="exact"/>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24"/>
                <w:highlight w:val="none"/>
                <w:lang w:val="en-US"/>
              </w:rPr>
              <w:t>举办新街口国际生活节、家电家居焕新季、国际黄金珠宝腕表节、</w:t>
            </w:r>
            <w:r>
              <w:rPr>
                <w:rFonts w:hint="default" w:ascii="Times New Roman" w:hAnsi="Times New Roman" w:eastAsia="方正仿宋_GBK" w:cs="Times New Roman"/>
                <w:color w:val="auto"/>
                <w:kern w:val="0"/>
                <w:sz w:val="24"/>
                <w:highlight w:val="none"/>
              </w:rPr>
              <w:t>秦淮民俗文化季、婚恋季</w:t>
            </w:r>
            <w:r>
              <w:rPr>
                <w:rFonts w:hint="default" w:ascii="Times New Roman" w:hAnsi="Times New Roman" w:eastAsia="方正仿宋_GBK" w:cs="Times New Roman"/>
                <w:color w:val="auto"/>
                <w:kern w:val="0"/>
                <w:sz w:val="24"/>
                <w:highlight w:val="none"/>
                <w:lang w:eastAsia="zh-CN"/>
              </w:rPr>
              <w:t>等系列消费促进活动。</w:t>
            </w:r>
          </w:p>
          <w:p w14:paraId="63E7DA98">
            <w:pPr>
              <w:numPr>
                <w:ilvl w:val="0"/>
                <w:numId w:val="2"/>
              </w:numPr>
              <w:spacing w:line="300" w:lineRule="exact"/>
              <w:rPr>
                <w:rFonts w:hint="default" w:ascii="Times New Roman" w:hAnsi="Times New Roman" w:cs="Times New Roman"/>
                <w:color w:val="auto"/>
                <w:highlight w:val="none"/>
              </w:rPr>
            </w:pPr>
            <w:r>
              <w:rPr>
                <w:rFonts w:hint="default" w:ascii="Times New Roman" w:hAnsi="Times New Roman" w:eastAsia="方正仿宋_GBK" w:cs="Times New Roman"/>
                <w:color w:val="auto"/>
                <w:sz w:val="24"/>
                <w:szCs w:val="24"/>
                <w:highlight w:val="none"/>
                <w:lang w:val="en-US" w:eastAsia="zh-CN"/>
              </w:rPr>
              <w:t>举办秦淮区首届数币团购节暨2023金秋消费节开幕活动，南京首个数字人民币应用示范街区率先在熙南里街区落地。</w:t>
            </w:r>
          </w:p>
        </w:tc>
      </w:tr>
      <w:tr w14:paraId="0BE2EE3A">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690" w:hRule="atLeast"/>
          <w:jc w:val="center"/>
        </w:trPr>
        <w:tc>
          <w:tcPr>
            <w:tcW w:w="2078" w:type="dxa"/>
            <w:tcBorders>
              <w:top w:val="single" w:color="000000" w:sz="6" w:space="0"/>
              <w:bottom w:val="single" w:color="000000" w:sz="6" w:space="0"/>
            </w:tcBorders>
            <w:noWrap/>
            <w:vAlign w:val="center"/>
          </w:tcPr>
          <w:p w14:paraId="705BFA31">
            <w:pPr>
              <w:spacing w:line="300" w:lineRule="exact"/>
              <w:jc w:val="center"/>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b/>
                <w:iCs/>
                <w:color w:val="auto"/>
                <w:kern w:val="0"/>
                <w:sz w:val="24"/>
                <w:highlight w:val="none"/>
              </w:rPr>
              <w:t>外贸</w:t>
            </w:r>
          </w:p>
        </w:tc>
        <w:tc>
          <w:tcPr>
            <w:tcW w:w="6742" w:type="dxa"/>
            <w:tcBorders>
              <w:top w:val="single" w:color="000000" w:sz="6" w:space="0"/>
              <w:bottom w:val="single" w:color="000000" w:sz="6" w:space="0"/>
            </w:tcBorders>
            <w:noWrap/>
            <w:vAlign w:val="center"/>
          </w:tcPr>
          <w:p w14:paraId="48307A0B">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预计全年完成对外实际投资总额1.07亿美元</w:t>
            </w:r>
            <w:r>
              <w:rPr>
                <w:rFonts w:hint="eastAsia" w:ascii="Times New Roman" w:hAnsi="Times New Roman" w:eastAsia="方正仿宋_GBK" w:cs="Times New Roman"/>
                <w:i w:val="0"/>
                <w:iCs w:val="0"/>
                <w:color w:val="auto"/>
                <w:kern w:val="0"/>
                <w:sz w:val="24"/>
                <w:szCs w:val="24"/>
                <w:highlight w:val="none"/>
                <w:u w:val="none"/>
                <w:lang w:val="en-US" w:eastAsia="zh-CN" w:bidi="ar"/>
              </w:rPr>
              <w:t>。</w:t>
            </w:r>
          </w:p>
          <w:p w14:paraId="7D84DB22">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携手金陵海关推进重点企业拓展全球贸易版图，汇鸿</w:t>
            </w:r>
            <w:r>
              <w:rPr>
                <w:rFonts w:hint="default" w:ascii="Times New Roman" w:hAnsi="Times New Roman" w:eastAsia="方正仿宋_GBK" w:cs="Times New Roman"/>
                <w:color w:val="auto"/>
                <w:kern w:val="0"/>
                <w:sz w:val="24"/>
                <w:highlight w:val="none"/>
                <w:lang w:eastAsia="zh-CN"/>
              </w:rPr>
              <w:t>中锦</w:t>
            </w:r>
            <w:r>
              <w:rPr>
                <w:rFonts w:hint="default" w:ascii="Times New Roman" w:hAnsi="Times New Roman" w:eastAsia="方正仿宋_GBK" w:cs="Times New Roman"/>
                <w:color w:val="auto"/>
                <w:kern w:val="0"/>
                <w:sz w:val="24"/>
                <w:highlight w:val="none"/>
              </w:rPr>
              <w:t>已通过AEO</w:t>
            </w:r>
            <w:r>
              <w:rPr>
                <w:rStyle w:val="16"/>
                <w:rFonts w:hint="default" w:ascii="Times New Roman" w:hAnsi="Times New Roman" w:eastAsia="方正仿宋_GBK" w:cs="Times New Roman"/>
                <w:color w:val="auto"/>
                <w:kern w:val="0"/>
                <w:sz w:val="24"/>
                <w:highlight w:val="none"/>
              </w:rPr>
              <w:footnoteReference w:id="0"/>
            </w:r>
            <w:r>
              <w:rPr>
                <w:rFonts w:hint="default" w:ascii="Times New Roman" w:hAnsi="Times New Roman" w:eastAsia="方正仿宋_GBK" w:cs="Times New Roman"/>
                <w:color w:val="auto"/>
                <w:kern w:val="0"/>
                <w:sz w:val="24"/>
                <w:highlight w:val="none"/>
              </w:rPr>
              <w:t>认证</w:t>
            </w:r>
            <w:r>
              <w:rPr>
                <w:rFonts w:hint="default" w:ascii="Times New Roman" w:hAnsi="Times New Roman" w:eastAsia="方正仿宋_GBK" w:cs="Times New Roman"/>
                <w:color w:val="auto"/>
                <w:kern w:val="0"/>
                <w:sz w:val="24"/>
                <w:highlight w:val="none"/>
                <w:lang w:eastAsia="zh-CN"/>
              </w:rPr>
              <w:t>。</w:t>
            </w:r>
          </w:p>
          <w:p w14:paraId="62184252">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申报2024年市级开放型经济发展专项资金（外贸）入库项目57个，涉及资金2431万元</w:t>
            </w:r>
            <w:r>
              <w:rPr>
                <w:rFonts w:hint="default" w:ascii="Times New Roman" w:hAnsi="Times New Roman" w:eastAsia="方正仿宋_GBK" w:cs="Times New Roman"/>
                <w:color w:val="auto"/>
                <w:kern w:val="0"/>
                <w:sz w:val="24"/>
                <w:highlight w:val="none"/>
                <w:lang w:eastAsia="zh-CN"/>
              </w:rPr>
              <w:t>。</w:t>
            </w:r>
          </w:p>
          <w:p w14:paraId="4E868C8D">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sz w:val="24"/>
                <w:szCs w:val="24"/>
                <w:highlight w:val="none"/>
                <w:lang w:eastAsia="zh-CN"/>
              </w:rPr>
              <w:t>重点</w:t>
            </w:r>
            <w:r>
              <w:rPr>
                <w:rFonts w:hint="default" w:ascii="Times New Roman" w:hAnsi="Times New Roman" w:eastAsia="方正仿宋_GBK" w:cs="Times New Roman"/>
                <w:color w:val="auto"/>
                <w:sz w:val="24"/>
                <w:szCs w:val="24"/>
                <w:highlight w:val="none"/>
              </w:rPr>
              <w:t>培育省级内外贸一体化领跑企业—汇鸿集团、奥特佳新能源，</w:t>
            </w:r>
            <w:r>
              <w:rPr>
                <w:rFonts w:hint="default" w:ascii="Times New Roman" w:hAnsi="Times New Roman" w:eastAsia="方正仿宋_GBK" w:cs="Times New Roman"/>
                <w:color w:val="auto"/>
                <w:sz w:val="24"/>
                <w:szCs w:val="24"/>
                <w:highlight w:val="none"/>
                <w:lang w:eastAsia="zh-CN"/>
              </w:rPr>
              <w:t>作为全省典型案例逐步辐射全区</w:t>
            </w:r>
            <w:r>
              <w:rPr>
                <w:rFonts w:hint="default" w:ascii="Times New Roman" w:hAnsi="Times New Roman" w:eastAsia="方正仿宋_GBK" w:cs="Times New Roman"/>
                <w:color w:val="auto"/>
                <w:kern w:val="0"/>
                <w:sz w:val="24"/>
                <w:highlight w:val="none"/>
                <w:lang w:eastAsia="zh-CN"/>
              </w:rPr>
              <w:t>。</w:t>
            </w:r>
          </w:p>
          <w:p w14:paraId="101D53D3">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举办内外贸一体化活动—夜之金陵—“南京新街口618国际生活节”暨“秦淮2023全球好物生活+精选市集”</w:t>
            </w:r>
            <w:r>
              <w:rPr>
                <w:rFonts w:hint="default" w:ascii="Times New Roman" w:hAnsi="Times New Roman" w:eastAsia="方正仿宋_GBK" w:cs="Times New Roman"/>
                <w:color w:val="auto"/>
                <w:kern w:val="0"/>
                <w:sz w:val="24"/>
                <w:highlight w:val="none"/>
                <w:lang w:eastAsia="zh-CN"/>
              </w:rPr>
              <w:t>。</w:t>
            </w:r>
          </w:p>
        </w:tc>
      </w:tr>
    </w:tbl>
    <w:p w14:paraId="79F78268">
      <w:pPr>
        <w:pStyle w:val="19"/>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楷体_GBK" w:cs="Times New Roman"/>
          <w:color w:val="auto"/>
          <w:kern w:val="2"/>
          <w:sz w:val="32"/>
          <w:szCs w:val="28"/>
          <w:highlight w:val="none"/>
          <w:lang w:val="en-US" w:eastAsia="zh-CN" w:bidi="ar-SA"/>
        </w:rPr>
        <w:t>4、市场主体培育壮大。</w:t>
      </w:r>
      <w:r>
        <w:rPr>
          <w:rFonts w:hint="default" w:ascii="Times New Roman" w:hAnsi="Times New Roman" w:eastAsia="方正仿宋_GBK" w:cs="Times New Roman"/>
          <w:color w:val="auto"/>
          <w:kern w:val="2"/>
          <w:sz w:val="32"/>
          <w:szCs w:val="28"/>
          <w:highlight w:val="none"/>
          <w:lang w:val="en-US" w:eastAsia="zh-CN" w:bidi="ar-SA"/>
        </w:rPr>
        <w:t>出台优化营商环境35条举措，发布优化营商环境应用场景</w:t>
      </w:r>
      <w:r>
        <w:rPr>
          <w:rFonts w:hint="eastAsia" w:cs="Times New Roman"/>
          <w:color w:val="auto"/>
          <w:kern w:val="2"/>
          <w:sz w:val="32"/>
          <w:szCs w:val="28"/>
          <w:highlight w:val="none"/>
          <w:lang w:val="en-US" w:eastAsia="zh-CN" w:bidi="ar-SA"/>
        </w:rPr>
        <w:t>52</w:t>
      </w:r>
      <w:r>
        <w:rPr>
          <w:rFonts w:hint="default" w:ascii="Times New Roman" w:hAnsi="Times New Roman" w:eastAsia="方正仿宋_GBK" w:cs="Times New Roman"/>
          <w:color w:val="auto"/>
          <w:kern w:val="2"/>
          <w:sz w:val="32"/>
          <w:szCs w:val="28"/>
          <w:highlight w:val="none"/>
          <w:lang w:val="en-US" w:eastAsia="zh-CN" w:bidi="ar-SA"/>
        </w:rPr>
        <w:t>个。推进企业服务中心实体化运作</w:t>
      </w:r>
      <w:r>
        <w:rPr>
          <w:rFonts w:hint="default" w:ascii="Times New Roman" w:hAnsi="Times New Roman" w:cs="Times New Roman"/>
          <w:color w:val="auto"/>
          <w:kern w:val="2"/>
          <w:sz w:val="32"/>
          <w:szCs w:val="28"/>
          <w:highlight w:val="none"/>
          <w:lang w:val="en-US" w:eastAsia="zh-CN" w:bidi="ar-SA"/>
        </w:rPr>
        <w:t>，开展全区</w:t>
      </w:r>
      <w:r>
        <w:rPr>
          <w:rFonts w:hint="default" w:ascii="Times New Roman" w:hAnsi="Times New Roman" w:eastAsia="方正仿宋_GBK" w:cs="Times New Roman"/>
          <w:color w:val="auto"/>
          <w:kern w:val="2"/>
          <w:sz w:val="32"/>
          <w:szCs w:val="28"/>
          <w:highlight w:val="none"/>
          <w:lang w:val="en-US" w:eastAsia="zh-CN" w:bidi="ar-SA"/>
        </w:rPr>
        <w:t>企业服务大走访，累计服务联系企业</w:t>
      </w:r>
      <w:r>
        <w:rPr>
          <w:rFonts w:hint="default" w:ascii="Times New Roman" w:hAnsi="Times New Roman" w:cs="Times New Roman"/>
          <w:color w:val="auto"/>
          <w:kern w:val="2"/>
          <w:sz w:val="32"/>
          <w:szCs w:val="28"/>
          <w:highlight w:val="none"/>
          <w:lang w:val="en-US" w:eastAsia="zh-CN" w:bidi="ar-SA"/>
        </w:rPr>
        <w:t>3000</w:t>
      </w:r>
      <w:r>
        <w:rPr>
          <w:rFonts w:hint="default" w:ascii="Times New Roman" w:hAnsi="Times New Roman" w:eastAsia="方正仿宋_GBK" w:cs="Times New Roman"/>
          <w:color w:val="auto"/>
          <w:kern w:val="2"/>
          <w:sz w:val="32"/>
          <w:szCs w:val="28"/>
          <w:highlight w:val="none"/>
          <w:lang w:val="en-US" w:eastAsia="zh-CN" w:bidi="ar-SA"/>
        </w:rPr>
        <w:t>家次，解决问题诉求400余个</w:t>
      </w:r>
      <w:r>
        <w:rPr>
          <w:rFonts w:hint="default" w:ascii="Times New Roman" w:hAnsi="Times New Roman" w:cs="Times New Roman"/>
          <w:color w:val="auto"/>
          <w:kern w:val="2"/>
          <w:sz w:val="32"/>
          <w:szCs w:val="28"/>
          <w:highlight w:val="none"/>
          <w:lang w:val="en-US" w:eastAsia="zh-CN" w:bidi="ar-SA"/>
        </w:rPr>
        <w:t>。优化落实各项企业培育和扶持政策，全区</w:t>
      </w:r>
      <w:r>
        <w:rPr>
          <w:rFonts w:hint="default" w:ascii="Times New Roman" w:hAnsi="Times New Roman" w:eastAsia="方正仿宋_GBK" w:cs="Times New Roman"/>
          <w:color w:val="auto"/>
          <w:sz w:val="32"/>
          <w:szCs w:val="32"/>
          <w:highlight w:val="none"/>
        </w:rPr>
        <w:t>新注册登记企业</w:t>
      </w:r>
      <w:r>
        <w:rPr>
          <w:rFonts w:hint="eastAsia" w:cs="Times New Roman"/>
          <w:color w:val="auto"/>
          <w:sz w:val="32"/>
          <w:szCs w:val="32"/>
          <w:highlight w:val="none"/>
          <w:lang w:val="en-US" w:eastAsia="zh-CN"/>
        </w:rPr>
        <w:t>6985</w:t>
      </w:r>
      <w:r>
        <w:rPr>
          <w:rFonts w:hint="default" w:ascii="Times New Roman" w:hAnsi="Times New Roman" w:eastAsia="方正仿宋_GBK" w:cs="Times New Roman"/>
          <w:color w:val="auto"/>
          <w:sz w:val="32"/>
          <w:szCs w:val="32"/>
          <w:highlight w:val="none"/>
        </w:rPr>
        <w:t>家</w:t>
      </w:r>
      <w:r>
        <w:rPr>
          <w:rFonts w:hint="default" w:ascii="Times New Roman" w:hAnsi="Times New Roman"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新增规上企业</w:t>
      </w:r>
      <w:r>
        <w:rPr>
          <w:rFonts w:hint="default" w:ascii="Times New Roman" w:hAnsi="Times New Roman" w:cs="Times New Roman"/>
          <w:color w:val="auto"/>
          <w:sz w:val="32"/>
          <w:szCs w:val="32"/>
          <w:highlight w:val="none"/>
          <w:lang w:val="en-US" w:eastAsia="zh-CN"/>
        </w:rPr>
        <w:t>153</w:t>
      </w:r>
      <w:r>
        <w:rPr>
          <w:rFonts w:hint="default" w:ascii="Times New Roman" w:hAnsi="Times New Roman" w:eastAsia="方正仿宋_GBK" w:cs="Times New Roman"/>
          <w:color w:val="auto"/>
          <w:sz w:val="32"/>
          <w:szCs w:val="32"/>
          <w:highlight w:val="none"/>
          <w:lang w:val="en-US" w:eastAsia="zh-CN"/>
        </w:rPr>
        <w:t>家</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eastAsia="zh-CN"/>
        </w:rPr>
        <w:t>莱斯信息在上交所科创板</w:t>
      </w:r>
      <w:r>
        <w:rPr>
          <w:rFonts w:hint="default" w:ascii="Times New Roman" w:hAnsi="Times New Roman" w:eastAsia="方正仿宋_GBK" w:cs="Times New Roman"/>
          <w:color w:val="auto"/>
          <w:sz w:val="32"/>
          <w:szCs w:val="32"/>
          <w:highlight w:val="none"/>
        </w:rPr>
        <w:t>上市</w:t>
      </w:r>
      <w:r>
        <w:rPr>
          <w:rFonts w:hint="default" w:ascii="Times New Roman" w:hAnsi="Times New Roman" w:cs="Times New Roman"/>
          <w:color w:val="auto"/>
          <w:sz w:val="32"/>
          <w:szCs w:val="32"/>
          <w:highlight w:val="none"/>
          <w:lang w:eastAsia="zh-CN"/>
        </w:rPr>
        <w:t>，</w:t>
      </w:r>
      <w:r>
        <w:rPr>
          <w:rFonts w:hint="default" w:ascii="Times New Roman" w:hAnsi="Times New Roman" w:eastAsia="方正仿宋_GBK" w:cs="Times New Roman"/>
          <w:color w:val="auto"/>
          <w:kern w:val="2"/>
          <w:sz w:val="32"/>
          <w:szCs w:val="28"/>
          <w:highlight w:val="none"/>
          <w:lang w:val="en-US" w:eastAsia="zh-CN" w:bidi="ar-SA"/>
        </w:rPr>
        <w:t>普旭科技等3家企业申报江苏省优秀企业</w:t>
      </w:r>
      <w:r>
        <w:rPr>
          <w:rFonts w:hint="default" w:ascii="Times New Roman" w:hAnsi="Times New Roman" w:cs="Times New Roman"/>
          <w:color w:val="auto"/>
          <w:kern w:val="2"/>
          <w:sz w:val="32"/>
          <w:szCs w:val="28"/>
          <w:highlight w:val="none"/>
          <w:lang w:val="en-US" w:eastAsia="zh-CN" w:bidi="ar-SA"/>
        </w:rPr>
        <w:t>，全年</w:t>
      </w:r>
      <w:r>
        <w:rPr>
          <w:rFonts w:hint="default" w:ascii="Times New Roman" w:hAnsi="Times New Roman" w:eastAsia="方正仿宋_GBK" w:cs="Times New Roman"/>
          <w:color w:val="auto"/>
          <w:kern w:val="2"/>
          <w:sz w:val="32"/>
          <w:szCs w:val="28"/>
          <w:highlight w:val="none"/>
          <w:lang w:val="en-US" w:eastAsia="zh-CN" w:bidi="ar-SA"/>
        </w:rPr>
        <w:t>兑现产业政策资金</w:t>
      </w:r>
      <w:r>
        <w:rPr>
          <w:rFonts w:hint="eastAsia" w:cs="Times New Roman"/>
          <w:color w:val="auto"/>
          <w:kern w:val="2"/>
          <w:sz w:val="32"/>
          <w:szCs w:val="28"/>
          <w:highlight w:val="none"/>
          <w:lang w:val="en-US" w:eastAsia="zh-CN" w:bidi="ar-SA"/>
        </w:rPr>
        <w:t>1.9</w:t>
      </w:r>
      <w:r>
        <w:rPr>
          <w:rFonts w:hint="default" w:ascii="Times New Roman" w:hAnsi="Times New Roman" w:eastAsia="方正仿宋_GBK" w:cs="Times New Roman"/>
          <w:color w:val="auto"/>
          <w:kern w:val="2"/>
          <w:sz w:val="32"/>
          <w:szCs w:val="28"/>
          <w:highlight w:val="none"/>
          <w:lang w:val="en-US" w:eastAsia="zh-CN" w:bidi="ar-SA"/>
        </w:rPr>
        <w:t>亿元。</w:t>
      </w:r>
      <w:r>
        <w:rPr>
          <w:rFonts w:hint="default" w:ascii="Times New Roman" w:hAnsi="Times New Roman" w:cs="Times New Roman"/>
          <w:color w:val="auto"/>
          <w:kern w:val="2"/>
          <w:sz w:val="32"/>
          <w:szCs w:val="28"/>
          <w:highlight w:val="none"/>
          <w:lang w:val="en-US" w:eastAsia="zh-CN" w:bidi="ar-SA"/>
        </w:rPr>
        <w:t>积极推进第五次全国经济普查工作，深入摸排全区经济发展“家底”，更好发挥政府统计的测量仪、指示器和风向标作用。</w:t>
      </w:r>
    </w:p>
    <w:p w14:paraId="56EC6C78">
      <w:pPr>
        <w:spacing w:line="560" w:lineRule="exact"/>
        <w:ind w:firstLine="640" w:firstLineChars="200"/>
        <w:outlineLvl w:val="1"/>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rPr>
        <w:t>二、</w:t>
      </w:r>
      <w:r>
        <w:rPr>
          <w:rFonts w:hint="default" w:ascii="Times New Roman" w:hAnsi="Times New Roman" w:eastAsia="方正黑体_GBK" w:cs="Times New Roman"/>
          <w:color w:val="auto"/>
          <w:kern w:val="0"/>
          <w:sz w:val="32"/>
          <w:szCs w:val="32"/>
          <w:highlight w:val="none"/>
          <w:lang w:eastAsia="zh-CN"/>
        </w:rPr>
        <w:t>深耕产业、聚力创新，发展动能持续增强</w:t>
      </w:r>
    </w:p>
    <w:p w14:paraId="363B540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outlineLvl w:val="2"/>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Cs/>
          <w:color w:val="auto"/>
          <w:kern w:val="0"/>
          <w:sz w:val="32"/>
          <w:szCs w:val="32"/>
          <w:highlight w:val="none"/>
        </w:rPr>
        <w:t>1、</w:t>
      </w:r>
      <w:r>
        <w:rPr>
          <w:rFonts w:hint="default" w:ascii="Times New Roman" w:hAnsi="Times New Roman" w:eastAsia="方正楷体_GBK" w:cs="Times New Roman"/>
          <w:bCs/>
          <w:color w:val="auto"/>
          <w:kern w:val="0"/>
          <w:sz w:val="32"/>
          <w:szCs w:val="32"/>
          <w:highlight w:val="none"/>
          <w:lang w:eastAsia="zh-CN"/>
        </w:rPr>
        <w:t>产业结构不断优化</w:t>
      </w:r>
      <w:r>
        <w:rPr>
          <w:rFonts w:hint="default" w:ascii="Times New Roman" w:hAnsi="Times New Roman" w:eastAsia="方正仿宋_GBK" w:cs="Times New Roman"/>
          <w:bCs/>
          <w:color w:val="auto"/>
          <w:kern w:val="0"/>
          <w:sz w:val="32"/>
          <w:szCs w:val="32"/>
          <w:highlight w:val="none"/>
        </w:rPr>
        <w:t>。</w:t>
      </w:r>
      <w:r>
        <w:rPr>
          <w:rFonts w:hint="default" w:ascii="Times New Roman" w:hAnsi="Times New Roman" w:eastAsia="方正仿宋_GBK" w:cs="Times New Roman"/>
          <w:b w:val="0"/>
          <w:bCs w:val="0"/>
          <w:color w:val="auto"/>
          <w:sz w:val="32"/>
          <w:szCs w:val="32"/>
          <w:highlight w:val="none"/>
          <w:lang w:val="en-US" w:eastAsia="zh-CN"/>
        </w:rPr>
        <w:t>编制出台现代服务业强区行动计划，构建产业发展新矩阵。全区限上贸易额超2800亿元，新增限上贸易单位91家；</w:t>
      </w:r>
      <w:r>
        <w:rPr>
          <w:rFonts w:hint="default" w:ascii="Times New Roman" w:hAnsi="Times New Roman" w:eastAsia="方正仿宋_GBK" w:cs="Times New Roman"/>
          <w:color w:val="auto"/>
          <w:sz w:val="32"/>
          <w:szCs w:val="32"/>
          <w:highlight w:val="none"/>
        </w:rPr>
        <w:t>金融业</w:t>
      </w:r>
      <w:r>
        <w:rPr>
          <w:rFonts w:hint="default" w:ascii="Times New Roman" w:hAnsi="Times New Roman" w:eastAsia="方正仿宋_GBK" w:cs="Times New Roman"/>
          <w:color w:val="auto"/>
          <w:sz w:val="32"/>
          <w:szCs w:val="32"/>
          <w:highlight w:val="none"/>
          <w:lang w:eastAsia="zh-CN"/>
        </w:rPr>
        <w:t>营收达</w:t>
      </w:r>
      <w:r>
        <w:rPr>
          <w:rFonts w:hint="default" w:ascii="Times New Roman" w:hAnsi="Times New Roman" w:eastAsia="方正仿宋_GBK" w:cs="Times New Roman"/>
          <w:color w:val="auto"/>
          <w:sz w:val="32"/>
          <w:szCs w:val="32"/>
          <w:highlight w:val="none"/>
          <w:lang w:val="en-US" w:eastAsia="zh-CN"/>
        </w:rPr>
        <w:t>1150亿元</w:t>
      </w:r>
      <w:r>
        <w:rPr>
          <w:rFonts w:hint="default" w:ascii="Times New Roman" w:hAnsi="Times New Roman" w:eastAsia="方正仿宋_GBK" w:cs="Times New Roman"/>
          <w:color w:val="auto"/>
          <w:sz w:val="32"/>
          <w:szCs w:val="32"/>
          <w:highlight w:val="none"/>
        </w:rPr>
        <w:t>，增长</w:t>
      </w:r>
      <w:r>
        <w:rPr>
          <w:rFonts w:hint="default" w:ascii="Times New Roman" w:hAnsi="Times New Roman" w:eastAsia="方正仿宋_GBK" w:cs="Times New Roman"/>
          <w:color w:val="auto"/>
          <w:sz w:val="32"/>
          <w:szCs w:val="32"/>
          <w:highlight w:val="none"/>
          <w:lang w:val="en-US" w:eastAsia="zh-CN"/>
        </w:rPr>
        <w:t>12</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秦淮特色文化产业园</w:t>
      </w:r>
      <w:r>
        <w:rPr>
          <w:rFonts w:hint="default" w:ascii="Times New Roman" w:hAnsi="Times New Roman" w:eastAsia="方正仿宋_GBK" w:cs="Times New Roman"/>
          <w:color w:val="auto"/>
          <w:sz w:val="32"/>
          <w:szCs w:val="32"/>
          <w:highlight w:val="none"/>
          <w:lang w:val="en-US" w:eastAsia="zh-CN"/>
        </w:rPr>
        <w:t>获评</w:t>
      </w:r>
      <w:r>
        <w:rPr>
          <w:rFonts w:hint="default" w:ascii="Times New Roman" w:hAnsi="Times New Roman" w:eastAsia="方正仿宋_GBK" w:cs="Times New Roman"/>
          <w:color w:val="auto"/>
          <w:sz w:val="32"/>
          <w:szCs w:val="32"/>
          <w:highlight w:val="none"/>
        </w:rPr>
        <w:t>国家级示范园区</w:t>
      </w:r>
      <w:r>
        <w:rPr>
          <w:rFonts w:hint="default" w:ascii="Times New Roman" w:hAnsi="Times New Roman" w:eastAsia="方正仿宋_GBK" w:cs="Times New Roman"/>
          <w:color w:val="auto"/>
          <w:sz w:val="32"/>
          <w:szCs w:val="32"/>
          <w:highlight w:val="none"/>
          <w:lang w:eastAsia="zh-CN"/>
        </w:rPr>
        <w:t>，文化产业和旅游产业工作获省级督查激励，预计全年实现旅游总收入</w:t>
      </w:r>
      <w:r>
        <w:rPr>
          <w:rFonts w:hint="default" w:ascii="Times New Roman" w:hAnsi="Times New Roman" w:eastAsia="方正仿宋_GBK" w:cs="Times New Roman"/>
          <w:color w:val="auto"/>
          <w:sz w:val="32"/>
          <w:szCs w:val="32"/>
          <w:highlight w:val="none"/>
          <w:lang w:val="en-US" w:eastAsia="zh-CN"/>
        </w:rPr>
        <w:t>750</w:t>
      </w:r>
      <w:r>
        <w:rPr>
          <w:rFonts w:hint="default" w:ascii="Times New Roman" w:hAnsi="Times New Roman" w:eastAsia="方正仿宋_GBK" w:cs="Times New Roman"/>
          <w:color w:val="auto"/>
          <w:sz w:val="32"/>
          <w:szCs w:val="32"/>
          <w:highlight w:val="none"/>
          <w:lang w:eastAsia="zh-CN"/>
        </w:rPr>
        <w:t>亿元；软件和信息服务业收入预计完成</w:t>
      </w:r>
      <w:r>
        <w:rPr>
          <w:rFonts w:hint="default" w:ascii="Times New Roman" w:hAnsi="Times New Roman" w:eastAsia="方正仿宋_GBK" w:cs="Times New Roman"/>
          <w:color w:val="auto"/>
          <w:sz w:val="32"/>
          <w:szCs w:val="32"/>
          <w:highlight w:val="none"/>
          <w:lang w:val="en-US" w:eastAsia="zh-CN"/>
        </w:rPr>
        <w:t>565</w:t>
      </w:r>
      <w:r>
        <w:rPr>
          <w:rFonts w:hint="default" w:ascii="Times New Roman" w:hAnsi="Times New Roman" w:eastAsia="方正仿宋_GBK" w:cs="Times New Roman"/>
          <w:color w:val="auto"/>
          <w:sz w:val="32"/>
          <w:szCs w:val="32"/>
          <w:highlight w:val="none"/>
          <w:lang w:eastAsia="zh-CN"/>
        </w:rPr>
        <w:t>亿元。承办“中国智能网联汽车创新成果大会”南京高峰论坛，新能源汽车业务收入达</w:t>
      </w:r>
      <w:r>
        <w:rPr>
          <w:rFonts w:hint="default" w:ascii="Times New Roman" w:hAnsi="Times New Roman" w:eastAsia="方正仿宋_GBK" w:cs="Times New Roman"/>
          <w:color w:val="auto"/>
          <w:sz w:val="32"/>
          <w:szCs w:val="32"/>
          <w:highlight w:val="none"/>
          <w:lang w:val="en-US" w:eastAsia="zh-CN"/>
        </w:rPr>
        <w:t>50亿元</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Cs/>
          <w:color w:val="auto"/>
          <w:sz w:val="32"/>
          <w:szCs w:val="32"/>
          <w:highlight w:val="none"/>
        </w:rPr>
        <w:t>物联网产业相关企业</w:t>
      </w:r>
      <w:r>
        <w:rPr>
          <w:rFonts w:hint="default" w:ascii="Times New Roman" w:hAnsi="Times New Roman" w:eastAsia="方正仿宋_GBK" w:cs="Times New Roman"/>
          <w:bCs/>
          <w:color w:val="auto"/>
          <w:sz w:val="32"/>
          <w:szCs w:val="32"/>
          <w:highlight w:val="none"/>
          <w:lang w:val="en-US" w:eastAsia="zh-CN"/>
        </w:rPr>
        <w:t>超</w:t>
      </w:r>
      <w:r>
        <w:rPr>
          <w:rFonts w:hint="default" w:ascii="Times New Roman" w:hAnsi="Times New Roman" w:eastAsia="方正仿宋_GBK" w:cs="Times New Roman"/>
          <w:bCs/>
          <w:color w:val="auto"/>
          <w:sz w:val="32"/>
          <w:szCs w:val="32"/>
          <w:highlight w:val="none"/>
        </w:rPr>
        <w:t>150家，实现</w:t>
      </w:r>
      <w:r>
        <w:rPr>
          <w:rFonts w:hint="default" w:ascii="Times New Roman" w:hAnsi="Times New Roman" w:eastAsia="方正仿宋_GBK" w:cs="Times New Roman"/>
          <w:bCs/>
          <w:color w:val="auto"/>
          <w:sz w:val="32"/>
          <w:szCs w:val="32"/>
          <w:highlight w:val="none"/>
          <w:lang w:eastAsia="zh-CN"/>
        </w:rPr>
        <w:t>营收</w:t>
      </w:r>
      <w:r>
        <w:rPr>
          <w:rFonts w:hint="default" w:ascii="Times New Roman" w:hAnsi="Times New Roman" w:eastAsia="方正仿宋_GBK" w:cs="Times New Roman"/>
          <w:bCs/>
          <w:color w:val="auto"/>
          <w:sz w:val="32"/>
          <w:szCs w:val="32"/>
          <w:highlight w:val="none"/>
        </w:rPr>
        <w:t>超200亿元</w:t>
      </w:r>
      <w:r>
        <w:rPr>
          <w:rFonts w:hint="default" w:ascii="Times New Roman" w:hAnsi="Times New Roman" w:eastAsia="方正仿宋_GBK" w:cs="Times New Roman"/>
          <w:bCs/>
          <w:color w:val="auto"/>
          <w:sz w:val="32"/>
          <w:szCs w:val="32"/>
          <w:highlight w:val="none"/>
          <w:lang w:eastAsia="zh-CN"/>
        </w:rPr>
        <w:t>；规上数字经济核心产业营业收入增速达</w:t>
      </w:r>
      <w:r>
        <w:rPr>
          <w:rFonts w:hint="default" w:ascii="Times New Roman" w:hAnsi="Times New Roman" w:eastAsia="方正仿宋_GBK" w:cs="Times New Roman"/>
          <w:bCs/>
          <w:color w:val="auto"/>
          <w:sz w:val="32"/>
          <w:szCs w:val="32"/>
          <w:highlight w:val="none"/>
          <w:lang w:val="en-US" w:eastAsia="zh-CN"/>
        </w:rPr>
        <w:t>6.7%。实施“智改数转”项目的规上工业企业覆盖率超90%，都市工业产值达287亿元。</w:t>
      </w:r>
    </w:p>
    <w:p w14:paraId="3EE84DE6">
      <w:pPr>
        <w:jc w:val="center"/>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表</w:t>
      </w:r>
      <w:r>
        <w:rPr>
          <w:rFonts w:hint="default" w:ascii="Times New Roman" w:hAnsi="Times New Roman" w:eastAsia="方正仿宋_GBK" w:cs="Times New Roman"/>
          <w:b/>
          <w:bCs/>
          <w:color w:val="auto"/>
          <w:kern w:val="0"/>
          <w:sz w:val="32"/>
          <w:szCs w:val="32"/>
          <w:highlight w:val="none"/>
          <w:lang w:eastAsia="zh-CN"/>
        </w:rPr>
        <w:t>四</w:t>
      </w:r>
      <w:r>
        <w:rPr>
          <w:rFonts w:hint="default" w:ascii="Times New Roman" w:hAnsi="Times New Roman" w:eastAsia="方正仿宋_GBK" w:cs="Times New Roman"/>
          <w:b/>
          <w:bCs/>
          <w:color w:val="auto"/>
          <w:kern w:val="0"/>
          <w:sz w:val="32"/>
          <w:szCs w:val="32"/>
          <w:highlight w:val="none"/>
        </w:rPr>
        <w:t xml:space="preserve"> 产业</w:t>
      </w:r>
      <w:r>
        <w:rPr>
          <w:rFonts w:hint="default" w:ascii="Times New Roman" w:hAnsi="Times New Roman" w:eastAsia="方正仿宋_GBK" w:cs="Times New Roman"/>
          <w:b/>
          <w:bCs/>
          <w:color w:val="auto"/>
          <w:kern w:val="0"/>
          <w:sz w:val="32"/>
          <w:szCs w:val="32"/>
          <w:highlight w:val="none"/>
          <w:lang w:eastAsia="zh-CN"/>
        </w:rPr>
        <w:t>发展</w:t>
      </w:r>
      <w:r>
        <w:rPr>
          <w:rFonts w:hint="default" w:ascii="Times New Roman" w:hAnsi="Times New Roman" w:eastAsia="方正仿宋_GBK" w:cs="Times New Roman"/>
          <w:b/>
          <w:bCs/>
          <w:color w:val="auto"/>
          <w:kern w:val="0"/>
          <w:sz w:val="32"/>
          <w:szCs w:val="32"/>
          <w:highlight w:val="none"/>
        </w:rPr>
        <w:t>情况</w:t>
      </w:r>
    </w:p>
    <w:tbl>
      <w:tblPr>
        <w:tblStyle w:val="13"/>
        <w:tblW w:w="8820" w:type="dxa"/>
        <w:jc w:val="center"/>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Layout w:type="fixed"/>
        <w:tblCellMar>
          <w:top w:w="0" w:type="dxa"/>
          <w:left w:w="108" w:type="dxa"/>
          <w:bottom w:w="0" w:type="dxa"/>
          <w:right w:w="108" w:type="dxa"/>
        </w:tblCellMar>
      </w:tblPr>
      <w:tblGrid>
        <w:gridCol w:w="1675"/>
        <w:gridCol w:w="7145"/>
      </w:tblGrid>
      <w:tr w14:paraId="757941AE">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1675" w:type="dxa"/>
            <w:tcBorders>
              <w:top w:val="single" w:color="000000" w:sz="6" w:space="0"/>
              <w:bottom w:val="single" w:color="000000" w:sz="6" w:space="0"/>
            </w:tcBorders>
            <w:noWrap/>
            <w:vAlign w:val="center"/>
          </w:tcPr>
          <w:p w14:paraId="66CA4552">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主要领域</w:t>
            </w:r>
          </w:p>
        </w:tc>
        <w:tc>
          <w:tcPr>
            <w:tcW w:w="7145" w:type="dxa"/>
            <w:tcBorders>
              <w:top w:val="single" w:color="000000" w:sz="6" w:space="0"/>
              <w:bottom w:val="single" w:color="000000" w:sz="6" w:space="0"/>
            </w:tcBorders>
            <w:noWrap/>
            <w:vAlign w:val="center"/>
          </w:tcPr>
          <w:p w14:paraId="64BC36CC">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主要进展</w:t>
            </w:r>
          </w:p>
        </w:tc>
      </w:tr>
      <w:tr w14:paraId="611D46DE">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510" w:hRule="atLeast"/>
          <w:jc w:val="center"/>
        </w:trPr>
        <w:tc>
          <w:tcPr>
            <w:tcW w:w="1675" w:type="dxa"/>
            <w:tcBorders>
              <w:top w:val="single" w:color="000000" w:sz="6" w:space="0"/>
              <w:bottom w:val="single" w:color="000000" w:sz="6" w:space="0"/>
            </w:tcBorders>
            <w:noWrap/>
            <w:vAlign w:val="center"/>
          </w:tcPr>
          <w:p w14:paraId="15C11C99">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金融业</w:t>
            </w:r>
          </w:p>
        </w:tc>
        <w:tc>
          <w:tcPr>
            <w:tcW w:w="7145" w:type="dxa"/>
            <w:tcBorders>
              <w:top w:val="single" w:color="000000" w:sz="6" w:space="0"/>
              <w:bottom w:val="single" w:color="000000" w:sz="6" w:space="0"/>
            </w:tcBorders>
            <w:noWrap/>
            <w:vAlign w:val="center"/>
          </w:tcPr>
          <w:p w14:paraId="7B6BCB50">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开展“金融惠企+”系列活动超百场次，对接解决融资需求</w:t>
            </w:r>
            <w:r>
              <w:rPr>
                <w:rFonts w:hint="default" w:ascii="Times New Roman" w:hAnsi="Times New Roman" w:eastAsia="方正仿宋_GBK" w:cs="Times New Roman"/>
                <w:color w:val="auto"/>
                <w:kern w:val="0"/>
                <w:sz w:val="24"/>
                <w:highlight w:val="none"/>
                <w:lang w:eastAsia="zh-CN"/>
              </w:rPr>
              <w:t>。</w:t>
            </w:r>
          </w:p>
          <w:p w14:paraId="78160A98">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全区累计超</w:t>
            </w:r>
            <w:r>
              <w:rPr>
                <w:rFonts w:hint="default" w:ascii="Times New Roman" w:hAnsi="Times New Roman" w:eastAsia="方正仿宋_GBK" w:cs="Times New Roman"/>
                <w:color w:val="auto"/>
                <w:kern w:val="0"/>
                <w:sz w:val="24"/>
                <w:highlight w:val="none"/>
                <w:lang w:val="en-US" w:eastAsia="zh-CN"/>
              </w:rPr>
              <w:t>2.25</w:t>
            </w:r>
            <w:r>
              <w:rPr>
                <w:rFonts w:hint="default" w:ascii="Times New Roman" w:hAnsi="Times New Roman" w:eastAsia="方正仿宋_GBK" w:cs="Times New Roman"/>
                <w:color w:val="auto"/>
                <w:kern w:val="0"/>
                <w:sz w:val="24"/>
                <w:highlight w:val="none"/>
              </w:rPr>
              <w:t>万家企业在江苏省金融服务平台注册</w:t>
            </w:r>
            <w:r>
              <w:rPr>
                <w:rFonts w:hint="default" w:ascii="Times New Roman" w:hAnsi="Times New Roman" w:eastAsia="方正仿宋_GBK" w:cs="Times New Roman"/>
                <w:color w:val="auto"/>
                <w:kern w:val="0"/>
                <w:sz w:val="24"/>
                <w:highlight w:val="none"/>
                <w:lang w:eastAsia="zh-CN"/>
              </w:rPr>
              <w:t>，授信金额</w:t>
            </w:r>
            <w:r>
              <w:rPr>
                <w:rFonts w:hint="default" w:ascii="Times New Roman" w:hAnsi="Times New Roman" w:eastAsia="方正仿宋_GBK" w:cs="Times New Roman"/>
                <w:color w:val="auto"/>
                <w:kern w:val="0"/>
                <w:sz w:val="24"/>
                <w:highlight w:val="none"/>
                <w:lang w:val="en-US" w:eastAsia="zh-CN"/>
              </w:rPr>
              <w:t>42.5</w:t>
            </w:r>
            <w:r>
              <w:rPr>
                <w:rFonts w:hint="default" w:ascii="Times New Roman" w:hAnsi="Times New Roman" w:eastAsia="方正仿宋_GBK" w:cs="Times New Roman"/>
                <w:color w:val="auto"/>
                <w:kern w:val="0"/>
                <w:sz w:val="24"/>
                <w:highlight w:val="none"/>
                <w:lang w:eastAsia="zh-CN"/>
              </w:rPr>
              <w:t>亿元。累计使用南京市民营企业转贷基金</w:t>
            </w:r>
            <w:r>
              <w:rPr>
                <w:rFonts w:hint="default" w:ascii="Times New Roman" w:hAnsi="Times New Roman" w:eastAsia="方正仿宋_GBK" w:cs="Times New Roman"/>
                <w:color w:val="auto"/>
                <w:kern w:val="0"/>
                <w:sz w:val="24"/>
                <w:highlight w:val="none"/>
                <w:lang w:val="en-US" w:eastAsia="zh-CN"/>
              </w:rPr>
              <w:t>22.5</w:t>
            </w:r>
            <w:r>
              <w:rPr>
                <w:rFonts w:hint="default" w:ascii="Times New Roman" w:hAnsi="Times New Roman" w:eastAsia="方正仿宋_GBK" w:cs="Times New Roman"/>
                <w:color w:val="auto"/>
                <w:kern w:val="0"/>
                <w:sz w:val="24"/>
                <w:highlight w:val="none"/>
                <w:lang w:eastAsia="zh-CN"/>
              </w:rPr>
              <w:t>亿元。</w:t>
            </w:r>
          </w:p>
          <w:p w14:paraId="560BBA53">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eastAsia="zh-CN"/>
              </w:rPr>
              <w:t>全年新增金融机构</w:t>
            </w:r>
            <w:r>
              <w:rPr>
                <w:rFonts w:hint="default" w:ascii="Times New Roman" w:hAnsi="Times New Roman" w:eastAsia="方正仿宋_GBK" w:cs="Times New Roman"/>
                <w:color w:val="auto"/>
                <w:kern w:val="0"/>
                <w:sz w:val="24"/>
                <w:highlight w:val="none"/>
                <w:lang w:val="en-US" w:eastAsia="zh-CN"/>
              </w:rPr>
              <w:t>17家，新增中基协备案基金4支。</w:t>
            </w:r>
          </w:p>
          <w:p w14:paraId="20AFF745">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val="en-US" w:eastAsia="zh-CN"/>
              </w:rPr>
              <w:t>汇鸿汇升QDLP基金正式获批启动。</w:t>
            </w:r>
          </w:p>
          <w:p w14:paraId="23F52C44">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eastAsia="zh-CN"/>
              </w:rPr>
              <w:t>南银法巴消费金融办公大楼正式启用，</w:t>
            </w:r>
            <w:r>
              <w:rPr>
                <w:rFonts w:hint="default" w:ascii="Times New Roman" w:hAnsi="Times New Roman" w:eastAsia="方正仿宋_GBK" w:cs="Times New Roman"/>
                <w:color w:val="auto"/>
                <w:kern w:val="0"/>
                <w:sz w:val="24"/>
                <w:highlight w:val="none"/>
                <w:lang w:val="en-US" w:eastAsia="zh-CN"/>
              </w:rPr>
              <w:t>省内消费金融公司规模排名第1</w:t>
            </w:r>
            <w:r>
              <w:rPr>
                <w:rFonts w:hint="default" w:ascii="Times New Roman" w:hAnsi="Times New Roman" w:eastAsia="方正仿宋_GBK" w:cs="Times New Roman"/>
                <w:color w:val="auto"/>
                <w:kern w:val="0"/>
                <w:sz w:val="24"/>
                <w:highlight w:val="none"/>
                <w:lang w:eastAsia="zh-CN"/>
              </w:rPr>
              <w:t>。</w:t>
            </w:r>
          </w:p>
        </w:tc>
      </w:tr>
      <w:tr w14:paraId="78BD3D2B">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420" w:hRule="atLeast"/>
          <w:jc w:val="center"/>
        </w:trPr>
        <w:tc>
          <w:tcPr>
            <w:tcW w:w="1675" w:type="dxa"/>
            <w:tcBorders>
              <w:top w:val="single" w:color="000000" w:sz="6" w:space="0"/>
              <w:bottom w:val="single" w:color="000000" w:sz="6" w:space="0"/>
            </w:tcBorders>
            <w:noWrap/>
            <w:vAlign w:val="center"/>
          </w:tcPr>
          <w:p w14:paraId="55C9CA2B">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商贸商务业</w:t>
            </w:r>
          </w:p>
        </w:tc>
        <w:tc>
          <w:tcPr>
            <w:tcW w:w="7145" w:type="dxa"/>
            <w:tcBorders>
              <w:top w:val="single" w:color="000000" w:sz="6" w:space="0"/>
              <w:bottom w:val="single" w:color="000000" w:sz="6" w:space="0"/>
            </w:tcBorders>
            <w:noWrap/>
            <w:vAlign w:val="center"/>
          </w:tcPr>
          <w:p w14:paraId="61C85A74">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招引国融甄选、睿茨投资等12家</w:t>
            </w:r>
            <w:r>
              <w:rPr>
                <w:rFonts w:hint="default" w:ascii="Times New Roman" w:hAnsi="Times New Roman" w:eastAsia="方正仿宋_GBK" w:cs="Times New Roman"/>
                <w:color w:val="auto"/>
                <w:kern w:val="0"/>
                <w:sz w:val="24"/>
                <w:highlight w:val="none"/>
                <w:lang w:eastAsia="zh-CN"/>
              </w:rPr>
              <w:t>商务商贸</w:t>
            </w:r>
            <w:r>
              <w:rPr>
                <w:rFonts w:hint="default" w:ascii="Times New Roman" w:hAnsi="Times New Roman" w:eastAsia="方正仿宋_GBK" w:cs="Times New Roman"/>
                <w:color w:val="auto"/>
                <w:kern w:val="0"/>
                <w:sz w:val="24"/>
                <w:highlight w:val="none"/>
              </w:rPr>
              <w:t>优质项目</w:t>
            </w:r>
            <w:r>
              <w:rPr>
                <w:rFonts w:hint="default" w:ascii="Times New Roman" w:hAnsi="Times New Roman" w:eastAsia="方正仿宋_GBK" w:cs="Times New Roman"/>
                <w:color w:val="auto"/>
                <w:kern w:val="0"/>
                <w:sz w:val="24"/>
                <w:highlight w:val="none"/>
                <w:lang w:eastAsia="zh-CN"/>
              </w:rPr>
              <w:t>。</w:t>
            </w:r>
          </w:p>
          <w:p w14:paraId="0E731018">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出台《秦淮区建设服务业扩大开放综合试点创新示范区行动方案（2023-2025 年）》</w:t>
            </w:r>
            <w:r>
              <w:rPr>
                <w:rFonts w:hint="default" w:ascii="Times New Roman" w:hAnsi="Times New Roman" w:eastAsia="方正仿宋_GBK" w:cs="Times New Roman"/>
                <w:color w:val="auto"/>
                <w:kern w:val="0"/>
                <w:sz w:val="24"/>
                <w:highlight w:val="none"/>
                <w:lang w:eastAsia="zh-CN"/>
              </w:rPr>
              <w:t>，</w:t>
            </w:r>
            <w:r>
              <w:rPr>
                <w:rFonts w:hint="default" w:ascii="Times New Roman" w:hAnsi="Times New Roman" w:eastAsia="方正仿宋_GBK" w:cs="Times New Roman"/>
                <w:color w:val="auto"/>
                <w:kern w:val="0"/>
                <w:sz w:val="24"/>
                <w:highlight w:val="none"/>
              </w:rPr>
              <w:t>组织服务业扩大开放（上海）专场推介会</w:t>
            </w:r>
            <w:r>
              <w:rPr>
                <w:rFonts w:hint="default" w:ascii="Times New Roman" w:hAnsi="Times New Roman" w:eastAsia="方正仿宋_GBK" w:cs="Times New Roman"/>
                <w:color w:val="auto"/>
                <w:kern w:val="0"/>
                <w:sz w:val="24"/>
                <w:highlight w:val="none"/>
                <w:lang w:eastAsia="zh-CN"/>
              </w:rPr>
              <w:t>。</w:t>
            </w:r>
          </w:p>
          <w:p w14:paraId="36289405">
            <w:pPr>
              <w:pStyle w:val="19"/>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江苏银行</w:t>
            </w:r>
            <w:r>
              <w:rPr>
                <w:rFonts w:hint="default" w:ascii="Times New Roman" w:hAnsi="Times New Roman" w:cs="Times New Roman"/>
                <w:b w:val="0"/>
                <w:bCs w:val="0"/>
                <w:color w:val="auto"/>
                <w:highlight w:val="none"/>
                <w:lang w:eastAsia="zh-CN"/>
              </w:rPr>
              <w:t>等</w:t>
            </w:r>
            <w:r>
              <w:rPr>
                <w:rFonts w:hint="default" w:ascii="Times New Roman" w:hAnsi="Times New Roman" w:cs="Times New Roman"/>
                <w:color w:val="auto"/>
                <w:highlight w:val="none"/>
                <w:lang w:eastAsia="zh-CN"/>
              </w:rPr>
              <w:t>6家企业被认定为省级现代服务业高质量领军企业，新街口金融商务集聚区等4个集聚区被认定为省级现代服务业高质量集聚示范区。</w:t>
            </w:r>
          </w:p>
          <w:p w14:paraId="54316D4E">
            <w:pPr>
              <w:pStyle w:val="19"/>
              <w:rPr>
                <w:rFonts w:hint="default" w:ascii="Times New Roman" w:hAnsi="Times New Roman" w:cs="Times New Roman"/>
                <w:color w:val="auto"/>
                <w:highlight w:val="none"/>
              </w:rPr>
            </w:pPr>
            <w:r>
              <w:rPr>
                <w:rFonts w:hint="default" w:ascii="Times New Roman" w:hAnsi="Times New Roman" w:eastAsia="方正仿宋_GBK" w:cs="Times New Roman"/>
                <w:color w:val="auto"/>
                <w:sz w:val="24"/>
                <w:szCs w:val="24"/>
                <w:highlight w:val="none"/>
              </w:rPr>
              <w:t>推进一刻钟便民生活圈建设</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cs="Times New Roman"/>
                <w:color w:val="auto"/>
                <w:highlight w:val="none"/>
              </w:rPr>
              <w:t>在五老村一刻钟便民生活圈成立了全市首个</w:t>
            </w:r>
            <w:r>
              <w:rPr>
                <w:rFonts w:hint="default" w:ascii="Times New Roman" w:hAnsi="Times New Roman" w:cs="Times New Roman"/>
                <w:color w:val="auto"/>
                <w:highlight w:val="none"/>
                <w:lang w:val="en-US" w:eastAsia="zh-CN"/>
              </w:rPr>
              <w:t>社区家政服务线上平台</w:t>
            </w:r>
            <w:r>
              <w:rPr>
                <w:rFonts w:hint="default" w:ascii="Times New Roman" w:hAnsi="Times New Roman" w:cs="Times New Roman"/>
                <w:color w:val="auto"/>
                <w:highlight w:val="none"/>
              </w:rPr>
              <w:t>“红围裙之家”。</w:t>
            </w:r>
          </w:p>
        </w:tc>
      </w:tr>
      <w:tr w14:paraId="34FE24B0">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510" w:hRule="atLeast"/>
          <w:jc w:val="center"/>
        </w:trPr>
        <w:tc>
          <w:tcPr>
            <w:tcW w:w="1675" w:type="dxa"/>
            <w:tcBorders>
              <w:top w:val="single" w:color="000000" w:sz="6" w:space="0"/>
              <w:bottom w:val="single" w:color="000000" w:sz="6" w:space="0"/>
            </w:tcBorders>
            <w:noWrap/>
            <w:vAlign w:val="center"/>
          </w:tcPr>
          <w:p w14:paraId="2098056B">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文化旅游业</w:t>
            </w:r>
          </w:p>
        </w:tc>
        <w:tc>
          <w:tcPr>
            <w:tcW w:w="7145" w:type="dxa"/>
            <w:tcBorders>
              <w:top w:val="single" w:color="000000" w:sz="6" w:space="0"/>
              <w:bottom w:val="single" w:color="000000" w:sz="6" w:space="0"/>
            </w:tcBorders>
            <w:noWrap/>
            <w:vAlign w:val="center"/>
          </w:tcPr>
          <w:p w14:paraId="31B5B2A6">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420" w:hanging="420"/>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eastAsia="zh-CN"/>
              </w:rPr>
              <w:t>文化产业增加值占地区生产总值比重达</w:t>
            </w:r>
            <w:r>
              <w:rPr>
                <w:rFonts w:hint="default" w:ascii="Times New Roman" w:hAnsi="Times New Roman" w:eastAsia="方正仿宋_GBK" w:cs="Times New Roman"/>
                <w:color w:val="auto"/>
                <w:kern w:val="0"/>
                <w:sz w:val="24"/>
                <w:highlight w:val="none"/>
                <w:lang w:val="en-US" w:eastAsia="zh-CN"/>
              </w:rPr>
              <w:t>10.4%。</w:t>
            </w:r>
          </w:p>
          <w:p w14:paraId="07B4D574">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420" w:hanging="420"/>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val="en-US" w:eastAsia="zh-CN"/>
              </w:rPr>
              <w:t>累计签约凤凰数字科技等重点文旅项目16项，携程专车、新东方文旅区域总部、龙源集团文旅总部等优质产业项目落地。</w:t>
            </w:r>
          </w:p>
          <w:p w14:paraId="65630D95">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420" w:hanging="420"/>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val="en-US" w:eastAsia="zh-CN"/>
              </w:rPr>
              <w:t>晨光1865创意产业园被评为市级工业旅游区。</w:t>
            </w:r>
          </w:p>
          <w:p w14:paraId="5EA86A8B">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420" w:hanging="420"/>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val="en-US" w:eastAsia="zh-CN"/>
              </w:rPr>
              <w:t>举办中国街舞联赛·南京站、2023年秦淮国际文化旅游节等主题活动，全年组织文旅消费促进活动100场次以上。</w:t>
            </w:r>
          </w:p>
          <w:p w14:paraId="0B7E169C">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420" w:hanging="420"/>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val="en-US" w:eastAsia="zh-CN"/>
              </w:rPr>
              <w:t>打造王府往事、南京喜事、心印中华门等沉浸式演出，建成开放大明·凤凰数字艺术馆。</w:t>
            </w:r>
          </w:p>
          <w:p w14:paraId="6C0F2E50">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420" w:hanging="420"/>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eastAsia="zh-CN"/>
              </w:rPr>
              <w:t>遇见博物馆、开心麻花“方橙市大侦探”、芒果</w:t>
            </w:r>
            <w:r>
              <w:rPr>
                <w:rFonts w:hint="default" w:ascii="Times New Roman" w:hAnsi="Times New Roman" w:eastAsia="方正仿宋_GBK" w:cs="Times New Roman"/>
                <w:color w:val="auto"/>
                <w:kern w:val="0"/>
                <w:sz w:val="24"/>
                <w:highlight w:val="none"/>
                <w:lang w:val="en-US" w:eastAsia="zh-CN"/>
              </w:rPr>
              <w:t>MCITY等文旅融合示范项目成为网红热点。</w:t>
            </w:r>
          </w:p>
        </w:tc>
      </w:tr>
      <w:tr w14:paraId="19A9E0A3">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510" w:hRule="atLeast"/>
          <w:jc w:val="center"/>
        </w:trPr>
        <w:tc>
          <w:tcPr>
            <w:tcW w:w="1675" w:type="dxa"/>
            <w:tcBorders>
              <w:top w:val="single" w:color="000000" w:sz="6" w:space="0"/>
              <w:bottom w:val="single" w:color="000000" w:sz="6" w:space="0"/>
            </w:tcBorders>
            <w:noWrap/>
            <w:vAlign w:val="center"/>
          </w:tcPr>
          <w:p w14:paraId="153D28B7">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新兴产业</w:t>
            </w:r>
          </w:p>
        </w:tc>
        <w:tc>
          <w:tcPr>
            <w:tcW w:w="7145" w:type="dxa"/>
            <w:tcBorders>
              <w:top w:val="single" w:color="000000" w:sz="6" w:space="0"/>
              <w:bottom w:val="single" w:color="000000" w:sz="6" w:space="0"/>
            </w:tcBorders>
            <w:noWrap/>
            <w:vAlign w:val="center"/>
          </w:tcPr>
          <w:p w14:paraId="5DBB51D5">
            <w:pPr>
              <w:numPr>
                <w:ilvl w:val="0"/>
                <w:numId w:val="2"/>
              </w:numPr>
              <w:spacing w:line="300" w:lineRule="exact"/>
              <w:rPr>
                <w:rFonts w:hint="default" w:ascii="Times New Roman" w:hAnsi="Times New Roman" w:eastAsia="方正仿宋_GBK" w:cs="Times New Roman"/>
                <w:color w:val="auto"/>
                <w:kern w:val="0"/>
                <w:sz w:val="24"/>
                <w:highlight w:val="none"/>
                <w:lang w:eastAsia="zh-CN"/>
              </w:rPr>
            </w:pPr>
            <w:r>
              <w:rPr>
                <w:rFonts w:hint="default" w:ascii="Times New Roman" w:hAnsi="Times New Roman" w:eastAsia="方正仿宋_GBK" w:cs="Times New Roman"/>
                <w:color w:val="auto"/>
                <w:kern w:val="0"/>
                <w:sz w:val="24"/>
                <w:highlight w:val="none"/>
                <w:lang w:val="en-US" w:eastAsia="zh-CN"/>
              </w:rPr>
              <w:t>与南航大共同打造长三角智能制造创新中心，推动智改数转商业化应用。</w:t>
            </w:r>
          </w:p>
          <w:p w14:paraId="30D0915A">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成立物联网产业党建联盟</w:t>
            </w:r>
            <w:r>
              <w:rPr>
                <w:rFonts w:hint="default" w:ascii="Times New Roman" w:hAnsi="Times New Roman" w:eastAsia="方正仿宋_GBK" w:cs="Times New Roman"/>
                <w:color w:val="auto"/>
                <w:kern w:val="0"/>
                <w:sz w:val="24"/>
                <w:highlight w:val="none"/>
                <w:lang w:eastAsia="zh-CN"/>
              </w:rPr>
              <w:t>，</w:t>
            </w:r>
            <w:r>
              <w:rPr>
                <w:rFonts w:hint="default" w:ascii="Times New Roman" w:hAnsi="Times New Roman" w:eastAsia="方正仿宋_GBK" w:cs="Times New Roman"/>
                <w:color w:val="auto"/>
                <w:kern w:val="0"/>
                <w:sz w:val="24"/>
                <w:highlight w:val="none"/>
              </w:rPr>
              <w:t>建成物联网相关重点实验室6家</w:t>
            </w:r>
            <w:r>
              <w:rPr>
                <w:rFonts w:hint="default" w:ascii="Times New Roman" w:hAnsi="Times New Roman" w:eastAsia="方正仿宋_GBK" w:cs="Times New Roman"/>
                <w:color w:val="auto"/>
                <w:kern w:val="0"/>
                <w:sz w:val="24"/>
                <w:highlight w:val="none"/>
                <w:lang w:eastAsia="zh-CN"/>
              </w:rPr>
              <w:t>。</w:t>
            </w:r>
          </w:p>
          <w:p w14:paraId="4810BA36">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val="en-US" w:eastAsia="zh-CN"/>
              </w:rPr>
              <w:t>全区工业战略性新兴产业总产值占工业总产值比重达</w:t>
            </w:r>
            <w:r>
              <w:rPr>
                <w:rFonts w:hint="eastAsia" w:ascii="Times New Roman" w:hAnsi="Times New Roman" w:eastAsia="方正仿宋_GBK" w:cs="Times New Roman"/>
                <w:color w:val="auto"/>
                <w:kern w:val="0"/>
                <w:sz w:val="24"/>
                <w:highlight w:val="none"/>
                <w:lang w:val="en-US" w:eastAsia="zh-CN"/>
              </w:rPr>
              <w:t>55</w:t>
            </w:r>
            <w:r>
              <w:rPr>
                <w:rFonts w:hint="default" w:ascii="Times New Roman" w:hAnsi="Times New Roman" w:eastAsia="方正仿宋_GBK" w:cs="Times New Roman"/>
                <w:color w:val="auto"/>
                <w:kern w:val="0"/>
                <w:sz w:val="24"/>
                <w:highlight w:val="none"/>
                <w:lang w:val="en-US" w:eastAsia="zh-CN"/>
              </w:rPr>
              <w:t>%。</w:t>
            </w:r>
          </w:p>
          <w:p w14:paraId="3E724A87">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eastAsia="zh-CN"/>
              </w:rPr>
              <w:t>累计发布</w:t>
            </w:r>
            <w:r>
              <w:rPr>
                <w:rFonts w:hint="default" w:ascii="Times New Roman" w:hAnsi="Times New Roman" w:eastAsia="方正仿宋_GBK" w:cs="Times New Roman"/>
                <w:color w:val="auto"/>
                <w:kern w:val="0"/>
                <w:sz w:val="24"/>
                <w:highlight w:val="none"/>
                <w:lang w:val="en-US" w:eastAsia="zh-CN"/>
              </w:rPr>
              <w:t>南部新城智慧城市智慧建造</w:t>
            </w:r>
            <w:r>
              <w:rPr>
                <w:rFonts w:hint="default" w:ascii="Times New Roman" w:hAnsi="Times New Roman" w:eastAsia="方正仿宋_GBK" w:cs="Times New Roman"/>
                <w:color w:val="auto"/>
                <w:kern w:val="0"/>
                <w:sz w:val="24"/>
                <w:highlight w:val="none"/>
                <w:lang w:eastAsia="zh-CN"/>
              </w:rPr>
              <w:t>等应用场景项目</w:t>
            </w:r>
            <w:r>
              <w:rPr>
                <w:rFonts w:hint="default" w:ascii="Times New Roman" w:hAnsi="Times New Roman" w:eastAsia="方正仿宋_GBK" w:cs="Times New Roman"/>
                <w:color w:val="auto"/>
                <w:kern w:val="0"/>
                <w:sz w:val="24"/>
                <w:highlight w:val="none"/>
                <w:lang w:val="en-US" w:eastAsia="zh-CN"/>
              </w:rPr>
              <w:t>86</w:t>
            </w:r>
            <w:r>
              <w:rPr>
                <w:rFonts w:hint="default" w:ascii="Times New Roman" w:hAnsi="Times New Roman" w:eastAsia="方正仿宋_GBK" w:cs="Times New Roman"/>
                <w:color w:val="auto"/>
                <w:kern w:val="0"/>
                <w:sz w:val="24"/>
                <w:highlight w:val="none"/>
                <w:lang w:eastAsia="zh-CN"/>
              </w:rPr>
              <w:t>个，总投资</w:t>
            </w:r>
            <w:r>
              <w:rPr>
                <w:rFonts w:hint="default" w:ascii="Times New Roman" w:hAnsi="Times New Roman" w:eastAsia="方正仿宋_GBK" w:cs="Times New Roman"/>
                <w:color w:val="auto"/>
                <w:kern w:val="0"/>
                <w:sz w:val="24"/>
                <w:highlight w:val="none"/>
                <w:lang w:val="en-US" w:eastAsia="zh-CN"/>
              </w:rPr>
              <w:t>12.4</w:t>
            </w:r>
            <w:r>
              <w:rPr>
                <w:rFonts w:hint="default" w:ascii="Times New Roman" w:hAnsi="Times New Roman" w:eastAsia="方正仿宋_GBK" w:cs="Times New Roman"/>
                <w:color w:val="auto"/>
                <w:kern w:val="0"/>
                <w:sz w:val="24"/>
                <w:highlight w:val="none"/>
                <w:lang w:eastAsia="zh-CN"/>
              </w:rPr>
              <w:t>亿元。</w:t>
            </w:r>
          </w:p>
        </w:tc>
      </w:tr>
    </w:tbl>
    <w:p w14:paraId="09480978">
      <w:pPr>
        <w:keepNext w:val="0"/>
        <w:keepLines w:val="0"/>
        <w:pageBreakBefore w:val="0"/>
        <w:widowControl w:val="0"/>
        <w:numPr>
          <w:ilvl w:val="0"/>
          <w:numId w:val="3"/>
        </w:numPr>
        <w:kinsoku/>
        <w:wordWrap/>
        <w:overflowPunct w:val="0"/>
        <w:topLinePunct w:val="0"/>
        <w:autoSpaceDE/>
        <w:autoSpaceDN/>
        <w:bidi w:val="0"/>
        <w:adjustRightInd/>
        <w:snapToGrid/>
        <w:spacing w:line="520" w:lineRule="exact"/>
        <w:ind w:right="0" w:firstLine="640" w:firstLineChars="200"/>
        <w:textAlignment w:val="auto"/>
        <w:outlineLvl w:val="2"/>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bCs/>
          <w:color w:val="auto"/>
          <w:kern w:val="0"/>
          <w:sz w:val="32"/>
          <w:szCs w:val="32"/>
          <w:highlight w:val="none"/>
          <w:lang w:eastAsia="zh-CN"/>
        </w:rPr>
        <w:t>创新能力逐步增强</w:t>
      </w:r>
      <w:r>
        <w:rPr>
          <w:rFonts w:hint="default" w:ascii="Times New Roman" w:hAnsi="Times New Roman" w:eastAsia="方正楷体_GBK" w:cs="Times New Roman"/>
          <w:bCs/>
          <w:color w:val="auto"/>
          <w:kern w:val="0"/>
          <w:sz w:val="32"/>
          <w:szCs w:val="32"/>
          <w:highlight w:val="none"/>
        </w:rPr>
        <w:t>。</w:t>
      </w:r>
      <w:r>
        <w:rPr>
          <w:rFonts w:hint="default" w:ascii="Times New Roman" w:hAnsi="Times New Roman" w:eastAsia="方正仿宋_GBK" w:cs="Times New Roman"/>
          <w:color w:val="auto"/>
          <w:sz w:val="32"/>
          <w:szCs w:val="32"/>
          <w:highlight w:val="none"/>
          <w:shd w:val="clear"/>
          <w:lang w:val="en-US" w:eastAsia="zh-CN"/>
        </w:rPr>
        <w:t>高新技术企业达590家，</w:t>
      </w:r>
      <w:r>
        <w:rPr>
          <w:rFonts w:hint="default" w:ascii="Times New Roman" w:hAnsi="Times New Roman" w:eastAsia="方正仿宋_GBK" w:cs="Times New Roman"/>
          <w:color w:val="auto"/>
          <w:sz w:val="32"/>
          <w:szCs w:val="32"/>
          <w:highlight w:val="none"/>
          <w:lang w:val="en-US" w:eastAsia="zh-CN"/>
        </w:rPr>
        <w:t>科技型中小企业评价超1300家，新增国家级专精特新“小巨人”企业5家、国家知识产权优势示范企业2家。</w:t>
      </w:r>
      <w:r>
        <w:rPr>
          <w:rFonts w:hint="default" w:ascii="Times New Roman" w:hAnsi="Times New Roman" w:eastAsia="方正仿宋_GBK" w:cs="Times New Roman"/>
          <w:b w:val="0"/>
          <w:bCs w:val="0"/>
          <w:snapToGrid w:val="0"/>
          <w:color w:val="auto"/>
          <w:kern w:val="0"/>
          <w:sz w:val="32"/>
          <w:szCs w:val="32"/>
          <w:highlight w:val="none"/>
          <w:lang w:val="en-US" w:eastAsia="zh-CN"/>
        </w:rPr>
        <w:t>南航大、55所通过首批国家重点实验室重组，</w:t>
      </w:r>
      <w:r>
        <w:rPr>
          <w:rFonts w:hint="default" w:ascii="Times New Roman" w:hAnsi="Times New Roman" w:eastAsia="方正仿宋_GBK" w:cs="Times New Roman"/>
          <w:b w:val="0"/>
          <w:bCs w:val="0"/>
          <w:color w:val="auto"/>
          <w:kern w:val="2"/>
          <w:sz w:val="32"/>
          <w:szCs w:val="32"/>
          <w:highlight w:val="none"/>
          <w:lang w:val="en-US" w:eastAsia="zh-CN"/>
        </w:rPr>
        <w:t>2</w:t>
      </w:r>
      <w:r>
        <w:rPr>
          <w:rFonts w:hint="default" w:ascii="Times New Roman" w:hAnsi="Times New Roman" w:eastAsia="方正仿宋_GBK" w:cs="Times New Roman"/>
          <w:b w:val="0"/>
          <w:bCs w:val="0"/>
          <w:color w:val="auto"/>
          <w:kern w:val="2"/>
          <w:sz w:val="32"/>
          <w:szCs w:val="32"/>
          <w:highlight w:val="none"/>
          <w:lang w:val="zh-CN"/>
        </w:rPr>
        <w:t>家企业获评</w:t>
      </w:r>
      <w:r>
        <w:rPr>
          <w:rFonts w:hint="default" w:ascii="Times New Roman" w:hAnsi="Times New Roman" w:eastAsia="方正仿宋_GBK" w:cs="Times New Roman"/>
          <w:b w:val="0"/>
          <w:bCs w:val="0"/>
          <w:color w:val="auto"/>
          <w:kern w:val="2"/>
          <w:sz w:val="32"/>
          <w:szCs w:val="32"/>
          <w:highlight w:val="none"/>
          <w:lang w:val="en-US" w:eastAsia="zh-CN"/>
        </w:rPr>
        <w:t>省级</w:t>
      </w:r>
      <w:r>
        <w:rPr>
          <w:rFonts w:hint="default" w:ascii="Times New Roman" w:hAnsi="Times New Roman" w:eastAsia="方正仿宋_GBK" w:cs="Times New Roman"/>
          <w:b w:val="0"/>
          <w:bCs w:val="0"/>
          <w:color w:val="auto"/>
          <w:kern w:val="2"/>
          <w:sz w:val="32"/>
          <w:szCs w:val="32"/>
          <w:highlight w:val="none"/>
          <w:lang w:val="zh-CN"/>
        </w:rPr>
        <w:t>工程研究中心，</w:t>
      </w:r>
      <w:r>
        <w:rPr>
          <w:rFonts w:hint="default" w:ascii="Times New Roman" w:hAnsi="Times New Roman" w:eastAsia="方正仿宋_GBK" w:cs="Times New Roman"/>
          <w:color w:val="auto"/>
          <w:sz w:val="32"/>
          <w:szCs w:val="32"/>
          <w:highlight w:val="none"/>
          <w:lang w:val="en-US" w:eastAsia="zh-CN"/>
        </w:rPr>
        <w:t>2家单位</w:t>
      </w:r>
      <w:r>
        <w:rPr>
          <w:rFonts w:hint="default" w:ascii="Times New Roman" w:hAnsi="Times New Roman" w:eastAsia="方正仿宋_GBK" w:cs="Times New Roman"/>
          <w:color w:val="auto"/>
          <w:sz w:val="32"/>
          <w:szCs w:val="32"/>
          <w:highlight w:val="none"/>
        </w:rPr>
        <w:t>入选省级大学科技园</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白下高新园区获批江苏省知识产权建设示范（园区）</w:t>
      </w:r>
      <w:r>
        <w:rPr>
          <w:rFonts w:hint="default" w:ascii="Times New Roman" w:hAnsi="Times New Roman" w:eastAsia="方正仿宋_GBK" w:cs="Times New Roman"/>
          <w:color w:val="auto"/>
          <w:sz w:val="32"/>
          <w:szCs w:val="32"/>
          <w:highlight w:val="none"/>
          <w:lang w:val="en-US" w:eastAsia="zh-CN"/>
        </w:rPr>
        <w:t>。深化协同创新，</w:t>
      </w:r>
      <w:r>
        <w:rPr>
          <w:rFonts w:hint="default" w:ascii="Times New Roman" w:hAnsi="Times New Roman" w:eastAsia="方正仿宋_GBK" w:cs="Times New Roman"/>
          <w:bCs/>
          <w:color w:val="auto"/>
          <w:sz w:val="32"/>
          <w:szCs w:val="32"/>
          <w:highlight w:val="none"/>
          <w:lang w:val="en-US" w:eastAsia="zh-CN"/>
        </w:rPr>
        <w:t>成立</w:t>
      </w:r>
      <w:r>
        <w:rPr>
          <w:rFonts w:hint="default" w:ascii="Times New Roman" w:hAnsi="Times New Roman" w:eastAsia="方正仿宋_GBK" w:cs="Times New Roman"/>
          <w:color w:val="auto"/>
          <w:sz w:val="32"/>
          <w:szCs w:val="32"/>
          <w:highlight w:val="none"/>
        </w:rPr>
        <w:t>东南大学国家技术转移秦淮分中心</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新建3个海外科技联络站，拓展投资项目27个，</w:t>
      </w:r>
      <w:r>
        <w:rPr>
          <w:rFonts w:hint="default" w:ascii="Times New Roman" w:hAnsi="Times New Roman" w:eastAsia="方正仿宋_GBK" w:cs="Times New Roman"/>
          <w:color w:val="auto"/>
          <w:kern w:val="2"/>
          <w:sz w:val="32"/>
          <w:szCs w:val="32"/>
          <w:highlight w:val="none"/>
          <w:lang w:val="en-US" w:eastAsia="zh-CN" w:bidi="ar-SA"/>
        </w:rPr>
        <w:t>芬兰海外协同创新中心连续三年获市考核优秀等次。4人入选国家重点人才工程，3人入选省“双创人才”</w:t>
      </w:r>
      <w:r>
        <w:rPr>
          <w:rFonts w:hint="default" w:ascii="Times New Roman" w:hAnsi="Times New Roman" w:eastAsia="方正仿宋_GBK" w:cs="Times New Roman"/>
          <w:color w:val="auto"/>
          <w:sz w:val="32"/>
          <w:szCs w:val="32"/>
          <w:highlight w:val="none"/>
          <w:lang w:eastAsia="zh-CN"/>
        </w:rPr>
        <w:t>。</w:t>
      </w:r>
    </w:p>
    <w:p w14:paraId="736B170E">
      <w:pPr>
        <w:jc w:val="center"/>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表</w:t>
      </w:r>
      <w:r>
        <w:rPr>
          <w:rFonts w:hint="default" w:ascii="Times New Roman" w:hAnsi="Times New Roman" w:eastAsia="方正仿宋_GBK" w:cs="Times New Roman"/>
          <w:b/>
          <w:bCs/>
          <w:color w:val="auto"/>
          <w:kern w:val="0"/>
          <w:sz w:val="32"/>
          <w:szCs w:val="32"/>
          <w:highlight w:val="none"/>
          <w:lang w:eastAsia="zh-CN"/>
        </w:rPr>
        <w:t>五</w:t>
      </w:r>
      <w:r>
        <w:rPr>
          <w:rFonts w:hint="default" w:ascii="Times New Roman" w:hAnsi="Times New Roman" w:eastAsia="方正仿宋_GBK" w:cs="Times New Roman"/>
          <w:b/>
          <w:bCs/>
          <w:color w:val="auto"/>
          <w:kern w:val="0"/>
          <w:sz w:val="32"/>
          <w:szCs w:val="32"/>
          <w:highlight w:val="none"/>
        </w:rPr>
        <w:t xml:space="preserve"> 科技创新进展情况</w:t>
      </w:r>
    </w:p>
    <w:tbl>
      <w:tblPr>
        <w:tblStyle w:val="13"/>
        <w:tblW w:w="0" w:type="auto"/>
        <w:jc w:val="center"/>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Layout w:type="fixed"/>
        <w:tblCellMar>
          <w:top w:w="0" w:type="dxa"/>
          <w:left w:w="108" w:type="dxa"/>
          <w:bottom w:w="0" w:type="dxa"/>
          <w:right w:w="108" w:type="dxa"/>
        </w:tblCellMar>
      </w:tblPr>
      <w:tblGrid>
        <w:gridCol w:w="1823"/>
        <w:gridCol w:w="6997"/>
      </w:tblGrid>
      <w:tr w14:paraId="19294E90">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45" w:hRule="atLeast"/>
          <w:jc w:val="center"/>
        </w:trPr>
        <w:tc>
          <w:tcPr>
            <w:tcW w:w="1823" w:type="dxa"/>
            <w:tcBorders>
              <w:top w:val="single" w:color="000000" w:sz="6" w:space="0"/>
              <w:bottom w:val="single" w:color="000000" w:sz="6" w:space="0"/>
            </w:tcBorders>
            <w:noWrap/>
            <w:vAlign w:val="center"/>
          </w:tcPr>
          <w:p w14:paraId="578B38B5">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主要领域</w:t>
            </w:r>
          </w:p>
        </w:tc>
        <w:tc>
          <w:tcPr>
            <w:tcW w:w="6997" w:type="dxa"/>
            <w:tcBorders>
              <w:top w:val="single" w:color="000000" w:sz="6" w:space="0"/>
              <w:bottom w:val="single" w:color="000000" w:sz="6" w:space="0"/>
            </w:tcBorders>
            <w:noWrap/>
            <w:vAlign w:val="center"/>
          </w:tcPr>
          <w:p w14:paraId="7748F9BE">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主要进展</w:t>
            </w:r>
          </w:p>
        </w:tc>
      </w:tr>
      <w:tr w14:paraId="4D1BA2BE">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915" w:hRule="atLeast"/>
          <w:jc w:val="center"/>
        </w:trPr>
        <w:tc>
          <w:tcPr>
            <w:tcW w:w="1823" w:type="dxa"/>
            <w:tcBorders>
              <w:top w:val="single" w:color="000000" w:sz="6" w:space="0"/>
              <w:bottom w:val="single" w:color="000000" w:sz="6" w:space="0"/>
            </w:tcBorders>
            <w:noWrap/>
            <w:vAlign w:val="center"/>
          </w:tcPr>
          <w:p w14:paraId="21A6CD44">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企业</w:t>
            </w:r>
          </w:p>
        </w:tc>
        <w:tc>
          <w:tcPr>
            <w:tcW w:w="6997" w:type="dxa"/>
            <w:tcBorders>
              <w:top w:val="single" w:color="000000" w:sz="6" w:space="0"/>
              <w:bottom w:val="single" w:color="000000" w:sz="6" w:space="0"/>
            </w:tcBorders>
            <w:noWrap/>
            <w:vAlign w:val="center"/>
          </w:tcPr>
          <w:p w14:paraId="3304DD3B">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新研机构及关联带动企业营收</w:t>
            </w:r>
            <w:r>
              <w:rPr>
                <w:rFonts w:hint="default" w:ascii="Times New Roman" w:hAnsi="Times New Roman" w:eastAsia="方正仿宋_GBK" w:cs="Times New Roman"/>
                <w:color w:val="auto"/>
                <w:kern w:val="0"/>
                <w:sz w:val="24"/>
                <w:highlight w:val="none"/>
                <w:lang w:eastAsia="zh-CN"/>
              </w:rPr>
              <w:t>预计完成</w:t>
            </w:r>
            <w:r>
              <w:rPr>
                <w:rFonts w:hint="default" w:ascii="Times New Roman" w:hAnsi="Times New Roman" w:eastAsia="方正仿宋_GBK" w:cs="Times New Roman"/>
                <w:color w:val="auto"/>
                <w:kern w:val="0"/>
                <w:sz w:val="24"/>
                <w:highlight w:val="none"/>
                <w:lang w:val="en-US" w:eastAsia="zh-CN"/>
              </w:rPr>
              <w:t>23</w:t>
            </w:r>
            <w:r>
              <w:rPr>
                <w:rFonts w:hint="default" w:ascii="Times New Roman" w:hAnsi="Times New Roman" w:eastAsia="方正仿宋_GBK" w:cs="Times New Roman"/>
                <w:color w:val="auto"/>
                <w:kern w:val="0"/>
                <w:sz w:val="24"/>
                <w:highlight w:val="none"/>
                <w:lang w:eastAsia="zh-CN"/>
              </w:rPr>
              <w:t>亿元。</w:t>
            </w:r>
          </w:p>
          <w:p w14:paraId="117E3D3B">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eastAsia="zh-CN"/>
              </w:rPr>
              <w:t>企业研发投入</w:t>
            </w:r>
            <w:r>
              <w:rPr>
                <w:rFonts w:hint="eastAsia" w:ascii="Times New Roman" w:hAnsi="Times New Roman" w:eastAsia="方正仿宋_GBK" w:cs="Times New Roman"/>
                <w:color w:val="auto"/>
                <w:kern w:val="0"/>
                <w:sz w:val="24"/>
                <w:highlight w:val="none"/>
                <w:lang w:val="en-US" w:eastAsia="zh-CN"/>
              </w:rPr>
              <w:t>增长18</w:t>
            </w:r>
            <w:r>
              <w:rPr>
                <w:rFonts w:hint="default" w:ascii="Times New Roman" w:hAnsi="Times New Roman" w:eastAsia="方正仿宋_GBK" w:cs="Times New Roman"/>
                <w:color w:val="auto"/>
                <w:kern w:val="0"/>
                <w:sz w:val="24"/>
                <w:highlight w:val="none"/>
                <w:lang w:eastAsia="zh-CN"/>
              </w:rPr>
              <w:t>%。</w:t>
            </w:r>
          </w:p>
          <w:p w14:paraId="700EB98B">
            <w:pPr>
              <w:pStyle w:val="1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val="en-US" w:eastAsia="zh-CN"/>
              </w:rPr>
              <w:t>新增孵化器在孵企业202家，2022年度省科技企业孵化器绩效评价，优良数位居全市第二，主城第一。</w:t>
            </w:r>
          </w:p>
          <w:p w14:paraId="625A93C1">
            <w:pPr>
              <w:pStyle w:val="19"/>
              <w:rPr>
                <w:rFonts w:hint="default" w:ascii="Times New Roman" w:hAnsi="Times New Roman" w:eastAsia="方正仿宋_GBK" w:cs="Times New Roman"/>
                <w:color w:val="auto"/>
                <w:kern w:val="0"/>
                <w:sz w:val="24"/>
                <w:highlight w:val="none"/>
              </w:rPr>
            </w:pPr>
            <w:r>
              <w:rPr>
                <w:rFonts w:hint="default" w:ascii="Times New Roman" w:hAnsi="Times New Roman" w:cs="Times New Roman"/>
                <w:color w:val="auto"/>
                <w:kern w:val="0"/>
                <w:sz w:val="24"/>
                <w:highlight w:val="none"/>
                <w:lang w:eastAsia="zh-CN"/>
              </w:rPr>
              <w:t>新增省级专精特新企业</w:t>
            </w:r>
            <w:r>
              <w:rPr>
                <w:rFonts w:hint="eastAsia" w:cs="Times New Roman"/>
                <w:color w:val="auto"/>
                <w:kern w:val="0"/>
                <w:sz w:val="24"/>
                <w:highlight w:val="none"/>
                <w:lang w:val="en-US" w:eastAsia="zh-CN"/>
              </w:rPr>
              <w:t>25</w:t>
            </w:r>
            <w:r>
              <w:rPr>
                <w:rFonts w:hint="default" w:ascii="Times New Roman" w:hAnsi="Times New Roman" w:cs="Times New Roman"/>
                <w:color w:val="auto"/>
                <w:kern w:val="0"/>
                <w:sz w:val="24"/>
                <w:highlight w:val="none"/>
                <w:lang w:val="en-US" w:eastAsia="zh-CN"/>
              </w:rPr>
              <w:t>家，</w:t>
            </w:r>
            <w:r>
              <w:rPr>
                <w:rFonts w:hint="eastAsia" w:cs="Times New Roman"/>
                <w:color w:val="auto"/>
                <w:kern w:val="0"/>
                <w:sz w:val="24"/>
                <w:highlight w:val="none"/>
                <w:lang w:val="en-US" w:eastAsia="zh-CN"/>
              </w:rPr>
              <w:t>新认定7家</w:t>
            </w:r>
            <w:r>
              <w:rPr>
                <w:rFonts w:hint="default" w:ascii="Times New Roman" w:hAnsi="Times New Roman" w:eastAsia="方正仿宋_GBK" w:cs="Times New Roman"/>
                <w:color w:val="auto"/>
                <w:kern w:val="0"/>
                <w:sz w:val="24"/>
                <w:highlight w:val="none"/>
                <w:lang w:val="en-US" w:eastAsia="zh-CN"/>
              </w:rPr>
              <w:t>培育独角兽</w:t>
            </w:r>
            <w:r>
              <w:rPr>
                <w:rFonts w:hint="eastAsia" w:cs="Times New Roman"/>
                <w:color w:val="auto"/>
                <w:kern w:val="0"/>
                <w:sz w:val="24"/>
                <w:highlight w:val="none"/>
                <w:lang w:val="en-US" w:eastAsia="zh-CN"/>
              </w:rPr>
              <w:t>企业、14家</w:t>
            </w:r>
            <w:r>
              <w:rPr>
                <w:rFonts w:hint="default" w:ascii="Times New Roman" w:hAnsi="Times New Roman" w:eastAsia="方正仿宋_GBK" w:cs="Times New Roman"/>
                <w:color w:val="auto"/>
                <w:kern w:val="0"/>
                <w:sz w:val="24"/>
                <w:highlight w:val="none"/>
                <w:lang w:val="en-US" w:eastAsia="zh-CN"/>
              </w:rPr>
              <w:t>瞪羚企业</w:t>
            </w:r>
            <w:r>
              <w:rPr>
                <w:rFonts w:hint="default" w:ascii="Times New Roman" w:hAnsi="Times New Roman" w:cs="Times New Roman"/>
                <w:color w:val="auto"/>
                <w:kern w:val="0"/>
                <w:sz w:val="24"/>
                <w:highlight w:val="none"/>
                <w:lang w:val="en-US" w:eastAsia="zh-CN"/>
              </w:rPr>
              <w:t>。</w:t>
            </w:r>
          </w:p>
          <w:p w14:paraId="14D1F22B">
            <w:pPr>
              <w:pStyle w:val="19"/>
              <w:rPr>
                <w:rFonts w:hint="default" w:ascii="Times New Roman" w:hAnsi="Times New Roman" w:eastAsia="方正仿宋_GBK" w:cs="Times New Roman"/>
                <w:color w:val="auto"/>
                <w:kern w:val="0"/>
                <w:sz w:val="24"/>
                <w:highlight w:val="none"/>
              </w:rPr>
            </w:pPr>
            <w:r>
              <w:rPr>
                <w:rFonts w:hint="default" w:ascii="Times New Roman" w:hAnsi="Times New Roman" w:cs="Times New Roman"/>
                <w:color w:val="auto"/>
                <w:kern w:val="0"/>
                <w:sz w:val="24"/>
                <w:highlight w:val="none"/>
                <w:lang w:val="zh-CN" w:eastAsia="zh-CN"/>
              </w:rPr>
              <w:t>新建市级以上工程技术研究中心10家</w:t>
            </w:r>
            <w:r>
              <w:rPr>
                <w:rFonts w:hint="default" w:ascii="Times New Roman" w:hAnsi="Times New Roman" w:cs="Times New Roman"/>
                <w:color w:val="auto"/>
                <w:kern w:val="0"/>
                <w:sz w:val="24"/>
                <w:highlight w:val="none"/>
                <w:lang w:val="zh-CN"/>
              </w:rPr>
              <w:t>。</w:t>
            </w:r>
          </w:p>
        </w:tc>
      </w:tr>
      <w:tr w14:paraId="7BDD86C2">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90" w:hRule="atLeast"/>
          <w:jc w:val="center"/>
        </w:trPr>
        <w:tc>
          <w:tcPr>
            <w:tcW w:w="1823" w:type="dxa"/>
            <w:tcBorders>
              <w:top w:val="single" w:color="000000" w:sz="6" w:space="0"/>
              <w:bottom w:val="single" w:color="000000" w:sz="6" w:space="0"/>
            </w:tcBorders>
            <w:noWrap/>
            <w:vAlign w:val="center"/>
          </w:tcPr>
          <w:p w14:paraId="246C80F9">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人才</w:t>
            </w:r>
          </w:p>
        </w:tc>
        <w:tc>
          <w:tcPr>
            <w:tcW w:w="6997" w:type="dxa"/>
            <w:tcBorders>
              <w:top w:val="single" w:color="000000" w:sz="6" w:space="0"/>
              <w:bottom w:val="single" w:color="000000" w:sz="6" w:space="0"/>
            </w:tcBorders>
            <w:noWrap/>
            <w:vAlign w:val="center"/>
          </w:tcPr>
          <w:p w14:paraId="75EA751C">
            <w:pPr>
              <w:pStyle w:val="19"/>
              <w:rPr>
                <w:rFonts w:hint="default" w:ascii="Times New Roman" w:hAnsi="Times New Roman" w:cs="Times New Roman"/>
                <w:color w:val="auto"/>
                <w:kern w:val="0"/>
                <w:highlight w:val="none"/>
              </w:rPr>
            </w:pPr>
            <w:r>
              <w:rPr>
                <w:rFonts w:hint="eastAsia" w:cs="Times New Roman"/>
                <w:color w:val="auto"/>
                <w:kern w:val="0"/>
                <w:highlight w:val="none"/>
                <w:lang w:val="en-US" w:eastAsia="zh-CN"/>
              </w:rPr>
              <w:t>13人入选</w:t>
            </w:r>
            <w:r>
              <w:rPr>
                <w:rFonts w:hint="default" w:ascii="Times New Roman" w:hAnsi="Times New Roman" w:cs="Times New Roman"/>
                <w:color w:val="auto"/>
                <w:kern w:val="0"/>
                <w:highlight w:val="none"/>
                <w:lang w:val="en-US" w:eastAsia="zh-CN"/>
              </w:rPr>
              <w:t>省“双创博士”</w:t>
            </w:r>
            <w:r>
              <w:rPr>
                <w:rFonts w:hint="eastAsia" w:cs="Times New Roman"/>
                <w:color w:val="auto"/>
                <w:kern w:val="0"/>
                <w:highlight w:val="none"/>
                <w:lang w:val="en-US" w:eastAsia="zh-CN"/>
              </w:rPr>
              <w:t>。</w:t>
            </w:r>
          </w:p>
          <w:p w14:paraId="262C84CF">
            <w:pPr>
              <w:pStyle w:val="19"/>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lang w:val="en-US" w:eastAsia="zh-CN"/>
              </w:rPr>
              <w:t>2名海外人才因接近国家入选标准直接纳入省级计划支持。</w:t>
            </w:r>
          </w:p>
          <w:p w14:paraId="23ABA1CB">
            <w:pPr>
              <w:pStyle w:val="19"/>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秦淮硅巷实验室汇聚高校教授、行业专家以及投资达人138名</w:t>
            </w:r>
            <w:r>
              <w:rPr>
                <w:rFonts w:hint="default" w:ascii="Times New Roman" w:hAnsi="Times New Roman" w:cs="Times New Roman"/>
                <w:color w:val="auto"/>
                <w:kern w:val="0"/>
                <w:highlight w:val="none"/>
                <w:lang w:eastAsia="zh-CN"/>
              </w:rPr>
              <w:t>。</w:t>
            </w:r>
          </w:p>
        </w:tc>
      </w:tr>
      <w:tr w14:paraId="79D77CB9">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90" w:hRule="atLeast"/>
          <w:jc w:val="center"/>
        </w:trPr>
        <w:tc>
          <w:tcPr>
            <w:tcW w:w="1823" w:type="dxa"/>
            <w:tcBorders>
              <w:top w:val="single" w:color="000000" w:sz="6" w:space="0"/>
              <w:bottom w:val="single" w:color="000000" w:sz="6" w:space="0"/>
            </w:tcBorders>
            <w:noWrap/>
            <w:vAlign w:val="center"/>
          </w:tcPr>
          <w:p w14:paraId="79CAE67D">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载体</w:t>
            </w:r>
          </w:p>
        </w:tc>
        <w:tc>
          <w:tcPr>
            <w:tcW w:w="6997" w:type="dxa"/>
            <w:tcBorders>
              <w:top w:val="single" w:color="000000" w:sz="6" w:space="0"/>
              <w:bottom w:val="single" w:color="000000" w:sz="6" w:space="0"/>
            </w:tcBorders>
            <w:noWrap/>
            <w:vAlign w:val="center"/>
          </w:tcPr>
          <w:p w14:paraId="14E3E0D4">
            <w:pPr>
              <w:pStyle w:val="19"/>
              <w:rPr>
                <w:rFonts w:hint="default" w:ascii="Times New Roman" w:hAnsi="Times New Roman" w:cs="Times New Roman"/>
                <w:strike w:val="0"/>
                <w:dstrike w:val="0"/>
                <w:color w:val="auto"/>
                <w:highlight w:val="none"/>
              </w:rPr>
            </w:pPr>
            <w:r>
              <w:rPr>
                <w:rFonts w:hint="default" w:ascii="Times New Roman" w:hAnsi="Times New Roman" w:cs="Times New Roman"/>
                <w:strike w:val="0"/>
                <w:dstrike w:val="0"/>
                <w:color w:val="auto"/>
                <w:highlight w:val="none"/>
                <w:lang w:val="en-US" w:eastAsia="zh-CN"/>
              </w:rPr>
              <w:t>秦淮硅巷科创载体累计达121万平方米。</w:t>
            </w:r>
          </w:p>
          <w:p w14:paraId="19E817D5">
            <w:pPr>
              <w:pStyle w:val="19"/>
              <w:rPr>
                <w:rFonts w:hint="default" w:ascii="Times New Roman" w:hAnsi="Times New Roman" w:cs="Times New Roman"/>
                <w:strike w:val="0"/>
                <w:dstrike w:val="0"/>
                <w:color w:val="auto"/>
                <w:highlight w:val="none"/>
              </w:rPr>
            </w:pPr>
            <w:r>
              <w:rPr>
                <w:rFonts w:hint="default" w:ascii="Times New Roman" w:hAnsi="Times New Roman" w:cs="Times New Roman"/>
                <w:strike w:val="0"/>
                <w:dstrike w:val="0"/>
                <w:color w:val="auto"/>
                <w:highlight w:val="none"/>
                <w:lang w:val="en-US" w:eastAsia="zh-CN"/>
              </w:rPr>
              <w:t>至美科技广场、秦淮硅巷·航空发展大楼等项目进行主体施工。</w:t>
            </w:r>
          </w:p>
          <w:p w14:paraId="1DAFE16C">
            <w:pPr>
              <w:pStyle w:val="19"/>
              <w:rPr>
                <w:rFonts w:hint="default" w:ascii="Times New Roman" w:hAnsi="Times New Roman" w:cs="Times New Roman"/>
                <w:strike w:val="0"/>
                <w:dstrike w:val="0"/>
                <w:color w:val="auto"/>
                <w:highlight w:val="none"/>
              </w:rPr>
            </w:pPr>
            <w:r>
              <w:rPr>
                <w:rFonts w:hint="default" w:ascii="Times New Roman" w:hAnsi="Times New Roman" w:cs="Times New Roman"/>
                <w:strike w:val="0"/>
                <w:dstrike w:val="0"/>
                <w:color w:val="auto"/>
                <w:highlight w:val="none"/>
              </w:rPr>
              <w:t>数字经济创新园</w:t>
            </w:r>
            <w:r>
              <w:rPr>
                <w:rFonts w:hint="default" w:ascii="Times New Roman" w:hAnsi="Times New Roman" w:cs="Times New Roman"/>
                <w:strike w:val="0"/>
                <w:dstrike w:val="0"/>
                <w:color w:val="auto"/>
                <w:highlight w:val="none"/>
                <w:lang w:val="en-US" w:eastAsia="zh-CN"/>
              </w:rPr>
              <w:t>开展室外施工。</w:t>
            </w:r>
          </w:p>
          <w:p w14:paraId="130C0FE2">
            <w:pPr>
              <w:pStyle w:val="19"/>
              <w:rPr>
                <w:rFonts w:hint="default" w:ascii="Times New Roman" w:hAnsi="Times New Roman" w:cs="Times New Roman"/>
                <w:color w:val="auto"/>
                <w:kern w:val="0"/>
                <w:highlight w:val="none"/>
              </w:rPr>
            </w:pPr>
            <w:r>
              <w:rPr>
                <w:rFonts w:hint="default" w:ascii="Times New Roman" w:hAnsi="Times New Roman" w:cs="Times New Roman"/>
                <w:strike w:val="0"/>
                <w:dstrike w:val="0"/>
                <w:color w:val="auto"/>
                <w:highlight w:val="none"/>
              </w:rPr>
              <w:t>天安数码城二期</w:t>
            </w:r>
            <w:r>
              <w:rPr>
                <w:rFonts w:hint="default" w:ascii="Times New Roman" w:hAnsi="Times New Roman" w:cs="Times New Roman"/>
                <w:strike w:val="0"/>
                <w:dstrike w:val="0"/>
                <w:color w:val="auto"/>
                <w:highlight w:val="none"/>
                <w:lang w:val="en-US" w:eastAsia="zh-CN"/>
              </w:rPr>
              <w:t>已开园。</w:t>
            </w:r>
          </w:p>
        </w:tc>
      </w:tr>
      <w:tr w14:paraId="1C06AA6D">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90" w:hRule="atLeast"/>
          <w:jc w:val="center"/>
        </w:trPr>
        <w:tc>
          <w:tcPr>
            <w:tcW w:w="1823" w:type="dxa"/>
            <w:tcBorders>
              <w:top w:val="single" w:color="000000" w:sz="6" w:space="0"/>
              <w:bottom w:val="single" w:color="000000" w:sz="6" w:space="0"/>
            </w:tcBorders>
            <w:noWrap/>
            <w:vAlign w:val="center"/>
          </w:tcPr>
          <w:p w14:paraId="6056A3B8">
            <w:pPr>
              <w:spacing w:line="300" w:lineRule="exact"/>
              <w:jc w:val="center"/>
              <w:rPr>
                <w:rFonts w:hint="default" w:ascii="Times New Roman" w:hAnsi="Times New Roman" w:eastAsia="方正仿宋_GBK" w:cs="Times New Roman"/>
                <w:b/>
                <w:iCs/>
                <w:color w:val="auto"/>
                <w:kern w:val="0"/>
                <w:sz w:val="24"/>
                <w:highlight w:val="none"/>
                <w:lang w:val="en-US" w:eastAsia="zh-CN"/>
              </w:rPr>
            </w:pPr>
            <w:r>
              <w:rPr>
                <w:rFonts w:hint="default" w:ascii="Times New Roman" w:hAnsi="Times New Roman" w:eastAsia="方正仿宋_GBK" w:cs="Times New Roman"/>
                <w:b/>
                <w:iCs/>
                <w:color w:val="auto"/>
                <w:kern w:val="0"/>
                <w:sz w:val="24"/>
                <w:highlight w:val="none"/>
                <w:lang w:val="en-US" w:eastAsia="zh-CN"/>
              </w:rPr>
              <w:t>其他</w:t>
            </w:r>
          </w:p>
        </w:tc>
        <w:tc>
          <w:tcPr>
            <w:tcW w:w="6997" w:type="dxa"/>
            <w:tcBorders>
              <w:top w:val="single" w:color="000000" w:sz="6" w:space="0"/>
              <w:bottom w:val="single" w:color="000000" w:sz="6" w:space="0"/>
            </w:tcBorders>
            <w:noWrap/>
            <w:vAlign w:val="center"/>
          </w:tcPr>
          <w:p w14:paraId="742AEE11">
            <w:pPr>
              <w:pStyle w:val="19"/>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有效</w:t>
            </w:r>
            <w:r>
              <w:rPr>
                <w:rFonts w:hint="default" w:ascii="Times New Roman" w:hAnsi="Times New Roman" w:cs="Times New Roman"/>
                <w:color w:val="auto"/>
                <w:highlight w:val="none"/>
              </w:rPr>
              <w:t>发明专利</w:t>
            </w:r>
            <w:r>
              <w:rPr>
                <w:rFonts w:hint="default" w:ascii="Times New Roman" w:hAnsi="Times New Roman" w:cs="Times New Roman"/>
                <w:color w:val="auto"/>
                <w:highlight w:val="none"/>
                <w:lang w:eastAsia="zh-CN"/>
              </w:rPr>
              <w:t>拥有量达</w:t>
            </w:r>
            <w:r>
              <w:rPr>
                <w:rFonts w:hint="default" w:ascii="Times New Roman" w:hAnsi="Times New Roman" w:cs="Times New Roman"/>
                <w:color w:val="auto"/>
                <w:highlight w:val="none"/>
                <w:lang w:val="en-US" w:eastAsia="zh-CN"/>
              </w:rPr>
              <w:t>12800</w:t>
            </w:r>
            <w:r>
              <w:rPr>
                <w:rFonts w:hint="default" w:ascii="Times New Roman" w:hAnsi="Times New Roman" w:cs="Times New Roman"/>
                <w:color w:val="auto"/>
                <w:highlight w:val="none"/>
              </w:rPr>
              <w:t>件，技术合同成交额</w:t>
            </w:r>
            <w:r>
              <w:rPr>
                <w:rFonts w:hint="default" w:ascii="Times New Roman" w:hAnsi="Times New Roman" w:cs="Times New Roman"/>
                <w:color w:val="auto"/>
                <w:highlight w:val="none"/>
                <w:lang w:val="en-US" w:eastAsia="zh-CN"/>
              </w:rPr>
              <w:t>达86</w:t>
            </w:r>
            <w:r>
              <w:rPr>
                <w:rFonts w:hint="default" w:ascii="Times New Roman" w:hAnsi="Times New Roman" w:cs="Times New Roman"/>
                <w:color w:val="auto"/>
                <w:highlight w:val="none"/>
              </w:rPr>
              <w:t>亿元</w:t>
            </w:r>
            <w:r>
              <w:rPr>
                <w:rFonts w:hint="default" w:ascii="Times New Roman" w:hAnsi="Times New Roman" w:cs="Times New Roman"/>
                <w:color w:val="auto"/>
                <w:highlight w:val="none"/>
                <w:lang w:eastAsia="zh-CN"/>
              </w:rPr>
              <w:t>。</w:t>
            </w:r>
          </w:p>
          <w:p w14:paraId="0FADE75B">
            <w:pPr>
              <w:pStyle w:val="19"/>
              <w:rPr>
                <w:rFonts w:hint="default" w:ascii="Times New Roman" w:hAnsi="Times New Roman" w:cs="Times New Roman"/>
                <w:color w:val="auto"/>
                <w:highlight w:val="none"/>
              </w:rPr>
            </w:pPr>
            <w:r>
              <w:rPr>
                <w:rFonts w:hint="default" w:ascii="Times New Roman" w:hAnsi="Times New Roman" w:cs="Times New Roman"/>
                <w:color w:val="auto"/>
                <w:kern w:val="0"/>
                <w:sz w:val="24"/>
                <w:highlight w:val="none"/>
                <w:lang w:val="zh-CN"/>
              </w:rPr>
              <w:t>新增省专利导航服务基地</w:t>
            </w:r>
            <w:r>
              <w:rPr>
                <w:rFonts w:hint="default" w:ascii="Times New Roman" w:hAnsi="Times New Roman" w:cs="Times New Roman"/>
                <w:color w:val="auto"/>
                <w:kern w:val="0"/>
                <w:sz w:val="24"/>
                <w:highlight w:val="none"/>
                <w:lang w:val="en-US" w:eastAsia="zh-CN"/>
              </w:rPr>
              <w:t>1个，获南京专利奖首届金奖2项。</w:t>
            </w:r>
          </w:p>
          <w:p w14:paraId="2A74A7B4">
            <w:pPr>
              <w:pStyle w:val="19"/>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发布《金融支持科创实体经济发展行动计划》。</w:t>
            </w:r>
          </w:p>
          <w:p w14:paraId="13138CB0">
            <w:pPr>
              <w:pStyle w:val="19"/>
              <w:rPr>
                <w:rFonts w:hint="default" w:ascii="Times New Roman" w:hAnsi="Times New Roman" w:cs="Times New Roman"/>
                <w:color w:val="auto"/>
                <w:highlight w:val="none"/>
              </w:rPr>
            </w:pPr>
            <w:r>
              <w:rPr>
                <w:rFonts w:hint="default" w:ascii="Times New Roman" w:hAnsi="Times New Roman" w:cs="Times New Roman"/>
                <w:color w:val="auto"/>
                <w:highlight w:val="none"/>
              </w:rPr>
              <w:t>举办创新创业活动63场，吸纳6000多人参会</w:t>
            </w:r>
            <w:r>
              <w:rPr>
                <w:rFonts w:hint="default" w:ascii="Times New Roman" w:hAnsi="Times New Roman" w:cs="Times New Roman"/>
                <w:color w:val="auto"/>
                <w:highlight w:val="none"/>
                <w:lang w:eastAsia="zh-CN"/>
              </w:rPr>
              <w:t>。</w:t>
            </w:r>
          </w:p>
        </w:tc>
      </w:tr>
    </w:tbl>
    <w:p w14:paraId="0A764273">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方正仿宋_GBK" w:cs="Times New Roman"/>
          <w:b/>
          <w:bCs/>
          <w:color w:val="auto"/>
          <w:kern w:val="0"/>
          <w:sz w:val="32"/>
          <w:szCs w:val="32"/>
          <w:highlight w:val="none"/>
          <w:lang w:val="en-US"/>
        </w:rPr>
      </w:pPr>
      <w:r>
        <w:rPr>
          <w:rFonts w:hint="default" w:ascii="Times New Roman" w:hAnsi="Times New Roman" w:eastAsia="方正楷体_GBK" w:cs="Times New Roman"/>
          <w:bCs/>
          <w:color w:val="auto"/>
          <w:kern w:val="0"/>
          <w:sz w:val="32"/>
          <w:szCs w:val="32"/>
          <w:highlight w:val="none"/>
        </w:rPr>
        <w:t>3、</w:t>
      </w:r>
      <w:r>
        <w:rPr>
          <w:rFonts w:hint="default" w:ascii="Times New Roman" w:hAnsi="Times New Roman" w:eastAsia="方正楷体_GBK" w:cs="Times New Roman"/>
          <w:bCs/>
          <w:color w:val="auto"/>
          <w:kern w:val="0"/>
          <w:sz w:val="32"/>
          <w:szCs w:val="32"/>
          <w:highlight w:val="none"/>
          <w:lang w:eastAsia="zh-CN"/>
        </w:rPr>
        <w:t>招商引资取得实效</w:t>
      </w:r>
      <w:r>
        <w:rPr>
          <w:rFonts w:hint="default" w:ascii="Times New Roman" w:hAnsi="Times New Roman" w:eastAsia="方正楷体_GBK" w:cs="Times New Roman"/>
          <w:bCs/>
          <w:color w:val="auto"/>
          <w:kern w:val="0"/>
          <w:sz w:val="32"/>
          <w:szCs w:val="32"/>
          <w:highlight w:val="none"/>
        </w:rPr>
        <w:t>。</w:t>
      </w:r>
      <w:r>
        <w:rPr>
          <w:rFonts w:hint="default" w:ascii="Times New Roman" w:hAnsi="Times New Roman" w:eastAsia="方正仿宋_GBK" w:cs="Times New Roman"/>
          <w:color w:val="auto"/>
          <w:sz w:val="32"/>
          <w:szCs w:val="32"/>
          <w:highlight w:val="none"/>
        </w:rPr>
        <w:t>举办南京市秦淮区暨南部新城总部基地（香港）推介会、深圳“数新风，智未来”物联网产业招商座谈会</w:t>
      </w:r>
      <w:r>
        <w:rPr>
          <w:rFonts w:hint="default" w:ascii="Times New Roman" w:hAnsi="Times New Roman" w:eastAsia="方正仿宋_GBK" w:cs="Times New Roman"/>
          <w:color w:val="auto"/>
          <w:sz w:val="32"/>
          <w:szCs w:val="32"/>
          <w:highlight w:val="none"/>
          <w:lang w:eastAsia="zh-CN"/>
        </w:rPr>
        <w:t>等</w:t>
      </w:r>
      <w:r>
        <w:rPr>
          <w:rFonts w:hint="default" w:ascii="Times New Roman" w:hAnsi="Times New Roman" w:eastAsia="方正仿宋_GBK" w:cs="Times New Roman"/>
          <w:color w:val="auto"/>
          <w:sz w:val="32"/>
          <w:szCs w:val="32"/>
          <w:highlight w:val="none"/>
        </w:rPr>
        <w:t>各类招商活动</w:t>
      </w:r>
      <w:r>
        <w:rPr>
          <w:rFonts w:hint="default" w:ascii="Times New Roman" w:hAnsi="Times New Roman" w:eastAsia="方正仿宋_GBK" w:cs="Times New Roman"/>
          <w:color w:val="auto"/>
          <w:sz w:val="32"/>
          <w:szCs w:val="32"/>
          <w:highlight w:val="none"/>
          <w:lang w:val="en-US" w:eastAsia="zh-CN"/>
        </w:rPr>
        <w:t>54</w:t>
      </w:r>
      <w:r>
        <w:rPr>
          <w:rFonts w:hint="default" w:ascii="Times New Roman" w:hAnsi="Times New Roman" w:eastAsia="方正仿宋_GBK" w:cs="Times New Roman"/>
          <w:color w:val="auto"/>
          <w:sz w:val="32"/>
          <w:szCs w:val="32"/>
          <w:highlight w:val="none"/>
        </w:rPr>
        <w:t>场次</w:t>
      </w:r>
      <w:r>
        <w:rPr>
          <w:rFonts w:hint="default" w:ascii="Times New Roman" w:hAnsi="Times New Roman" w:eastAsia="方正仿宋_GBK" w:cs="Times New Roman"/>
          <w:color w:val="auto"/>
          <w:sz w:val="32"/>
          <w:szCs w:val="32"/>
          <w:highlight w:val="none"/>
          <w:lang w:eastAsia="zh-CN"/>
        </w:rPr>
        <w:t>，签约落户一批优质项目。围绕主导产业强链补链，引进希尔顿大中华区财务共享中心、美团江苏、中冶天工华东、华熙集团华东等总部企业，推进和成显示、南银法巴消费金融、新东方文旅等头部企业总部项目正式运营</w:t>
      </w:r>
      <w:r>
        <w:rPr>
          <w:rFonts w:hint="default" w:ascii="Times New Roman" w:hAnsi="Times New Roman" w:eastAsia="方正仿宋_GBK" w:cs="Times New Roman"/>
          <w:bCs/>
          <w:color w:val="auto"/>
          <w:kern w:val="0"/>
          <w:sz w:val="32"/>
          <w:szCs w:val="32"/>
          <w:highlight w:val="none"/>
        </w:rPr>
        <w:t>。</w:t>
      </w:r>
      <w:r>
        <w:rPr>
          <w:rFonts w:hint="default" w:ascii="Times New Roman" w:hAnsi="Times New Roman" w:eastAsia="方正仿宋_GBK" w:cs="Times New Roman"/>
          <w:color w:val="auto"/>
          <w:sz w:val="32"/>
          <w:szCs w:val="32"/>
          <w:highlight w:val="none"/>
          <w:lang w:eastAsia="zh-CN"/>
        </w:rPr>
        <w:t>改造提升</w:t>
      </w:r>
      <w:r>
        <w:rPr>
          <w:rFonts w:hint="default" w:ascii="Times New Roman" w:hAnsi="Times New Roman" w:eastAsia="方正仿宋_GBK" w:cs="Times New Roman"/>
          <w:color w:val="auto"/>
          <w:sz w:val="32"/>
          <w:szCs w:val="32"/>
          <w:highlight w:val="none"/>
        </w:rPr>
        <w:t>双龙科技园、纺织大厦等10个</w:t>
      </w:r>
      <w:r>
        <w:rPr>
          <w:rFonts w:hint="default" w:ascii="Times New Roman" w:hAnsi="Times New Roman" w:eastAsia="方正仿宋_GBK" w:cs="Times New Roman"/>
          <w:color w:val="auto"/>
          <w:sz w:val="32"/>
          <w:szCs w:val="32"/>
          <w:highlight w:val="none"/>
          <w:lang w:eastAsia="zh-CN"/>
        </w:rPr>
        <w:t>楼宇园区</w:t>
      </w:r>
      <w:r>
        <w:rPr>
          <w:rFonts w:hint="default" w:ascii="Times New Roman" w:hAnsi="Times New Roman" w:eastAsia="方正仿宋_GBK" w:cs="Times New Roman"/>
          <w:color w:val="auto"/>
          <w:sz w:val="32"/>
          <w:szCs w:val="32"/>
          <w:highlight w:val="none"/>
        </w:rPr>
        <w:t>项目，改造面积</w:t>
      </w:r>
      <w:r>
        <w:rPr>
          <w:rFonts w:hint="default" w:ascii="Times New Roman" w:hAnsi="Times New Roman" w:eastAsia="方正仿宋_GBK" w:cs="Times New Roman"/>
          <w:color w:val="auto"/>
          <w:sz w:val="32"/>
          <w:szCs w:val="32"/>
          <w:highlight w:val="none"/>
          <w:lang w:val="en-US" w:eastAsia="zh-CN"/>
        </w:rPr>
        <w:t>近18</w:t>
      </w:r>
      <w:r>
        <w:rPr>
          <w:rFonts w:hint="default" w:ascii="Times New Roman" w:hAnsi="Times New Roman" w:eastAsia="方正仿宋_GBK" w:cs="Times New Roman"/>
          <w:color w:val="auto"/>
          <w:sz w:val="32"/>
          <w:szCs w:val="32"/>
          <w:highlight w:val="none"/>
        </w:rPr>
        <w:t>万平方米，</w:t>
      </w:r>
      <w:r>
        <w:rPr>
          <w:rFonts w:hint="default" w:ascii="Times New Roman" w:hAnsi="Times New Roman" w:eastAsia="方正仿宋_GBK" w:cs="Times New Roman"/>
          <w:color w:val="auto"/>
          <w:sz w:val="32"/>
          <w:szCs w:val="32"/>
          <w:highlight w:val="none"/>
          <w:lang w:eastAsia="zh-CN"/>
        </w:rPr>
        <w:t>全区新增亿元楼宇</w:t>
      </w:r>
      <w:r>
        <w:rPr>
          <w:rFonts w:hint="default" w:ascii="Times New Roman" w:hAnsi="Times New Roman" w:eastAsia="方正仿宋_GBK" w:cs="Times New Roman"/>
          <w:color w:val="auto"/>
          <w:sz w:val="32"/>
          <w:szCs w:val="32"/>
          <w:highlight w:val="none"/>
          <w:lang w:val="en-US" w:eastAsia="zh-CN"/>
        </w:rPr>
        <w:t>2栋</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bCs/>
          <w:color w:val="auto"/>
          <w:kern w:val="0"/>
          <w:sz w:val="32"/>
          <w:szCs w:val="32"/>
          <w:highlight w:val="none"/>
          <w:lang w:eastAsia="zh-CN"/>
        </w:rPr>
        <w:t>预计完成实际利用内资</w:t>
      </w:r>
      <w:r>
        <w:rPr>
          <w:rFonts w:hint="default" w:ascii="Times New Roman" w:hAnsi="Times New Roman" w:eastAsia="方正仿宋_GBK" w:cs="Times New Roman"/>
          <w:bCs/>
          <w:color w:val="auto"/>
          <w:kern w:val="0"/>
          <w:sz w:val="32"/>
          <w:szCs w:val="32"/>
          <w:highlight w:val="none"/>
          <w:lang w:val="en-US" w:eastAsia="zh-CN"/>
        </w:rPr>
        <w:t>121亿元，亿元以上签约项目</w:t>
      </w:r>
      <w:r>
        <w:rPr>
          <w:rFonts w:hint="eastAsia" w:ascii="Times New Roman" w:hAnsi="Times New Roman" w:eastAsia="方正仿宋_GBK" w:cs="Times New Roman"/>
          <w:bCs/>
          <w:color w:val="auto"/>
          <w:kern w:val="0"/>
          <w:sz w:val="32"/>
          <w:szCs w:val="32"/>
          <w:highlight w:val="none"/>
          <w:lang w:val="en-US" w:eastAsia="zh-CN"/>
        </w:rPr>
        <w:t>开工运营</w:t>
      </w:r>
      <w:r>
        <w:rPr>
          <w:rFonts w:hint="default" w:ascii="Times New Roman" w:hAnsi="Times New Roman" w:eastAsia="方正仿宋_GBK" w:cs="Times New Roman"/>
          <w:bCs/>
          <w:color w:val="auto"/>
          <w:kern w:val="0"/>
          <w:sz w:val="32"/>
          <w:szCs w:val="32"/>
          <w:highlight w:val="none"/>
          <w:lang w:val="en-US" w:eastAsia="zh-CN"/>
        </w:rPr>
        <w:t>1</w:t>
      </w:r>
      <w:r>
        <w:rPr>
          <w:rFonts w:hint="eastAsia" w:ascii="Times New Roman" w:hAnsi="Times New Roman" w:eastAsia="方正仿宋_GBK" w:cs="Times New Roman"/>
          <w:bCs/>
          <w:color w:val="auto"/>
          <w:kern w:val="0"/>
          <w:sz w:val="32"/>
          <w:szCs w:val="32"/>
          <w:highlight w:val="none"/>
          <w:lang w:val="en-US" w:eastAsia="zh-CN"/>
        </w:rPr>
        <w:t>03</w:t>
      </w:r>
      <w:r>
        <w:rPr>
          <w:rFonts w:hint="default" w:ascii="Times New Roman" w:hAnsi="Times New Roman" w:eastAsia="方正仿宋_GBK" w:cs="Times New Roman"/>
          <w:bCs/>
          <w:color w:val="auto"/>
          <w:kern w:val="0"/>
          <w:sz w:val="32"/>
          <w:szCs w:val="32"/>
          <w:highlight w:val="none"/>
          <w:lang w:val="en-US" w:eastAsia="zh-CN"/>
        </w:rPr>
        <w:t>个。</w:t>
      </w:r>
    </w:p>
    <w:p w14:paraId="22587B12">
      <w:pPr>
        <w:jc w:val="center"/>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表</w:t>
      </w:r>
      <w:r>
        <w:rPr>
          <w:rFonts w:hint="default" w:ascii="Times New Roman" w:hAnsi="Times New Roman" w:eastAsia="方正仿宋_GBK" w:cs="Times New Roman"/>
          <w:b/>
          <w:bCs/>
          <w:color w:val="auto"/>
          <w:kern w:val="0"/>
          <w:sz w:val="32"/>
          <w:szCs w:val="32"/>
          <w:highlight w:val="none"/>
          <w:lang w:eastAsia="zh-CN"/>
        </w:rPr>
        <w:t>六</w:t>
      </w:r>
      <w:r>
        <w:rPr>
          <w:rFonts w:hint="default" w:ascii="Times New Roman" w:hAnsi="Times New Roman" w:eastAsia="方正仿宋_GBK" w:cs="Times New Roman"/>
          <w:b/>
          <w:bCs/>
          <w:color w:val="auto"/>
          <w:kern w:val="0"/>
          <w:sz w:val="32"/>
          <w:szCs w:val="32"/>
          <w:highlight w:val="none"/>
          <w:lang w:val="en-US" w:eastAsia="zh-CN"/>
        </w:rPr>
        <w:t xml:space="preserve"> </w:t>
      </w:r>
      <w:r>
        <w:rPr>
          <w:rFonts w:hint="default" w:ascii="Times New Roman" w:hAnsi="Times New Roman" w:eastAsia="方正仿宋_GBK" w:cs="Times New Roman"/>
          <w:b/>
          <w:bCs/>
          <w:color w:val="auto"/>
          <w:kern w:val="0"/>
          <w:sz w:val="32"/>
          <w:szCs w:val="32"/>
          <w:highlight w:val="none"/>
        </w:rPr>
        <w:t>招商引资进展情况</w:t>
      </w:r>
    </w:p>
    <w:tbl>
      <w:tblPr>
        <w:tblStyle w:val="13"/>
        <w:tblW w:w="0" w:type="auto"/>
        <w:jc w:val="center"/>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Layout w:type="fixed"/>
        <w:tblCellMar>
          <w:top w:w="0" w:type="dxa"/>
          <w:left w:w="108" w:type="dxa"/>
          <w:bottom w:w="0" w:type="dxa"/>
          <w:right w:w="108" w:type="dxa"/>
        </w:tblCellMar>
      </w:tblPr>
      <w:tblGrid>
        <w:gridCol w:w="2078"/>
        <w:gridCol w:w="6742"/>
      </w:tblGrid>
      <w:tr w14:paraId="6F1E2355">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24" w:hRule="atLeast"/>
          <w:jc w:val="center"/>
        </w:trPr>
        <w:tc>
          <w:tcPr>
            <w:tcW w:w="2078" w:type="dxa"/>
            <w:tcBorders>
              <w:top w:val="single" w:color="000000" w:sz="6" w:space="0"/>
              <w:bottom w:val="single" w:color="000000" w:sz="6" w:space="0"/>
            </w:tcBorders>
            <w:noWrap/>
            <w:vAlign w:val="center"/>
          </w:tcPr>
          <w:p w14:paraId="07A3349F">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主要领域</w:t>
            </w:r>
          </w:p>
        </w:tc>
        <w:tc>
          <w:tcPr>
            <w:tcW w:w="6742" w:type="dxa"/>
            <w:tcBorders>
              <w:top w:val="single" w:color="000000" w:sz="6" w:space="0"/>
              <w:bottom w:val="single" w:color="000000" w:sz="6" w:space="0"/>
            </w:tcBorders>
            <w:noWrap/>
            <w:vAlign w:val="center"/>
          </w:tcPr>
          <w:p w14:paraId="391D1A51">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主要进展</w:t>
            </w:r>
          </w:p>
        </w:tc>
      </w:tr>
      <w:tr w14:paraId="7A36A998">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960" w:hRule="atLeast"/>
          <w:jc w:val="center"/>
        </w:trPr>
        <w:tc>
          <w:tcPr>
            <w:tcW w:w="2078" w:type="dxa"/>
            <w:tcBorders>
              <w:top w:val="single" w:color="000000" w:sz="6" w:space="0"/>
              <w:bottom w:val="single" w:color="000000" w:sz="6" w:space="0"/>
            </w:tcBorders>
            <w:noWrap/>
            <w:vAlign w:val="center"/>
          </w:tcPr>
          <w:p w14:paraId="18B8A839">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指标进展</w:t>
            </w:r>
          </w:p>
        </w:tc>
        <w:tc>
          <w:tcPr>
            <w:tcW w:w="6742" w:type="dxa"/>
            <w:tcBorders>
              <w:top w:val="single" w:color="000000" w:sz="6" w:space="0"/>
              <w:bottom w:val="single" w:color="000000" w:sz="6" w:space="0"/>
            </w:tcBorders>
            <w:noWrap/>
            <w:vAlign w:val="center"/>
          </w:tcPr>
          <w:p w14:paraId="049104B4">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420" w:hanging="420"/>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val="en-US" w:eastAsia="zh-CN"/>
              </w:rPr>
              <w:t>预计完成</w:t>
            </w:r>
            <w:r>
              <w:rPr>
                <w:rFonts w:hint="default" w:ascii="Times New Roman" w:hAnsi="Times New Roman" w:eastAsia="方正仿宋_GBK" w:cs="Times New Roman"/>
                <w:color w:val="auto"/>
                <w:kern w:val="0"/>
                <w:sz w:val="24"/>
                <w:highlight w:val="none"/>
              </w:rPr>
              <w:t>实际利用内资</w:t>
            </w:r>
            <w:r>
              <w:rPr>
                <w:rFonts w:hint="default" w:ascii="Times New Roman" w:hAnsi="Times New Roman" w:eastAsia="方正仿宋_GBK" w:cs="Times New Roman"/>
                <w:color w:val="auto"/>
                <w:kern w:val="0"/>
                <w:sz w:val="24"/>
                <w:highlight w:val="none"/>
                <w:lang w:val="en-US" w:eastAsia="zh-CN"/>
              </w:rPr>
              <w:t>121</w:t>
            </w:r>
            <w:r>
              <w:rPr>
                <w:rFonts w:hint="default" w:ascii="Times New Roman" w:hAnsi="Times New Roman" w:eastAsia="方正仿宋_GBK" w:cs="Times New Roman"/>
                <w:color w:val="auto"/>
                <w:kern w:val="0"/>
                <w:sz w:val="24"/>
                <w:highlight w:val="none"/>
              </w:rPr>
              <w:t>亿元，完成全年任务</w:t>
            </w:r>
            <w:r>
              <w:rPr>
                <w:rFonts w:hint="default" w:ascii="Times New Roman" w:hAnsi="Times New Roman" w:eastAsia="方正仿宋_GBK" w:cs="Times New Roman"/>
                <w:color w:val="auto"/>
                <w:kern w:val="0"/>
                <w:sz w:val="24"/>
                <w:highlight w:val="none"/>
                <w:lang w:val="en-US" w:eastAsia="zh-CN"/>
              </w:rPr>
              <w:t>100.8</w:t>
            </w:r>
            <w:r>
              <w:rPr>
                <w:rFonts w:hint="default" w:ascii="Times New Roman" w:hAnsi="Times New Roman" w:eastAsia="方正仿宋_GBK" w:cs="Times New Roman"/>
                <w:color w:val="auto"/>
                <w:kern w:val="0"/>
                <w:sz w:val="24"/>
                <w:highlight w:val="none"/>
              </w:rPr>
              <w:t>%</w:t>
            </w:r>
            <w:r>
              <w:rPr>
                <w:rFonts w:hint="eastAsia" w:ascii="Times New Roman" w:hAnsi="Times New Roman" w:eastAsia="方正仿宋_GBK" w:cs="Times New Roman"/>
                <w:color w:val="auto"/>
                <w:kern w:val="0"/>
                <w:sz w:val="24"/>
                <w:highlight w:val="none"/>
                <w:lang w:eastAsia="zh-CN"/>
              </w:rPr>
              <w:t>。</w:t>
            </w:r>
          </w:p>
          <w:p w14:paraId="68A50CB3">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420" w:hanging="420"/>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val="en-US" w:eastAsia="zh-CN"/>
              </w:rPr>
              <w:t>预计完成亿元以上签约项目注册数14</w:t>
            </w:r>
            <w:r>
              <w:rPr>
                <w:rFonts w:hint="eastAsia" w:ascii="Times New Roman" w:hAnsi="Times New Roman" w:eastAsia="方正仿宋_GBK" w:cs="Times New Roman"/>
                <w:color w:val="auto"/>
                <w:kern w:val="0"/>
                <w:sz w:val="24"/>
                <w:highlight w:val="none"/>
                <w:lang w:val="en-US" w:eastAsia="zh-CN"/>
              </w:rPr>
              <w:t>8</w:t>
            </w:r>
            <w:r>
              <w:rPr>
                <w:rFonts w:hint="default" w:ascii="Times New Roman" w:hAnsi="Times New Roman" w:eastAsia="方正仿宋_GBK" w:cs="Times New Roman"/>
                <w:color w:val="auto"/>
                <w:kern w:val="0"/>
                <w:sz w:val="24"/>
                <w:highlight w:val="none"/>
                <w:lang w:val="en-US" w:eastAsia="zh-CN"/>
              </w:rPr>
              <w:t>个，开工</w:t>
            </w:r>
            <w:r>
              <w:rPr>
                <w:rFonts w:hint="eastAsia" w:ascii="Times New Roman" w:hAnsi="Times New Roman" w:eastAsia="方正仿宋_GBK" w:cs="Times New Roman"/>
                <w:color w:val="auto"/>
                <w:kern w:val="0"/>
                <w:sz w:val="24"/>
                <w:highlight w:val="none"/>
                <w:lang w:val="en-US" w:eastAsia="zh-CN"/>
              </w:rPr>
              <w:t>运营103个，注册数、开工/运营数均位列主城第1。</w:t>
            </w:r>
          </w:p>
        </w:tc>
      </w:tr>
      <w:tr w14:paraId="5393011C">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90" w:hRule="atLeast"/>
          <w:jc w:val="center"/>
        </w:trPr>
        <w:tc>
          <w:tcPr>
            <w:tcW w:w="2078" w:type="dxa"/>
            <w:tcBorders>
              <w:top w:val="single" w:color="000000" w:sz="6" w:space="0"/>
              <w:bottom w:val="single" w:color="000000" w:sz="6" w:space="0"/>
            </w:tcBorders>
            <w:noWrap/>
            <w:vAlign w:val="center"/>
          </w:tcPr>
          <w:p w14:paraId="0132EF42">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招商成效</w:t>
            </w:r>
          </w:p>
        </w:tc>
        <w:tc>
          <w:tcPr>
            <w:tcW w:w="6742" w:type="dxa"/>
            <w:tcBorders>
              <w:top w:val="single" w:color="000000" w:sz="6" w:space="0"/>
              <w:bottom w:val="single" w:color="000000" w:sz="6" w:space="0"/>
            </w:tcBorders>
            <w:noWrap/>
            <w:vAlign w:val="center"/>
          </w:tcPr>
          <w:p w14:paraId="0EC40E52">
            <w:pPr>
              <w:keepNext w:val="0"/>
              <w:keepLines w:val="0"/>
              <w:pageBreakBefore w:val="0"/>
              <w:widowControl w:val="0"/>
              <w:numPr>
                <w:ilvl w:val="0"/>
                <w:numId w:val="2"/>
              </w:numPr>
              <w:kinsoku/>
              <w:wordWrap/>
              <w:overflowPunct/>
              <w:topLinePunct w:val="0"/>
              <w:autoSpaceDE/>
              <w:autoSpaceDN/>
              <w:bidi w:val="0"/>
              <w:adjustRightInd/>
              <w:snapToGrid/>
              <w:spacing w:line="290" w:lineRule="exact"/>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eastAsia="zh-CN"/>
              </w:rPr>
              <w:t>举办</w:t>
            </w:r>
            <w:r>
              <w:rPr>
                <w:rFonts w:hint="default" w:ascii="Times New Roman" w:hAnsi="Times New Roman" w:eastAsia="方正仿宋_GBK" w:cs="Times New Roman"/>
                <w:color w:val="auto"/>
                <w:kern w:val="0"/>
                <w:sz w:val="24"/>
                <w:highlight w:val="none"/>
              </w:rPr>
              <w:t>“携手大湾区 筑梦最南京”南京市秦淮区暨南部新城总部基地（香港）推介会</w:t>
            </w:r>
            <w:r>
              <w:rPr>
                <w:rFonts w:hint="default" w:ascii="Times New Roman" w:hAnsi="Times New Roman" w:eastAsia="方正仿宋_GBK" w:cs="Times New Roman"/>
                <w:color w:val="auto"/>
                <w:kern w:val="0"/>
                <w:sz w:val="24"/>
                <w:highlight w:val="none"/>
                <w:lang w:eastAsia="zh-CN"/>
              </w:rPr>
              <w:t>，</w:t>
            </w:r>
            <w:r>
              <w:rPr>
                <w:rFonts w:hint="default" w:ascii="Times New Roman" w:hAnsi="Times New Roman" w:eastAsia="方正仿宋_GBK" w:cs="Times New Roman"/>
                <w:color w:val="auto"/>
                <w:kern w:val="0"/>
                <w:sz w:val="24"/>
                <w:highlight w:val="none"/>
              </w:rPr>
              <w:t>共签约项目13个</w:t>
            </w:r>
            <w:r>
              <w:rPr>
                <w:rFonts w:hint="default" w:ascii="Times New Roman" w:hAnsi="Times New Roman" w:eastAsia="方正仿宋_GBK" w:cs="Times New Roman"/>
                <w:color w:val="auto"/>
                <w:kern w:val="0"/>
                <w:sz w:val="24"/>
                <w:highlight w:val="none"/>
                <w:lang w:eastAsia="zh-CN"/>
              </w:rPr>
              <w:t>。</w:t>
            </w:r>
          </w:p>
          <w:p w14:paraId="59AD4736">
            <w:pPr>
              <w:keepNext w:val="0"/>
              <w:keepLines w:val="0"/>
              <w:pageBreakBefore w:val="0"/>
              <w:widowControl w:val="0"/>
              <w:numPr>
                <w:ilvl w:val="0"/>
                <w:numId w:val="2"/>
              </w:numPr>
              <w:kinsoku/>
              <w:wordWrap/>
              <w:overflowPunct/>
              <w:topLinePunct w:val="0"/>
              <w:autoSpaceDE/>
              <w:autoSpaceDN/>
              <w:bidi w:val="0"/>
              <w:adjustRightInd/>
              <w:snapToGrid/>
              <w:spacing w:line="290" w:lineRule="exact"/>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举办“秦淮最情怀·共赴新未来”南京市秦淮区文旅产业上海招商推介会，</w:t>
            </w:r>
            <w:r>
              <w:rPr>
                <w:rFonts w:hint="default" w:ascii="Times New Roman" w:hAnsi="Times New Roman" w:eastAsia="方正仿宋_GBK" w:cs="Times New Roman"/>
                <w:color w:val="auto"/>
                <w:kern w:val="0"/>
                <w:sz w:val="24"/>
                <w:highlight w:val="none"/>
                <w:lang w:eastAsia="zh-CN"/>
              </w:rPr>
              <w:t>推动</w:t>
            </w:r>
            <w:r>
              <w:rPr>
                <w:rFonts w:hint="default" w:ascii="Times New Roman" w:hAnsi="Times New Roman" w:eastAsia="方正仿宋_GBK" w:cs="Times New Roman"/>
                <w:color w:val="auto"/>
                <w:kern w:val="0"/>
                <w:sz w:val="24"/>
                <w:highlight w:val="none"/>
              </w:rPr>
              <w:t>15个具有影响力的重点项目落户秦淮</w:t>
            </w:r>
            <w:r>
              <w:rPr>
                <w:rFonts w:hint="default" w:ascii="Times New Roman" w:hAnsi="Times New Roman" w:eastAsia="方正仿宋_GBK" w:cs="Times New Roman"/>
                <w:color w:val="auto"/>
                <w:kern w:val="0"/>
                <w:sz w:val="24"/>
                <w:highlight w:val="none"/>
                <w:lang w:eastAsia="zh-CN"/>
              </w:rPr>
              <w:t>。</w:t>
            </w:r>
          </w:p>
          <w:p w14:paraId="5FA36D25">
            <w:pPr>
              <w:keepNext w:val="0"/>
              <w:keepLines w:val="0"/>
              <w:pageBreakBefore w:val="0"/>
              <w:widowControl w:val="0"/>
              <w:numPr>
                <w:ilvl w:val="0"/>
                <w:numId w:val="2"/>
              </w:numPr>
              <w:kinsoku/>
              <w:wordWrap/>
              <w:overflowPunct/>
              <w:topLinePunct w:val="0"/>
              <w:autoSpaceDE/>
              <w:autoSpaceDN/>
              <w:bidi w:val="0"/>
              <w:adjustRightInd/>
              <w:snapToGrid/>
              <w:spacing w:line="290" w:lineRule="exact"/>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比亚迪南京城市展厅正式落户壹城·悦活里商业街区。</w:t>
            </w:r>
          </w:p>
          <w:p w14:paraId="739C70C6">
            <w:pPr>
              <w:keepNext w:val="0"/>
              <w:keepLines w:val="0"/>
              <w:pageBreakBefore w:val="0"/>
              <w:widowControl w:val="0"/>
              <w:numPr>
                <w:ilvl w:val="0"/>
                <w:numId w:val="2"/>
              </w:numPr>
              <w:kinsoku/>
              <w:wordWrap/>
              <w:overflowPunct/>
              <w:topLinePunct w:val="0"/>
              <w:autoSpaceDE/>
              <w:autoSpaceDN/>
              <w:bidi w:val="0"/>
              <w:adjustRightInd/>
              <w:snapToGrid/>
              <w:spacing w:line="290" w:lineRule="exact"/>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聚焦长三角、珠三角、成渝经济区、长株潭城市圈，区主要领导</w:t>
            </w:r>
            <w:r>
              <w:rPr>
                <w:rFonts w:hint="default" w:ascii="Times New Roman" w:hAnsi="Times New Roman" w:eastAsia="方正仿宋_GBK" w:cs="Times New Roman"/>
                <w:color w:val="auto"/>
                <w:kern w:val="0"/>
                <w:sz w:val="24"/>
                <w:highlight w:val="none"/>
                <w:lang w:eastAsia="zh-CN"/>
              </w:rPr>
              <w:t>累计</w:t>
            </w:r>
            <w:r>
              <w:rPr>
                <w:rFonts w:hint="default" w:ascii="Times New Roman" w:hAnsi="Times New Roman" w:eastAsia="方正仿宋_GBK" w:cs="Times New Roman"/>
                <w:color w:val="auto"/>
                <w:kern w:val="0"/>
                <w:sz w:val="24"/>
                <w:highlight w:val="none"/>
              </w:rPr>
              <w:t>外出招商</w:t>
            </w:r>
            <w:r>
              <w:rPr>
                <w:rFonts w:hint="default" w:ascii="Times New Roman" w:hAnsi="Times New Roman" w:eastAsia="方正仿宋_GBK" w:cs="Times New Roman"/>
                <w:color w:val="auto"/>
                <w:kern w:val="0"/>
                <w:sz w:val="24"/>
                <w:highlight w:val="none"/>
                <w:lang w:val="en-US" w:eastAsia="zh-CN"/>
              </w:rPr>
              <w:t>21</w:t>
            </w:r>
            <w:r>
              <w:rPr>
                <w:rFonts w:hint="default" w:ascii="Times New Roman" w:hAnsi="Times New Roman" w:eastAsia="方正仿宋_GBK" w:cs="Times New Roman"/>
                <w:color w:val="auto"/>
                <w:kern w:val="0"/>
                <w:sz w:val="24"/>
                <w:highlight w:val="none"/>
              </w:rPr>
              <w:t>次。</w:t>
            </w:r>
          </w:p>
          <w:p w14:paraId="25D61316">
            <w:pPr>
              <w:keepNext w:val="0"/>
              <w:keepLines w:val="0"/>
              <w:pageBreakBefore w:val="0"/>
              <w:widowControl w:val="0"/>
              <w:numPr>
                <w:ilvl w:val="0"/>
                <w:numId w:val="2"/>
              </w:numPr>
              <w:kinsoku/>
              <w:wordWrap/>
              <w:overflowPunct/>
              <w:topLinePunct w:val="0"/>
              <w:autoSpaceDE/>
              <w:autoSpaceDN/>
              <w:bidi w:val="0"/>
              <w:adjustRightInd/>
              <w:snapToGrid/>
              <w:spacing w:line="290" w:lineRule="exact"/>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高质量举办“金玉良缘、秦约鹏城” 南京市秦淮区黄金珠宝产业推介交流会、“秦聚金秋 畅淮WE来”2023秦淮区暨南部新城总部经济发展推介会等活动</w:t>
            </w:r>
            <w:r>
              <w:rPr>
                <w:rFonts w:hint="default" w:ascii="Times New Roman" w:hAnsi="Times New Roman" w:eastAsia="方正仿宋_GBK" w:cs="Times New Roman"/>
                <w:color w:val="auto"/>
                <w:kern w:val="0"/>
                <w:sz w:val="24"/>
                <w:highlight w:val="none"/>
                <w:lang w:eastAsia="zh-CN"/>
              </w:rPr>
              <w:t>。</w:t>
            </w:r>
          </w:p>
        </w:tc>
      </w:tr>
      <w:tr w14:paraId="5E29EBA0">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6A4C0EB5">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楼宇园区</w:t>
            </w:r>
          </w:p>
        </w:tc>
        <w:tc>
          <w:tcPr>
            <w:tcW w:w="6742" w:type="dxa"/>
            <w:tcBorders>
              <w:top w:val="single" w:color="000000" w:sz="6" w:space="0"/>
              <w:bottom w:val="single" w:color="000000" w:sz="6" w:space="0"/>
            </w:tcBorders>
            <w:noWrap/>
            <w:vAlign w:val="center"/>
          </w:tcPr>
          <w:p w14:paraId="528384F3">
            <w:pPr>
              <w:keepNext w:val="0"/>
              <w:keepLines w:val="0"/>
              <w:pageBreakBefore w:val="0"/>
              <w:widowControl w:val="0"/>
              <w:numPr>
                <w:ilvl w:val="0"/>
                <w:numId w:val="2"/>
              </w:numPr>
              <w:kinsoku/>
              <w:wordWrap/>
              <w:overflowPunct/>
              <w:topLinePunct w:val="0"/>
              <w:autoSpaceDE/>
              <w:autoSpaceDN/>
              <w:bidi w:val="0"/>
              <w:adjustRightInd/>
              <w:snapToGrid/>
              <w:spacing w:line="290" w:lineRule="exact"/>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突出楼宇经济质效提升，全区坪效增幅稳步提升。</w:t>
            </w:r>
          </w:p>
          <w:p w14:paraId="6F8C7675">
            <w:pPr>
              <w:keepNext w:val="0"/>
              <w:keepLines w:val="0"/>
              <w:pageBreakBefore w:val="0"/>
              <w:widowControl w:val="0"/>
              <w:numPr>
                <w:ilvl w:val="0"/>
                <w:numId w:val="2"/>
              </w:numPr>
              <w:kinsoku/>
              <w:wordWrap/>
              <w:overflowPunct/>
              <w:topLinePunct w:val="0"/>
              <w:autoSpaceDE/>
              <w:autoSpaceDN/>
              <w:bidi w:val="0"/>
              <w:adjustRightInd/>
              <w:snapToGrid/>
              <w:spacing w:line="290" w:lineRule="exact"/>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太平洋保险大厦、金城大厦等楼宇税收超亿元，总税收预计达130亿元。</w:t>
            </w:r>
          </w:p>
        </w:tc>
      </w:tr>
    </w:tbl>
    <w:p w14:paraId="59779BD2">
      <w:pPr>
        <w:spacing w:line="560" w:lineRule="exact"/>
        <w:ind w:firstLine="640" w:firstLineChars="200"/>
        <w:outlineLvl w:val="1"/>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eastAsia="zh-CN"/>
        </w:rPr>
        <w:t>三</w:t>
      </w:r>
      <w:r>
        <w:rPr>
          <w:rFonts w:hint="default" w:ascii="Times New Roman" w:hAnsi="Times New Roman" w:eastAsia="方正黑体_GBK" w:cs="Times New Roman"/>
          <w:color w:val="auto"/>
          <w:kern w:val="0"/>
          <w:sz w:val="32"/>
          <w:szCs w:val="32"/>
          <w:highlight w:val="none"/>
        </w:rPr>
        <w:t>、</w:t>
      </w:r>
      <w:r>
        <w:rPr>
          <w:rFonts w:hint="default" w:ascii="Times New Roman" w:hAnsi="Times New Roman" w:eastAsia="方正黑体_GBK" w:cs="Times New Roman"/>
          <w:color w:val="auto"/>
          <w:kern w:val="0"/>
          <w:sz w:val="32"/>
          <w:szCs w:val="32"/>
          <w:highlight w:val="none"/>
          <w:lang w:eastAsia="zh-CN"/>
        </w:rPr>
        <w:t>内外兼修、建管并重</w:t>
      </w:r>
      <w:r>
        <w:rPr>
          <w:rFonts w:hint="default" w:ascii="Times New Roman" w:hAnsi="Times New Roman" w:eastAsia="方正黑体_GBK" w:cs="Times New Roman"/>
          <w:color w:val="auto"/>
          <w:kern w:val="0"/>
          <w:sz w:val="32"/>
          <w:szCs w:val="32"/>
          <w:highlight w:val="none"/>
        </w:rPr>
        <w:t>，</w:t>
      </w:r>
      <w:r>
        <w:rPr>
          <w:rFonts w:hint="default" w:ascii="Times New Roman" w:hAnsi="Times New Roman" w:eastAsia="方正黑体_GBK" w:cs="Times New Roman"/>
          <w:color w:val="auto"/>
          <w:kern w:val="0"/>
          <w:sz w:val="32"/>
          <w:szCs w:val="32"/>
          <w:highlight w:val="none"/>
          <w:lang w:eastAsia="zh-CN"/>
        </w:rPr>
        <w:t>城市面貌焕发新姿</w:t>
      </w:r>
    </w:p>
    <w:p w14:paraId="3B7EE7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方正仿宋_GBK" w:cs="Times New Roman"/>
          <w:bCs/>
          <w:color w:val="auto"/>
          <w:kern w:val="0"/>
          <w:sz w:val="32"/>
          <w:szCs w:val="32"/>
          <w:highlight w:val="none"/>
          <w:lang w:val="en-US" w:eastAsia="zh-CN"/>
        </w:rPr>
      </w:pPr>
      <w:r>
        <w:rPr>
          <w:rFonts w:hint="default" w:ascii="Times New Roman" w:hAnsi="Times New Roman" w:eastAsia="方正楷体_GBK" w:cs="Times New Roman"/>
          <w:bCs/>
          <w:color w:val="auto"/>
          <w:kern w:val="0"/>
          <w:sz w:val="32"/>
          <w:szCs w:val="32"/>
          <w:highlight w:val="none"/>
        </w:rPr>
        <w:t>1、</w:t>
      </w:r>
      <w:r>
        <w:rPr>
          <w:rFonts w:hint="default" w:ascii="Times New Roman" w:hAnsi="Times New Roman" w:eastAsia="方正楷体_GBK" w:cs="Times New Roman"/>
          <w:bCs/>
          <w:color w:val="auto"/>
          <w:kern w:val="0"/>
          <w:sz w:val="32"/>
          <w:szCs w:val="32"/>
          <w:highlight w:val="none"/>
          <w:lang w:eastAsia="zh-CN"/>
        </w:rPr>
        <w:t>区城建设一体推进。</w:t>
      </w:r>
      <w:r>
        <w:rPr>
          <w:rFonts w:hint="default" w:ascii="Times New Roman" w:hAnsi="Times New Roman" w:eastAsia="方正仿宋_GBK" w:cs="Times New Roman"/>
          <w:bCs/>
          <w:color w:val="auto"/>
          <w:kern w:val="0"/>
          <w:sz w:val="32"/>
          <w:szCs w:val="32"/>
          <w:highlight w:val="none"/>
          <w:lang w:eastAsia="zh-CN"/>
        </w:rPr>
        <w:t>南部新城16个项目完成竣工验收，</w:t>
      </w:r>
      <w:r>
        <w:rPr>
          <w:rFonts w:hint="default" w:ascii="Times New Roman" w:hAnsi="Times New Roman" w:eastAsia="方正仿宋_GBK" w:cs="Times New Roman"/>
          <w:color w:val="auto"/>
          <w:sz w:val="32"/>
          <w:szCs w:val="32"/>
          <w:highlight w:val="none"/>
        </w:rPr>
        <w:t>12.6公里活力水环打造完成</w:t>
      </w:r>
      <w:r>
        <w:rPr>
          <w:rFonts w:hint="default" w:ascii="Times New Roman" w:hAnsi="Times New Roman" w:eastAsia="方正仿宋_GBK" w:cs="Times New Roman"/>
          <w:bCs/>
          <w:color w:val="auto"/>
          <w:kern w:val="0"/>
          <w:sz w:val="32"/>
          <w:szCs w:val="32"/>
          <w:highlight w:val="none"/>
          <w:lang w:eastAsia="zh-CN"/>
        </w:rPr>
        <w:t>。中国第二历史档案馆新馆</w:t>
      </w:r>
      <w:r>
        <w:rPr>
          <w:rFonts w:hint="eastAsia" w:ascii="Times New Roman" w:hAnsi="Times New Roman" w:eastAsia="方正仿宋_GBK" w:cs="Times New Roman"/>
          <w:bCs/>
          <w:color w:val="auto"/>
          <w:kern w:val="0"/>
          <w:sz w:val="32"/>
          <w:szCs w:val="32"/>
          <w:highlight w:val="none"/>
          <w:lang w:eastAsia="zh-CN"/>
        </w:rPr>
        <w:t>竣工交付</w:t>
      </w:r>
      <w:r>
        <w:rPr>
          <w:rFonts w:hint="default" w:ascii="Times New Roman" w:hAnsi="Times New Roman" w:eastAsia="方正仿宋_GBK" w:cs="Times New Roman"/>
          <w:bCs/>
          <w:color w:val="auto"/>
          <w:kern w:val="0"/>
          <w:sz w:val="32"/>
          <w:szCs w:val="32"/>
          <w:highlight w:val="none"/>
          <w:lang w:eastAsia="zh-CN"/>
        </w:rPr>
        <w:t>，全民健身中心</w:t>
      </w:r>
      <w:r>
        <w:rPr>
          <w:rFonts w:hint="eastAsia" w:ascii="Times New Roman" w:hAnsi="Times New Roman" w:eastAsia="方正仿宋_GBK" w:cs="Times New Roman"/>
          <w:bCs/>
          <w:color w:val="auto"/>
          <w:kern w:val="0"/>
          <w:sz w:val="32"/>
          <w:szCs w:val="32"/>
          <w:highlight w:val="none"/>
          <w:lang w:val="en-US" w:eastAsia="zh-CN"/>
        </w:rPr>
        <w:t>基本</w:t>
      </w:r>
      <w:r>
        <w:rPr>
          <w:rFonts w:hint="default" w:ascii="Times New Roman" w:hAnsi="Times New Roman" w:eastAsia="方正仿宋_GBK" w:cs="Times New Roman"/>
          <w:bCs/>
          <w:color w:val="auto"/>
          <w:kern w:val="0"/>
          <w:sz w:val="32"/>
          <w:szCs w:val="32"/>
          <w:highlight w:val="none"/>
          <w:lang w:val="en-US" w:eastAsia="zh-CN"/>
        </w:rPr>
        <w:t>建成</w:t>
      </w:r>
      <w:r>
        <w:rPr>
          <w:rFonts w:hint="default" w:ascii="Times New Roman" w:hAnsi="Times New Roman" w:eastAsia="方正仿宋_GBK" w:cs="Times New Roman"/>
          <w:bCs/>
          <w:color w:val="auto"/>
          <w:kern w:val="0"/>
          <w:sz w:val="32"/>
          <w:szCs w:val="32"/>
          <w:highlight w:val="none"/>
          <w:lang w:eastAsia="zh-CN"/>
        </w:rPr>
        <w:t>，“智慧之城”新模式被评为南京“十佳”低碳应用场景。</w:t>
      </w:r>
      <w:r>
        <w:rPr>
          <w:rFonts w:hint="default" w:ascii="Times New Roman" w:hAnsi="Times New Roman" w:eastAsia="方正仿宋_GBK" w:cs="Times New Roman"/>
          <w:strike w:val="0"/>
          <w:dstrike w:val="0"/>
          <w:color w:val="auto"/>
          <w:spacing w:val="0"/>
          <w:w w:val="100"/>
          <w:sz w:val="32"/>
          <w:szCs w:val="32"/>
          <w:highlight w:val="none"/>
          <w:lang w:val="en-US" w:eastAsia="zh-CN"/>
        </w:rPr>
        <w:t>持续深化“有温度的城市更新”，33个年度项目基本达预期目标，</w:t>
      </w:r>
      <w:r>
        <w:rPr>
          <w:rFonts w:hint="default" w:ascii="Times New Roman" w:hAnsi="Times New Roman" w:eastAsia="方正仿宋_GBK" w:cs="Times New Roman"/>
          <w:bCs/>
          <w:color w:val="auto"/>
          <w:kern w:val="0"/>
          <w:sz w:val="32"/>
          <w:szCs w:val="32"/>
          <w:highlight w:val="none"/>
          <w:lang w:val="en-US" w:eastAsia="zh-CN"/>
        </w:rPr>
        <w:t>小西湖项目微型管廊经验获住建部肯定，</w:t>
      </w:r>
      <w:r>
        <w:rPr>
          <w:rFonts w:hint="default" w:ascii="Times New Roman" w:hAnsi="Times New Roman" w:eastAsia="方正仿宋_GBK" w:cs="Times New Roman"/>
          <w:color w:val="auto"/>
          <w:kern w:val="2"/>
          <w:sz w:val="32"/>
          <w:szCs w:val="32"/>
          <w:highlight w:val="none"/>
          <w:lang w:val="en-US" w:eastAsia="zh-CN" w:bidi="ar-SA"/>
        </w:rPr>
        <w:t>中央商场</w:t>
      </w:r>
      <w:r>
        <w:rPr>
          <w:rFonts w:hint="eastAsia" w:ascii="Times New Roman" w:hAnsi="Times New Roman" w:eastAsia="方正仿宋_GBK" w:cs="Times New Roman"/>
          <w:color w:val="auto"/>
          <w:kern w:val="2"/>
          <w:sz w:val="32"/>
          <w:szCs w:val="32"/>
          <w:highlight w:val="none"/>
          <w:lang w:val="en-US" w:eastAsia="zh-CN" w:bidi="ar-SA"/>
        </w:rPr>
        <w:t>空间改造</w:t>
      </w:r>
      <w:r>
        <w:rPr>
          <w:rFonts w:hint="default" w:ascii="Times New Roman" w:hAnsi="Times New Roman" w:eastAsia="方正仿宋_GBK" w:cs="Times New Roman"/>
          <w:color w:val="auto"/>
          <w:kern w:val="2"/>
          <w:sz w:val="32"/>
          <w:szCs w:val="32"/>
          <w:highlight w:val="none"/>
          <w:lang w:val="en-US" w:eastAsia="zh-CN" w:bidi="ar-SA"/>
        </w:rPr>
        <w:t>等2个项目入选江苏省城市更新试点</w:t>
      </w:r>
      <w:r>
        <w:rPr>
          <w:rFonts w:hint="default" w:ascii="Times New Roman" w:hAnsi="Times New Roman" w:eastAsia="方正仿宋_GBK" w:cs="Times New Roman"/>
          <w:bCs/>
          <w:color w:val="auto"/>
          <w:kern w:val="0"/>
          <w:sz w:val="32"/>
          <w:szCs w:val="32"/>
          <w:highlight w:val="none"/>
          <w:lang w:eastAsia="zh-CN"/>
        </w:rPr>
        <w:t>，荷花塘片区共建共治共享平台入选全市首批“一社区一案例”重点培育项目。</w:t>
      </w:r>
      <w:r>
        <w:rPr>
          <w:rFonts w:hint="default" w:ascii="Times New Roman" w:hAnsi="Times New Roman" w:eastAsia="方正仿宋_GBK" w:cs="Times New Roman"/>
          <w:bCs/>
          <w:color w:val="auto"/>
          <w:kern w:val="0"/>
          <w:sz w:val="32"/>
          <w:szCs w:val="32"/>
          <w:highlight w:val="none"/>
          <w:lang w:val="en-US" w:eastAsia="zh-CN"/>
        </w:rPr>
        <w:t>秦淮区城市更新规划研究获南京市优秀国土空间规划评选一等奖。我区作为南京市唯一代表获评全国自然资源节约集约示范区（县）称号。</w:t>
      </w:r>
    </w:p>
    <w:p w14:paraId="0DFB7A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2、城市功能加速升级。</w:t>
      </w:r>
      <w:r>
        <w:rPr>
          <w:rFonts w:hint="default" w:ascii="Times New Roman" w:hAnsi="Times New Roman" w:eastAsia="方正仿宋_GBK" w:cs="Times New Roman"/>
          <w:color w:val="auto"/>
          <w:sz w:val="32"/>
          <w:szCs w:val="32"/>
          <w:highlight w:val="none"/>
          <w:lang w:eastAsia="zh-CN"/>
        </w:rPr>
        <w:t>组织</w:t>
      </w:r>
      <w:r>
        <w:rPr>
          <w:rFonts w:hint="default" w:ascii="Times New Roman" w:hAnsi="Times New Roman" w:eastAsia="方正仿宋_GBK" w:cs="Times New Roman"/>
          <w:color w:val="auto"/>
          <w:sz w:val="32"/>
          <w:szCs w:val="32"/>
          <w:highlight w:val="none"/>
        </w:rPr>
        <w:t>实施</w:t>
      </w:r>
      <w:r>
        <w:rPr>
          <w:rFonts w:hint="default" w:ascii="Times New Roman" w:hAnsi="Times New Roman" w:eastAsia="方正仿宋_GBK" w:cs="Times New Roman"/>
          <w:color w:val="auto"/>
          <w:sz w:val="32"/>
          <w:szCs w:val="32"/>
          <w:highlight w:val="none"/>
          <w:lang w:val="en-US" w:eastAsia="zh-CN"/>
        </w:rPr>
        <w:t>12</w:t>
      </w:r>
      <w:r>
        <w:rPr>
          <w:rFonts w:hint="default" w:ascii="Times New Roman" w:hAnsi="Times New Roman" w:eastAsia="方正仿宋_GBK" w:cs="Times New Roman"/>
          <w:color w:val="auto"/>
          <w:sz w:val="32"/>
          <w:szCs w:val="32"/>
          <w:highlight w:val="none"/>
          <w:lang w:eastAsia="zh-CN"/>
        </w:rPr>
        <w:t>条</w:t>
      </w:r>
      <w:r>
        <w:rPr>
          <w:rFonts w:hint="default" w:ascii="Times New Roman" w:hAnsi="Times New Roman" w:eastAsia="方正仿宋_GBK" w:cs="Times New Roman"/>
          <w:color w:val="auto"/>
          <w:sz w:val="32"/>
          <w:szCs w:val="32"/>
          <w:highlight w:val="none"/>
        </w:rPr>
        <w:t>道路</w:t>
      </w:r>
      <w:r>
        <w:rPr>
          <w:rFonts w:hint="default" w:ascii="Times New Roman" w:hAnsi="Times New Roman" w:eastAsia="方正仿宋_GBK" w:cs="Times New Roman"/>
          <w:color w:val="auto"/>
          <w:sz w:val="32"/>
          <w:szCs w:val="32"/>
          <w:highlight w:val="none"/>
          <w:lang w:eastAsia="zh-CN"/>
        </w:rPr>
        <w:t>整修工程</w:t>
      </w:r>
      <w:r>
        <w:rPr>
          <w:rFonts w:hint="default" w:ascii="Times New Roman" w:hAnsi="Times New Roman" w:eastAsia="方正仿宋_GBK" w:cs="Times New Roman"/>
          <w:color w:val="auto"/>
          <w:sz w:val="32"/>
          <w:szCs w:val="32"/>
          <w:highlight w:val="none"/>
        </w:rPr>
        <w:t>建设，</w:t>
      </w:r>
      <w:r>
        <w:rPr>
          <w:rFonts w:hint="default" w:ascii="Times New Roman" w:hAnsi="Times New Roman" w:eastAsia="方正仿宋_GBK" w:cs="Times New Roman"/>
          <w:color w:val="auto"/>
          <w:sz w:val="32"/>
          <w:szCs w:val="32"/>
          <w:highlight w:val="none"/>
          <w:lang w:eastAsia="zh-CN"/>
        </w:rPr>
        <w:t>冶修一路建设顺利完工。星瀚路等3个停车场建成开放，全年新增公共停车场21个，新增各类停车泊位2880个</w:t>
      </w:r>
      <w:r>
        <w:rPr>
          <w:rFonts w:hint="default" w:ascii="Times New Roman" w:hAnsi="Times New Roman" w:eastAsia="方正仿宋_GBK" w:cs="Times New Roman"/>
          <w:color w:val="auto"/>
          <w:sz w:val="32"/>
          <w:szCs w:val="32"/>
          <w:highlight w:val="none"/>
        </w:rPr>
        <w:t>。完成胜华路等36个道路街巷环境综合整治工程，实施</w:t>
      </w:r>
      <w:r>
        <w:rPr>
          <w:rFonts w:hint="default" w:ascii="Times New Roman" w:hAnsi="Times New Roman" w:eastAsia="方正仿宋_GBK" w:cs="Times New Roman"/>
          <w:color w:val="auto"/>
          <w:sz w:val="32"/>
          <w:szCs w:val="32"/>
          <w:highlight w:val="none"/>
          <w:lang w:val="en-US" w:eastAsia="zh-CN"/>
        </w:rPr>
        <w:t>11</w:t>
      </w:r>
      <w:r>
        <w:rPr>
          <w:rFonts w:hint="default" w:ascii="Times New Roman" w:hAnsi="Times New Roman" w:eastAsia="方正仿宋_GBK" w:cs="Times New Roman"/>
          <w:color w:val="auto"/>
          <w:sz w:val="32"/>
          <w:szCs w:val="32"/>
          <w:highlight w:val="none"/>
          <w:lang w:eastAsia="zh-CN"/>
        </w:rPr>
        <w:t>个</w:t>
      </w:r>
      <w:r>
        <w:rPr>
          <w:rFonts w:hint="default" w:ascii="Times New Roman" w:hAnsi="Times New Roman" w:eastAsia="方正仿宋_GBK" w:cs="Times New Roman"/>
          <w:color w:val="auto"/>
          <w:sz w:val="32"/>
          <w:szCs w:val="32"/>
          <w:highlight w:val="none"/>
        </w:rPr>
        <w:t>微更新项目</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建成</w:t>
      </w:r>
      <w:r>
        <w:rPr>
          <w:rFonts w:hint="default" w:ascii="Times New Roman" w:hAnsi="Times New Roman" w:eastAsia="方正仿宋_GBK" w:cs="Times New Roman"/>
          <w:color w:val="auto"/>
          <w:kern w:val="0"/>
          <w:sz w:val="32"/>
          <w:szCs w:val="32"/>
          <w:highlight w:val="none"/>
          <w:lang w:val="en-US" w:eastAsia="zh-CN"/>
        </w:rPr>
        <w:t>2</w:t>
      </w:r>
      <w:r>
        <w:rPr>
          <w:rFonts w:hint="default" w:ascii="Times New Roman" w:hAnsi="Times New Roman" w:eastAsia="方正仿宋_GBK" w:cs="Times New Roman"/>
          <w:color w:val="auto"/>
          <w:kern w:val="0"/>
          <w:sz w:val="32"/>
          <w:szCs w:val="32"/>
          <w:highlight w:val="none"/>
        </w:rPr>
        <w:t>个口袋公园</w:t>
      </w:r>
      <w:r>
        <w:rPr>
          <w:rFonts w:hint="default" w:ascii="Times New Roman" w:hAnsi="Times New Roman" w:eastAsia="方正仿宋_GBK" w:cs="Times New Roman"/>
          <w:color w:val="auto"/>
          <w:kern w:val="0"/>
          <w:sz w:val="32"/>
          <w:szCs w:val="32"/>
          <w:highlight w:val="none"/>
          <w:lang w:eastAsia="zh-CN"/>
        </w:rPr>
        <w:t>和</w:t>
      </w:r>
      <w:r>
        <w:rPr>
          <w:rFonts w:hint="default" w:ascii="Times New Roman" w:hAnsi="Times New Roman" w:eastAsia="方正仿宋_GBK" w:cs="Times New Roman"/>
          <w:snapToGrid w:val="0"/>
          <w:color w:val="auto"/>
          <w:kern w:val="32"/>
          <w:sz w:val="32"/>
          <w:szCs w:val="20"/>
          <w:highlight w:val="none"/>
          <w:lang w:val="en-US" w:eastAsia="zh-CN"/>
        </w:rPr>
        <w:t>3</w:t>
      </w:r>
      <w:r>
        <w:rPr>
          <w:rFonts w:hint="default" w:ascii="Times New Roman" w:hAnsi="Times New Roman" w:eastAsia="方正仿宋_GBK" w:cs="Times New Roman"/>
          <w:snapToGrid w:val="0"/>
          <w:color w:val="auto"/>
          <w:kern w:val="32"/>
          <w:sz w:val="32"/>
          <w:szCs w:val="20"/>
          <w:highlight w:val="none"/>
        </w:rPr>
        <w:t>处</w:t>
      </w:r>
      <w:r>
        <w:rPr>
          <w:rFonts w:hint="default" w:ascii="Times New Roman" w:hAnsi="Times New Roman" w:eastAsia="方正仿宋_GBK" w:cs="Times New Roman"/>
          <w:color w:val="auto"/>
          <w:sz w:val="32"/>
          <w:szCs w:val="32"/>
          <w:highlight w:val="none"/>
        </w:rPr>
        <w:t>小型城市客厅</w:t>
      </w:r>
      <w:r>
        <w:rPr>
          <w:rFonts w:hint="default" w:ascii="Times New Roman" w:hAnsi="Times New Roman" w:eastAsia="方正仿宋_GBK" w:cs="Times New Roman"/>
          <w:snapToGrid w:val="0"/>
          <w:color w:val="auto"/>
          <w:kern w:val="32"/>
          <w:sz w:val="32"/>
          <w:szCs w:val="20"/>
          <w:highlight w:val="none"/>
        </w:rPr>
        <w:t>。突出全时段执法管理，建成“屯兵街面”指挥调度系统，</w:t>
      </w:r>
      <w:r>
        <w:rPr>
          <w:rFonts w:hint="default" w:ascii="Times New Roman" w:hAnsi="Times New Roman" w:eastAsia="方正仿宋_GBK" w:cs="Times New Roman"/>
          <w:color w:val="auto"/>
          <w:kern w:val="0"/>
          <w:sz w:val="32"/>
          <w:szCs w:val="32"/>
          <w:highlight w:val="none"/>
          <w:lang w:eastAsia="zh-CN"/>
        </w:rPr>
        <w:t>完成30条背街小巷整治任务</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垃圾分类提质增效，</w:t>
      </w:r>
      <w:r>
        <w:rPr>
          <w:rFonts w:hint="default" w:ascii="Times New Roman" w:hAnsi="Times New Roman" w:eastAsia="方正仿宋_GBK" w:cs="Times New Roman"/>
          <w:color w:val="auto"/>
          <w:kern w:val="0"/>
          <w:sz w:val="32"/>
          <w:szCs w:val="32"/>
          <w:highlight w:val="none"/>
        </w:rPr>
        <w:t>17家重点行业单位实现除差晋级，39个小区</w:t>
      </w:r>
      <w:r>
        <w:rPr>
          <w:rFonts w:hint="default" w:ascii="Times New Roman" w:hAnsi="Times New Roman" w:eastAsia="方正仿宋_GBK" w:cs="Times New Roman"/>
          <w:color w:val="auto"/>
          <w:kern w:val="0"/>
          <w:sz w:val="32"/>
          <w:szCs w:val="32"/>
          <w:highlight w:val="none"/>
          <w:lang w:eastAsia="zh-CN"/>
        </w:rPr>
        <w:t>创成</w:t>
      </w:r>
      <w:r>
        <w:rPr>
          <w:rFonts w:hint="default" w:ascii="Times New Roman" w:hAnsi="Times New Roman" w:eastAsia="方正仿宋_GBK" w:cs="Times New Roman"/>
          <w:color w:val="auto"/>
          <w:kern w:val="0"/>
          <w:sz w:val="32"/>
          <w:szCs w:val="32"/>
          <w:highlight w:val="none"/>
        </w:rPr>
        <w:t>省级达标</w:t>
      </w:r>
      <w:r>
        <w:rPr>
          <w:rFonts w:hint="default" w:ascii="Times New Roman" w:hAnsi="Times New Roman" w:eastAsia="方正仿宋_GBK" w:cs="Times New Roman"/>
          <w:color w:val="auto"/>
          <w:kern w:val="0"/>
          <w:sz w:val="32"/>
          <w:szCs w:val="32"/>
          <w:highlight w:val="none"/>
          <w:lang w:eastAsia="zh-CN"/>
        </w:rPr>
        <w:t>单位。新建“智慧工地”</w:t>
      </w:r>
      <w:r>
        <w:rPr>
          <w:rFonts w:hint="default" w:ascii="Times New Roman" w:hAnsi="Times New Roman" w:eastAsia="方正仿宋_GBK" w:cs="Times New Roman"/>
          <w:color w:val="auto"/>
          <w:kern w:val="0"/>
          <w:sz w:val="32"/>
          <w:szCs w:val="32"/>
          <w:highlight w:val="none"/>
          <w:lang w:val="en-US" w:eastAsia="zh-CN"/>
        </w:rPr>
        <w:t>21个，全区建筑工地文明施工达标率达95%以上。</w:t>
      </w:r>
    </w:p>
    <w:p w14:paraId="2C36CA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楷体_GBK" w:cs="Times New Roman"/>
          <w:color w:val="auto"/>
          <w:sz w:val="32"/>
          <w:szCs w:val="32"/>
          <w:highlight w:val="none"/>
          <w:lang w:val="en-US" w:eastAsia="zh-CN"/>
        </w:rPr>
        <w:t>3、人居环境明显改善。</w:t>
      </w:r>
      <w:r>
        <w:rPr>
          <w:rFonts w:hint="default" w:ascii="Times New Roman" w:hAnsi="Times New Roman" w:eastAsia="方正仿宋_GBK" w:cs="Times New Roman"/>
          <w:color w:val="auto"/>
          <w:kern w:val="0"/>
          <w:sz w:val="32"/>
          <w:szCs w:val="32"/>
          <w:highlight w:val="none"/>
          <w:lang w:val="en-US" w:eastAsia="zh-CN"/>
        </w:rPr>
        <w:t>34项</w:t>
      </w:r>
      <w:r>
        <w:rPr>
          <w:rFonts w:hint="default" w:ascii="Times New Roman" w:hAnsi="Times New Roman" w:eastAsia="方正仿宋_GBK" w:cs="Times New Roman"/>
          <w:color w:val="auto"/>
          <w:kern w:val="0"/>
          <w:sz w:val="32"/>
          <w:szCs w:val="32"/>
          <w:highlight w:val="none"/>
        </w:rPr>
        <w:t>中央环保</w:t>
      </w:r>
      <w:r>
        <w:rPr>
          <w:rFonts w:hint="default" w:ascii="Times New Roman" w:hAnsi="Times New Roman" w:eastAsia="方正仿宋_GBK" w:cs="Times New Roman"/>
          <w:color w:val="auto"/>
          <w:kern w:val="0"/>
          <w:sz w:val="32"/>
          <w:szCs w:val="32"/>
          <w:highlight w:val="none"/>
          <w:lang w:eastAsia="zh-CN"/>
        </w:rPr>
        <w:t>督察</w:t>
      </w:r>
      <w:r>
        <w:rPr>
          <w:rFonts w:hint="default" w:ascii="Times New Roman" w:hAnsi="Times New Roman" w:eastAsia="方正仿宋_GBK" w:cs="Times New Roman"/>
          <w:color w:val="auto"/>
          <w:kern w:val="0"/>
          <w:sz w:val="32"/>
          <w:szCs w:val="32"/>
          <w:highlight w:val="none"/>
        </w:rPr>
        <w:t>项目整治全部销号</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PM2.5</w:t>
      </w:r>
      <w:r>
        <w:rPr>
          <w:rFonts w:hint="eastAsia" w:ascii="Times New Roman" w:hAnsi="Times New Roman" w:eastAsia="方正仿宋_GBK" w:cs="Times New Roman"/>
          <w:color w:val="auto"/>
          <w:kern w:val="0"/>
          <w:sz w:val="32"/>
          <w:szCs w:val="32"/>
          <w:highlight w:val="none"/>
          <w:lang w:eastAsia="zh-CN"/>
        </w:rPr>
        <w:t>年均</w:t>
      </w:r>
      <w:r>
        <w:rPr>
          <w:rFonts w:hint="default" w:ascii="Times New Roman" w:hAnsi="Times New Roman" w:eastAsia="方正仿宋_GBK" w:cs="Times New Roman"/>
          <w:color w:val="auto"/>
          <w:kern w:val="0"/>
          <w:sz w:val="32"/>
          <w:szCs w:val="32"/>
          <w:highlight w:val="none"/>
        </w:rPr>
        <w:t>浓度</w:t>
      </w:r>
      <w:r>
        <w:rPr>
          <w:rFonts w:hint="default" w:ascii="Times New Roman" w:hAnsi="Times New Roman" w:eastAsia="方正仿宋_GBK" w:cs="Times New Roman"/>
          <w:color w:val="auto"/>
          <w:kern w:val="0"/>
          <w:sz w:val="32"/>
          <w:szCs w:val="32"/>
          <w:highlight w:val="none"/>
          <w:lang w:eastAsia="zh-CN"/>
        </w:rPr>
        <w:t>同比</w:t>
      </w:r>
      <w:r>
        <w:rPr>
          <w:rFonts w:hint="default" w:ascii="Times New Roman" w:hAnsi="Times New Roman" w:eastAsia="方正仿宋_GBK" w:cs="Times New Roman"/>
          <w:color w:val="auto"/>
          <w:kern w:val="0"/>
          <w:sz w:val="32"/>
          <w:szCs w:val="32"/>
          <w:highlight w:val="none"/>
        </w:rPr>
        <w:t>下降</w:t>
      </w:r>
      <w:r>
        <w:rPr>
          <w:rFonts w:hint="eastAsia" w:ascii="Times New Roman" w:hAnsi="Times New Roman" w:eastAsia="方正仿宋_GBK" w:cs="Times New Roman"/>
          <w:color w:val="auto"/>
          <w:kern w:val="0"/>
          <w:sz w:val="32"/>
          <w:szCs w:val="32"/>
          <w:highlight w:val="none"/>
          <w:lang w:val="en-US" w:eastAsia="zh-CN"/>
        </w:rPr>
        <w:t>5.5</w:t>
      </w:r>
      <w:r>
        <w:rPr>
          <w:rFonts w:hint="default" w:ascii="Times New Roman" w:hAnsi="Times New Roman" w:eastAsia="方正仿宋_GBK" w:cs="Times New Roman"/>
          <w:color w:val="auto"/>
          <w:kern w:val="0"/>
          <w:sz w:val="32"/>
          <w:szCs w:val="32"/>
          <w:highlight w:val="none"/>
        </w:rPr>
        <w:t>%，空气优良</w:t>
      </w:r>
      <w:r>
        <w:rPr>
          <w:rFonts w:hint="default" w:ascii="Times New Roman" w:hAnsi="Times New Roman" w:eastAsia="方正仿宋_GBK" w:cs="Times New Roman"/>
          <w:color w:val="auto"/>
          <w:kern w:val="0"/>
          <w:sz w:val="32"/>
          <w:szCs w:val="32"/>
          <w:highlight w:val="none"/>
          <w:lang w:eastAsia="zh-CN"/>
        </w:rPr>
        <w:t>天数比</w:t>
      </w:r>
      <w:r>
        <w:rPr>
          <w:rFonts w:hint="default" w:ascii="Times New Roman" w:hAnsi="Times New Roman" w:eastAsia="方正仿宋_GBK" w:cs="Times New Roman"/>
          <w:color w:val="auto"/>
          <w:kern w:val="0"/>
          <w:sz w:val="32"/>
          <w:szCs w:val="32"/>
          <w:highlight w:val="none"/>
        </w:rPr>
        <w:t>率</w:t>
      </w:r>
      <w:r>
        <w:rPr>
          <w:rFonts w:hint="eastAsia" w:ascii="Times New Roman" w:hAnsi="Times New Roman" w:eastAsia="方正仿宋_GBK" w:cs="Times New Roman"/>
          <w:color w:val="auto"/>
          <w:kern w:val="0"/>
          <w:sz w:val="32"/>
          <w:szCs w:val="32"/>
          <w:highlight w:val="none"/>
          <w:lang w:eastAsia="zh-CN"/>
        </w:rPr>
        <w:t>达</w:t>
      </w:r>
      <w:r>
        <w:rPr>
          <w:rFonts w:hint="eastAsia" w:ascii="Times New Roman" w:hAnsi="Times New Roman" w:eastAsia="方正仿宋_GBK" w:cs="Times New Roman"/>
          <w:color w:val="auto"/>
          <w:kern w:val="0"/>
          <w:sz w:val="32"/>
          <w:szCs w:val="32"/>
          <w:highlight w:val="none"/>
          <w:lang w:val="en-US" w:eastAsia="zh-CN"/>
        </w:rPr>
        <w:t>81.4%</w:t>
      </w:r>
      <w:r>
        <w:rPr>
          <w:rFonts w:hint="default" w:ascii="Times New Roman" w:hAnsi="Times New Roman" w:eastAsia="方正仿宋_GBK" w:cs="Times New Roman"/>
          <w:color w:val="auto"/>
          <w:kern w:val="0"/>
          <w:sz w:val="32"/>
          <w:szCs w:val="32"/>
          <w:highlight w:val="none"/>
          <w:lang w:val="en-US" w:eastAsia="zh-CN"/>
        </w:rPr>
        <w:t>，两项指标均</w:t>
      </w:r>
      <w:r>
        <w:rPr>
          <w:rFonts w:hint="eastAsia" w:ascii="Times New Roman" w:hAnsi="Times New Roman" w:eastAsia="方正仿宋_GBK" w:cs="Times New Roman"/>
          <w:color w:val="auto"/>
          <w:kern w:val="0"/>
          <w:sz w:val="32"/>
          <w:szCs w:val="32"/>
          <w:highlight w:val="none"/>
          <w:lang w:val="en-US" w:eastAsia="zh-CN"/>
        </w:rPr>
        <w:t>达年度考核目标</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sz w:val="32"/>
          <w:szCs w:val="32"/>
          <w:highlight w:val="none"/>
        </w:rPr>
        <w:t>高标准完成</w:t>
      </w:r>
      <w:r>
        <w:rPr>
          <w:rFonts w:hint="default"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条幸福河湖建设</w:t>
      </w:r>
      <w:r>
        <w:rPr>
          <w:rFonts w:hint="default" w:ascii="Times New Roman" w:hAnsi="Times New Roman" w:eastAsia="方正仿宋_GBK" w:cs="Times New Roman"/>
          <w:color w:val="auto"/>
          <w:sz w:val="32"/>
          <w:szCs w:val="32"/>
          <w:highlight w:val="none"/>
          <w:lang w:eastAsia="zh-CN"/>
        </w:rPr>
        <w:t>，国考七桥瓮断面水质达到Ⅲ类水</w:t>
      </w:r>
      <w:r>
        <w:rPr>
          <w:rFonts w:hint="eastAsia" w:ascii="Times New Roman" w:hAnsi="Times New Roman" w:eastAsia="方正仿宋_GBK" w:cs="Times New Roman"/>
          <w:color w:val="auto"/>
          <w:sz w:val="32"/>
          <w:szCs w:val="32"/>
          <w:highlight w:val="none"/>
          <w:lang w:eastAsia="zh-CN"/>
        </w:rPr>
        <w:t>体</w:t>
      </w:r>
      <w:r>
        <w:rPr>
          <w:rFonts w:hint="default" w:ascii="Times New Roman" w:hAnsi="Times New Roman" w:eastAsia="方正仿宋_GBK" w:cs="Times New Roman"/>
          <w:color w:val="auto"/>
          <w:sz w:val="32"/>
          <w:szCs w:val="32"/>
          <w:highlight w:val="none"/>
          <w:lang w:eastAsia="zh-CN"/>
        </w:rPr>
        <w:t>目标</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全区3</w:t>
      </w:r>
      <w:r>
        <w:rPr>
          <w:rFonts w:hint="default" w:ascii="Times New Roman" w:hAnsi="Times New Roman" w:eastAsia="方正仿宋_GBK" w:cs="Times New Roman"/>
          <w:color w:val="auto"/>
          <w:kern w:val="0"/>
          <w:sz w:val="32"/>
          <w:szCs w:val="32"/>
          <w:highlight w:val="none"/>
          <w:lang w:val="en-US" w:eastAsia="zh-CN"/>
        </w:rPr>
        <w:t>3</w:t>
      </w:r>
      <w:r>
        <w:rPr>
          <w:rFonts w:hint="default" w:ascii="Times New Roman" w:hAnsi="Times New Roman" w:eastAsia="方正仿宋_GBK" w:cs="Times New Roman"/>
          <w:color w:val="auto"/>
          <w:kern w:val="0"/>
          <w:sz w:val="32"/>
          <w:szCs w:val="32"/>
          <w:highlight w:val="none"/>
          <w:lang w:eastAsia="zh-CN"/>
        </w:rPr>
        <w:t>条河道</w:t>
      </w:r>
      <w:r>
        <w:rPr>
          <w:rFonts w:hint="default" w:ascii="Times New Roman" w:hAnsi="Times New Roman" w:eastAsia="方正仿宋_GBK" w:cs="Times New Roman"/>
          <w:color w:val="auto"/>
          <w:kern w:val="0"/>
          <w:sz w:val="32"/>
          <w:szCs w:val="32"/>
          <w:highlight w:val="none"/>
        </w:rPr>
        <w:t>水体</w:t>
      </w:r>
      <w:r>
        <w:rPr>
          <w:rFonts w:hint="default" w:ascii="Times New Roman" w:hAnsi="Times New Roman" w:eastAsia="方正仿宋_GBK" w:cs="Times New Roman"/>
          <w:color w:val="auto"/>
          <w:kern w:val="0"/>
          <w:sz w:val="32"/>
          <w:szCs w:val="32"/>
          <w:highlight w:val="none"/>
          <w:lang w:eastAsia="zh-CN"/>
        </w:rPr>
        <w:t>实现</w:t>
      </w:r>
      <w:r>
        <w:rPr>
          <w:rFonts w:hint="default" w:ascii="Times New Roman" w:hAnsi="Times New Roman" w:eastAsia="方正仿宋_GBK" w:cs="Times New Roman"/>
          <w:color w:val="auto"/>
          <w:kern w:val="0"/>
          <w:sz w:val="32"/>
          <w:szCs w:val="32"/>
          <w:highlight w:val="none"/>
          <w:lang w:val="en-US" w:eastAsia="zh-CN"/>
        </w:rPr>
        <w:t>稳定</w:t>
      </w:r>
      <w:r>
        <w:rPr>
          <w:rFonts w:hint="default" w:ascii="Times New Roman" w:hAnsi="Times New Roman" w:eastAsia="方正仿宋_GBK" w:cs="Times New Roman"/>
          <w:color w:val="auto"/>
          <w:kern w:val="0"/>
          <w:sz w:val="32"/>
          <w:szCs w:val="32"/>
          <w:highlight w:val="none"/>
        </w:rPr>
        <w:t>消劣，</w:t>
      </w:r>
      <w:r>
        <w:rPr>
          <w:rFonts w:hint="default" w:ascii="Times New Roman" w:hAnsi="Times New Roman" w:eastAsia="方正仿宋_GBK" w:cs="Times New Roman"/>
          <w:color w:val="auto"/>
          <w:kern w:val="0"/>
          <w:sz w:val="32"/>
          <w:szCs w:val="32"/>
          <w:highlight w:val="none"/>
          <w:lang w:eastAsia="zh-CN"/>
        </w:rPr>
        <w:t>启动安品街等棚户区管网改造，完成23个片区管网清疏修缮</w:t>
      </w:r>
      <w:r>
        <w:rPr>
          <w:rFonts w:hint="default" w:ascii="Times New Roman" w:hAnsi="Times New Roman" w:eastAsia="方正仿宋_GBK" w:cs="Times New Roman"/>
          <w:color w:val="auto"/>
          <w:kern w:val="0"/>
          <w:sz w:val="31"/>
          <w:szCs w:val="31"/>
          <w:highlight w:val="none"/>
          <w:lang w:eastAsia="zh-CN"/>
        </w:rPr>
        <w:t>，推进7条污水主次干管建设，</w:t>
      </w:r>
      <w:r>
        <w:rPr>
          <w:rFonts w:hint="default" w:ascii="Times New Roman" w:hAnsi="Times New Roman" w:eastAsia="方正仿宋_GBK" w:cs="Times New Roman"/>
          <w:color w:val="auto"/>
          <w:sz w:val="32"/>
          <w:szCs w:val="32"/>
          <w:highlight w:val="none"/>
        </w:rPr>
        <w:t>圆满完成观门口北村、四方巷2个积淹水点改造工程</w:t>
      </w:r>
      <w:r>
        <w:rPr>
          <w:rFonts w:hint="default" w:ascii="Times New Roman" w:hAnsi="Times New Roman" w:eastAsia="方正仿宋_GBK" w:cs="Times New Roman"/>
          <w:color w:val="auto"/>
          <w:kern w:val="0"/>
          <w:sz w:val="31"/>
          <w:szCs w:val="31"/>
          <w:highlight w:val="none"/>
          <w:lang w:eastAsia="zh-CN"/>
        </w:rPr>
        <w:t>。</w:t>
      </w:r>
      <w:r>
        <w:rPr>
          <w:rFonts w:hint="default" w:ascii="Times New Roman" w:hAnsi="Times New Roman" w:eastAsia="方正仿宋_GBK" w:cs="Times New Roman"/>
          <w:color w:val="auto"/>
          <w:sz w:val="32"/>
          <w:szCs w:val="32"/>
          <w:highlight w:val="none"/>
          <w:lang w:eastAsia="zh-CN"/>
        </w:rPr>
        <w:t>我区</w:t>
      </w:r>
      <w:r>
        <w:rPr>
          <w:rFonts w:hint="default" w:ascii="Times New Roman" w:hAnsi="Times New Roman" w:eastAsia="方正仿宋_GBK" w:cs="Times New Roman"/>
          <w:color w:val="auto"/>
          <w:kern w:val="0"/>
          <w:sz w:val="31"/>
          <w:szCs w:val="31"/>
          <w:highlight w:val="none"/>
          <w:lang w:eastAsia="zh-CN"/>
        </w:rPr>
        <w:t>获评水利部第六批县域节水型社会建设达标区，</w:t>
      </w:r>
      <w:r>
        <w:rPr>
          <w:rFonts w:hint="default" w:ascii="Times New Roman" w:hAnsi="Times New Roman" w:eastAsia="方正仿宋_GBK" w:cs="Times New Roman"/>
          <w:color w:val="auto"/>
          <w:kern w:val="0"/>
          <w:sz w:val="31"/>
          <w:szCs w:val="31"/>
          <w:highlight w:val="none"/>
          <w:lang w:val="en-US" w:eastAsia="zh-CN"/>
        </w:rPr>
        <w:t>减污降碳协同增效工作获省级督查激励</w:t>
      </w:r>
      <w:r>
        <w:rPr>
          <w:rFonts w:hint="default" w:ascii="Times New Roman" w:hAnsi="Times New Roman" w:eastAsia="方正仿宋_GBK" w:cs="Times New Roman"/>
          <w:color w:val="auto"/>
          <w:kern w:val="0"/>
          <w:sz w:val="31"/>
          <w:szCs w:val="31"/>
          <w:highlight w:val="none"/>
          <w:lang w:eastAsia="zh-CN"/>
        </w:rPr>
        <w:t>。</w:t>
      </w:r>
    </w:p>
    <w:p w14:paraId="0C4D008C">
      <w:pPr>
        <w:jc w:val="center"/>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表七 精细化建管和生态环境情况</w:t>
      </w:r>
    </w:p>
    <w:tbl>
      <w:tblPr>
        <w:tblStyle w:val="13"/>
        <w:tblW w:w="8820" w:type="dxa"/>
        <w:jc w:val="center"/>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Layout w:type="fixed"/>
        <w:tblCellMar>
          <w:top w:w="0" w:type="dxa"/>
          <w:left w:w="108" w:type="dxa"/>
          <w:bottom w:w="0" w:type="dxa"/>
          <w:right w:w="108" w:type="dxa"/>
        </w:tblCellMar>
      </w:tblPr>
      <w:tblGrid>
        <w:gridCol w:w="2078"/>
        <w:gridCol w:w="6742"/>
      </w:tblGrid>
      <w:tr w14:paraId="57C43C9D">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5D532B96">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主要领域</w:t>
            </w:r>
          </w:p>
        </w:tc>
        <w:tc>
          <w:tcPr>
            <w:tcW w:w="6742" w:type="dxa"/>
            <w:tcBorders>
              <w:top w:val="single" w:color="000000" w:sz="6" w:space="0"/>
              <w:bottom w:val="single" w:color="000000" w:sz="6" w:space="0"/>
            </w:tcBorders>
            <w:noWrap/>
            <w:vAlign w:val="center"/>
          </w:tcPr>
          <w:p w14:paraId="0AA8B1D6">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主要进展</w:t>
            </w:r>
          </w:p>
        </w:tc>
      </w:tr>
      <w:tr w14:paraId="77676778">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495" w:hRule="atLeast"/>
          <w:jc w:val="center"/>
        </w:trPr>
        <w:tc>
          <w:tcPr>
            <w:tcW w:w="2078" w:type="dxa"/>
            <w:tcBorders>
              <w:top w:val="single" w:color="000000" w:sz="6" w:space="0"/>
              <w:bottom w:val="single" w:color="000000" w:sz="6" w:space="0"/>
            </w:tcBorders>
            <w:noWrap/>
            <w:vAlign w:val="center"/>
          </w:tcPr>
          <w:p w14:paraId="27F5C1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新城建设</w:t>
            </w:r>
          </w:p>
        </w:tc>
        <w:tc>
          <w:tcPr>
            <w:tcW w:w="6742" w:type="dxa"/>
            <w:tcBorders>
              <w:top w:val="single" w:color="000000" w:sz="6" w:space="0"/>
              <w:bottom w:val="single" w:color="000000" w:sz="6" w:space="0"/>
            </w:tcBorders>
            <w:noWrap/>
            <w:vAlign w:val="center"/>
          </w:tcPr>
          <w:p w14:paraId="4F1AE8D6">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eastAsia="zh-CN"/>
              </w:rPr>
              <w:t>南京地铁</w:t>
            </w:r>
            <w:r>
              <w:rPr>
                <w:rFonts w:hint="default" w:ascii="Times New Roman" w:hAnsi="Times New Roman" w:eastAsia="方正仿宋_GBK" w:cs="Times New Roman"/>
                <w:color w:val="auto"/>
                <w:kern w:val="0"/>
                <w:sz w:val="24"/>
                <w:highlight w:val="none"/>
                <w:lang w:val="en-US" w:eastAsia="zh-CN"/>
              </w:rPr>
              <w:t>5号线大校场站正式封顶。</w:t>
            </w:r>
          </w:p>
          <w:p w14:paraId="33EF3694">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highlight w:val="none"/>
                <w:lang w:val="en-US" w:eastAsia="zh-CN"/>
              </w:rPr>
            </w:pPr>
            <w:r>
              <w:rPr>
                <w:rFonts w:hint="default" w:ascii="Times New Roman" w:hAnsi="Times New Roman" w:eastAsia="方正仿宋_GBK" w:cs="Times New Roman"/>
                <w:color w:val="auto"/>
                <w:kern w:val="0"/>
                <w:sz w:val="24"/>
                <w:highlight w:val="none"/>
                <w:lang w:val="en-US" w:eastAsia="zh-CN"/>
              </w:rPr>
              <w:t>承天大道、汇景南路等16个项目完成竣工验收。</w:t>
            </w:r>
          </w:p>
          <w:p w14:paraId="0DBE8381">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highlight w:val="none"/>
                <w:lang w:val="en-US" w:eastAsia="zh-CN"/>
              </w:rPr>
            </w:pPr>
            <w:r>
              <w:rPr>
                <w:rFonts w:hint="default" w:ascii="Times New Roman" w:hAnsi="Times New Roman" w:eastAsia="方正仿宋_GBK" w:cs="Times New Roman"/>
                <w:color w:val="auto"/>
                <w:kern w:val="0"/>
                <w:sz w:val="24"/>
                <w:highlight w:val="none"/>
                <w:lang w:val="en-US" w:eastAsia="zh-CN"/>
              </w:rPr>
              <w:t>机场大道等绿带全面建成。</w:t>
            </w:r>
          </w:p>
          <w:p w14:paraId="42CD41D9">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24"/>
                <w:highlight w:val="none"/>
                <w:lang w:eastAsia="zh-CN"/>
              </w:rPr>
              <w:t>中芬合作交流中心</w:t>
            </w:r>
            <w:r>
              <w:rPr>
                <w:rFonts w:hint="default" w:ascii="Times New Roman" w:hAnsi="Times New Roman" w:eastAsia="方正仿宋_GBK" w:cs="Times New Roman"/>
                <w:color w:val="auto"/>
                <w:kern w:val="0"/>
                <w:sz w:val="24"/>
                <w:highlight w:val="none"/>
              </w:rPr>
              <w:t>机电安装完成</w:t>
            </w:r>
            <w:r>
              <w:rPr>
                <w:rFonts w:hint="eastAsia" w:ascii="Times New Roman" w:hAnsi="Times New Roman" w:eastAsia="方正仿宋_GBK" w:cs="Times New Roman"/>
                <w:color w:val="auto"/>
                <w:kern w:val="0"/>
                <w:sz w:val="24"/>
                <w:highlight w:val="none"/>
                <w:lang w:val="en-US" w:eastAsia="zh-CN"/>
              </w:rPr>
              <w:t>7</w:t>
            </w:r>
            <w:r>
              <w:rPr>
                <w:rFonts w:hint="default" w:ascii="Times New Roman" w:hAnsi="Times New Roman" w:eastAsia="方正仿宋_GBK" w:cs="Times New Roman"/>
                <w:color w:val="auto"/>
                <w:kern w:val="0"/>
                <w:sz w:val="24"/>
                <w:highlight w:val="none"/>
              </w:rPr>
              <w:t>5%，幕墙施工完成，03栋精装修施工完成</w:t>
            </w:r>
            <w:r>
              <w:rPr>
                <w:rFonts w:hint="eastAsia" w:ascii="Times New Roman" w:hAnsi="Times New Roman" w:eastAsia="方正仿宋_GBK" w:cs="Times New Roman"/>
                <w:color w:val="auto"/>
                <w:kern w:val="0"/>
                <w:sz w:val="24"/>
                <w:highlight w:val="none"/>
                <w:lang w:val="en-US" w:eastAsia="zh-CN"/>
              </w:rPr>
              <w:t>95</w:t>
            </w:r>
            <w:r>
              <w:rPr>
                <w:rFonts w:hint="default" w:ascii="Times New Roman" w:hAnsi="Times New Roman" w:eastAsia="方正仿宋_GBK" w:cs="Times New Roman"/>
                <w:color w:val="auto"/>
                <w:kern w:val="0"/>
                <w:sz w:val="24"/>
                <w:highlight w:val="none"/>
              </w:rPr>
              <w:t>%。</w:t>
            </w:r>
          </w:p>
          <w:p w14:paraId="0DAA2418">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24"/>
                <w:highlight w:val="none"/>
                <w:lang w:eastAsia="zh-CN"/>
              </w:rPr>
              <w:t>校场大道以北商办中心完成大区桩基施工；完成首开区B1楼14层、B3楼13层结构施工；会所完成主体结构及装修施工。</w:t>
            </w:r>
          </w:p>
          <w:p w14:paraId="0ED54640">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24"/>
                <w:highlight w:val="none"/>
                <w:lang w:eastAsia="zh-CN"/>
              </w:rPr>
              <w:t>跑道公园示范段已开展初步设计工作，并按要求论证跑道云结构体系。</w:t>
            </w:r>
          </w:p>
        </w:tc>
      </w:tr>
      <w:tr w14:paraId="32E0093B">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495" w:hRule="atLeast"/>
          <w:jc w:val="center"/>
        </w:trPr>
        <w:tc>
          <w:tcPr>
            <w:tcW w:w="2078" w:type="dxa"/>
            <w:tcBorders>
              <w:top w:val="single" w:color="000000" w:sz="6" w:space="0"/>
              <w:bottom w:val="single" w:color="000000" w:sz="6" w:space="0"/>
            </w:tcBorders>
            <w:noWrap/>
            <w:vAlign w:val="center"/>
          </w:tcPr>
          <w:p w14:paraId="001207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老城更新</w:t>
            </w:r>
          </w:p>
        </w:tc>
        <w:tc>
          <w:tcPr>
            <w:tcW w:w="6742" w:type="dxa"/>
            <w:tcBorders>
              <w:top w:val="single" w:color="000000" w:sz="6" w:space="0"/>
              <w:bottom w:val="single" w:color="000000" w:sz="6" w:space="0"/>
            </w:tcBorders>
            <w:noWrap/>
            <w:vAlign w:val="center"/>
          </w:tcPr>
          <w:p w14:paraId="701710F8">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小西湖微型管廊经验入选住建部《建设工作简报》推广，项目</w:t>
            </w:r>
            <w:r>
              <w:rPr>
                <w:rFonts w:hint="default" w:ascii="Times New Roman" w:hAnsi="Times New Roman" w:eastAsia="方正仿宋_GBK" w:cs="Times New Roman"/>
                <w:color w:val="auto"/>
                <w:kern w:val="0"/>
                <w:sz w:val="24"/>
                <w:highlight w:val="none"/>
                <w:lang w:eastAsia="zh-CN"/>
              </w:rPr>
              <w:t>荣获2022年度江苏省优质工程奖“扬子杯”、第二届三联人文城市社区营造奖等奖项。</w:t>
            </w:r>
          </w:p>
          <w:p w14:paraId="4EB61EE3">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eastAsia="zh-CN"/>
              </w:rPr>
              <w:t>钓鱼台等5个项目被列为南京市第三批城市更新试点。</w:t>
            </w:r>
          </w:p>
          <w:p w14:paraId="2BEEC10B">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kern w:val="0"/>
                <w:sz w:val="24"/>
                <w:highlight w:val="none"/>
                <w:lang w:eastAsia="zh-CN"/>
              </w:rPr>
              <w:t>黑廊巷城市更新项目（一期）列入南京市2023年第一批面向民间资本推介项目清单。</w:t>
            </w:r>
          </w:p>
          <w:p w14:paraId="747AE0EF">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kern w:val="0"/>
                <w:sz w:val="24"/>
                <w:highlight w:val="none"/>
                <w:lang w:eastAsia="zh-CN"/>
              </w:rPr>
              <w:t>南京石榴新村项目A分区</w:t>
            </w:r>
            <w:r>
              <w:rPr>
                <w:rFonts w:hint="eastAsia" w:ascii="Times New Roman" w:hAnsi="Times New Roman" w:eastAsia="方正仿宋_GBK" w:cs="Times New Roman"/>
                <w:color w:val="auto"/>
                <w:kern w:val="0"/>
                <w:sz w:val="24"/>
                <w:highlight w:val="none"/>
                <w:lang w:val="en-US" w:eastAsia="zh-CN"/>
              </w:rPr>
              <w:t>6幢住宅楼</w:t>
            </w:r>
            <w:r>
              <w:rPr>
                <w:rFonts w:hint="eastAsia" w:ascii="Times New Roman" w:hAnsi="Times New Roman" w:eastAsia="方正仿宋_GBK" w:cs="Times New Roman"/>
                <w:color w:val="auto"/>
                <w:kern w:val="0"/>
                <w:sz w:val="24"/>
                <w:highlight w:val="none"/>
                <w:lang w:eastAsia="zh-CN"/>
              </w:rPr>
              <w:t>全部</w:t>
            </w:r>
            <w:r>
              <w:rPr>
                <w:rFonts w:hint="default" w:ascii="Times New Roman" w:hAnsi="Times New Roman" w:eastAsia="方正仿宋_GBK" w:cs="Times New Roman"/>
                <w:color w:val="auto"/>
                <w:kern w:val="0"/>
                <w:sz w:val="24"/>
                <w:highlight w:val="none"/>
                <w:lang w:eastAsia="zh-CN"/>
              </w:rPr>
              <w:t>封顶。</w:t>
            </w:r>
          </w:p>
          <w:p w14:paraId="04E0BA8F">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highlight w:val="none"/>
                <w:lang w:eastAsia="zh-CN"/>
              </w:rPr>
            </w:pPr>
            <w:r>
              <w:rPr>
                <w:rFonts w:hint="default" w:ascii="Times New Roman" w:hAnsi="Times New Roman" w:eastAsia="方正仿宋_GBK" w:cs="Times New Roman"/>
                <w:color w:val="auto"/>
                <w:kern w:val="0"/>
                <w:sz w:val="24"/>
                <w:highlight w:val="none"/>
                <w:lang w:eastAsia="zh-CN"/>
              </w:rPr>
              <w:t>荷花塘</w:t>
            </w:r>
            <w:r>
              <w:rPr>
                <w:rFonts w:hint="eastAsia" w:ascii="Times New Roman" w:hAnsi="Times New Roman" w:eastAsia="方正仿宋_GBK" w:cs="Times New Roman"/>
                <w:color w:val="auto"/>
                <w:kern w:val="0"/>
                <w:sz w:val="24"/>
                <w:highlight w:val="none"/>
                <w:lang w:eastAsia="zh-CN"/>
              </w:rPr>
              <w:t>历史文化街区启动市政管线建设</w:t>
            </w:r>
            <w:r>
              <w:rPr>
                <w:rFonts w:hint="default" w:ascii="Times New Roman" w:hAnsi="Times New Roman" w:eastAsia="方正仿宋_GBK" w:cs="Times New Roman"/>
                <w:color w:val="auto"/>
                <w:kern w:val="0"/>
                <w:sz w:val="24"/>
                <w:highlight w:val="none"/>
                <w:lang w:eastAsia="zh-CN"/>
              </w:rPr>
              <w:t>。</w:t>
            </w:r>
          </w:p>
          <w:p w14:paraId="7EA4FC86">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kern w:val="0"/>
                <w:sz w:val="24"/>
                <w:highlight w:val="none"/>
                <w:lang w:val="en-US" w:eastAsia="zh-CN"/>
              </w:rPr>
              <w:t>大阳沟项目二期完成竣工验收，准备交房。</w:t>
            </w:r>
          </w:p>
          <w:p w14:paraId="1A8E6286">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eastAsia="zh-CN"/>
              </w:rPr>
              <w:t>小松涛巷片区基本完成现场房屋拆除工作。</w:t>
            </w:r>
          </w:p>
          <w:p w14:paraId="3AE0CF11">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安品街项目邻里院试点已建成投用。</w:t>
            </w:r>
          </w:p>
          <w:p w14:paraId="2EBA2B20">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kern w:val="0"/>
                <w:sz w:val="24"/>
                <w:highlight w:val="none"/>
              </w:rPr>
              <w:t>举办第二届“有温度的城市更新”论坛，承办“城市更新与社区治理”暨在宁高校首届大学生社区规划师暑期工作营活动。</w:t>
            </w:r>
            <w:r>
              <w:rPr>
                <w:rFonts w:hint="default" w:ascii="Times New Roman" w:hAnsi="Times New Roman" w:eastAsia="方正仿宋_GBK" w:cs="Times New Roman"/>
                <w:color w:val="auto"/>
                <w:kern w:val="0"/>
                <w:sz w:val="24"/>
                <w:highlight w:val="none"/>
                <w:lang w:eastAsia="zh-CN"/>
              </w:rPr>
              <w:t>开展《秦淮校舍更新建设设计导则》编制工作。</w:t>
            </w:r>
          </w:p>
        </w:tc>
      </w:tr>
      <w:tr w14:paraId="4835F232">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495" w:hRule="atLeast"/>
          <w:jc w:val="center"/>
        </w:trPr>
        <w:tc>
          <w:tcPr>
            <w:tcW w:w="2078" w:type="dxa"/>
            <w:tcBorders>
              <w:top w:val="single" w:color="000000" w:sz="6" w:space="0"/>
              <w:bottom w:val="single" w:color="000000" w:sz="6" w:space="0"/>
            </w:tcBorders>
            <w:noWrap/>
            <w:vAlign w:val="center"/>
          </w:tcPr>
          <w:p w14:paraId="435532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精细建管</w:t>
            </w:r>
          </w:p>
        </w:tc>
        <w:tc>
          <w:tcPr>
            <w:tcW w:w="6742" w:type="dxa"/>
            <w:tcBorders>
              <w:top w:val="single" w:color="000000" w:sz="6" w:space="0"/>
              <w:bottom w:val="single" w:color="000000" w:sz="6" w:space="0"/>
            </w:tcBorders>
            <w:noWrap/>
            <w:vAlign w:val="center"/>
          </w:tcPr>
          <w:p w14:paraId="13A0ABE2">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420" w:hanging="420"/>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重点打造蓝旗街、仁寿里、鸣羊街3个精品街巷</w:t>
            </w:r>
            <w:r>
              <w:rPr>
                <w:rFonts w:hint="default" w:ascii="Times New Roman" w:hAnsi="Times New Roman" w:eastAsia="方正仿宋_GBK" w:cs="Times New Roman"/>
                <w:color w:val="auto"/>
                <w:kern w:val="0"/>
                <w:sz w:val="24"/>
                <w:highlight w:val="none"/>
                <w:lang w:eastAsia="zh-CN"/>
              </w:rPr>
              <w:t>。</w:t>
            </w:r>
          </w:p>
          <w:p w14:paraId="0AEE688D">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420" w:hanging="420"/>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sz w:val="24"/>
                <w:highlight w:val="none"/>
              </w:rPr>
              <w:t>累计收运厨余垃圾3.32万吨，</w:t>
            </w:r>
            <w:r>
              <w:rPr>
                <w:rFonts w:hint="default" w:ascii="Times New Roman" w:hAnsi="Times New Roman" w:eastAsia="方正仿宋_GBK" w:cs="Times New Roman"/>
                <w:color w:val="auto"/>
                <w:sz w:val="24"/>
                <w:highlight w:val="none"/>
                <w:lang w:eastAsia="zh-CN"/>
              </w:rPr>
              <w:t>任务量</w:t>
            </w:r>
            <w:r>
              <w:rPr>
                <w:rFonts w:hint="default" w:ascii="Times New Roman" w:hAnsi="Times New Roman" w:eastAsia="方正仿宋_GBK" w:cs="Times New Roman"/>
                <w:color w:val="auto"/>
                <w:sz w:val="24"/>
                <w:highlight w:val="none"/>
                <w:lang w:val="en-US" w:eastAsia="zh-CN"/>
              </w:rPr>
              <w:t>完成率</w:t>
            </w:r>
            <w:r>
              <w:rPr>
                <w:rFonts w:hint="default" w:ascii="Times New Roman" w:hAnsi="Times New Roman" w:eastAsia="方正仿宋_GBK" w:cs="Times New Roman"/>
                <w:color w:val="auto"/>
                <w:sz w:val="24"/>
                <w:highlight w:val="none"/>
              </w:rPr>
              <w:t>主城第</w:t>
            </w:r>
            <w:r>
              <w:rPr>
                <w:rFonts w:hint="default" w:ascii="Times New Roman" w:hAnsi="Times New Roman" w:eastAsia="方正仿宋_GBK" w:cs="Times New Roman"/>
                <w:color w:val="auto"/>
                <w:sz w:val="24"/>
                <w:highlight w:val="none"/>
                <w:lang w:val="en-US" w:eastAsia="zh-CN"/>
              </w:rPr>
              <w:t>1</w:t>
            </w:r>
            <w:r>
              <w:rPr>
                <w:rFonts w:hint="default" w:ascii="Times New Roman" w:hAnsi="Times New Roman" w:eastAsia="方正仿宋_GBK" w:cs="Times New Roman"/>
                <w:color w:val="auto"/>
                <w:sz w:val="24"/>
                <w:highlight w:val="none"/>
              </w:rPr>
              <w:t>。</w:t>
            </w:r>
          </w:p>
          <w:p w14:paraId="50E8A375">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420" w:hanging="420"/>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kern w:val="0"/>
                <w:sz w:val="24"/>
                <w:highlight w:val="none"/>
              </w:rPr>
              <w:t>创建“秦分类”垃圾分类志愿服务品牌团队，开展各类志愿者宣传活动389场</w:t>
            </w:r>
            <w:r>
              <w:rPr>
                <w:rFonts w:hint="default" w:ascii="Times New Roman" w:hAnsi="Times New Roman" w:eastAsia="方正仿宋_GBK" w:cs="Times New Roman"/>
                <w:color w:val="auto"/>
                <w:kern w:val="0"/>
                <w:sz w:val="24"/>
                <w:highlight w:val="none"/>
                <w:lang w:eastAsia="zh-CN"/>
              </w:rPr>
              <w:t>。</w:t>
            </w:r>
          </w:p>
          <w:p w14:paraId="7BFE594A">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420" w:hanging="420"/>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eastAsia="zh-CN"/>
              </w:rPr>
              <w:t>全区</w:t>
            </w:r>
            <w:r>
              <w:rPr>
                <w:rFonts w:hint="default" w:ascii="Times New Roman" w:hAnsi="Times New Roman" w:eastAsia="方正仿宋_GBK" w:cs="Times New Roman"/>
                <w:color w:val="auto"/>
                <w:sz w:val="24"/>
                <w:highlight w:val="none"/>
              </w:rPr>
              <w:t>已建成“智慧工地”104个</w:t>
            </w:r>
            <w:r>
              <w:rPr>
                <w:rFonts w:hint="default" w:ascii="Times New Roman" w:hAnsi="Times New Roman" w:eastAsia="方正仿宋_GBK" w:cs="Times New Roman"/>
                <w:color w:val="auto"/>
                <w:sz w:val="24"/>
                <w:highlight w:val="none"/>
                <w:lang w:eastAsia="zh-CN"/>
              </w:rPr>
              <w:t>。</w:t>
            </w:r>
          </w:p>
        </w:tc>
      </w:tr>
      <w:tr w14:paraId="3B6706A3">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495" w:hRule="atLeast"/>
          <w:jc w:val="center"/>
        </w:trPr>
        <w:tc>
          <w:tcPr>
            <w:tcW w:w="2078" w:type="dxa"/>
            <w:tcBorders>
              <w:top w:val="single" w:color="000000" w:sz="6" w:space="0"/>
              <w:bottom w:val="single" w:color="000000" w:sz="6" w:space="0"/>
            </w:tcBorders>
            <w:noWrap/>
            <w:vAlign w:val="center"/>
          </w:tcPr>
          <w:p w14:paraId="101CC5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生态环境</w:t>
            </w:r>
          </w:p>
        </w:tc>
        <w:tc>
          <w:tcPr>
            <w:tcW w:w="6742" w:type="dxa"/>
            <w:tcBorders>
              <w:top w:val="single" w:color="000000" w:sz="6" w:space="0"/>
              <w:bottom w:val="single" w:color="000000" w:sz="6" w:space="0"/>
            </w:tcBorders>
            <w:noWrap/>
            <w:vAlign w:val="center"/>
          </w:tcPr>
          <w:p w14:paraId="578B1332">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420" w:hanging="420"/>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val="en-US" w:eastAsia="zh-CN"/>
              </w:rPr>
              <w:t>8</w:t>
            </w:r>
            <w:r>
              <w:rPr>
                <w:rFonts w:hint="default" w:ascii="Times New Roman" w:hAnsi="Times New Roman" w:eastAsia="方正仿宋_GBK" w:cs="Times New Roman"/>
                <w:color w:val="auto"/>
                <w:kern w:val="0"/>
                <w:sz w:val="24"/>
                <w:highlight w:val="none"/>
              </w:rPr>
              <w:t>个市考以上断面，全部达标。</w:t>
            </w:r>
          </w:p>
          <w:p w14:paraId="06DC78C5">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420" w:hanging="420"/>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eastAsia="zh-CN"/>
              </w:rPr>
              <w:t>运行</w:t>
            </w:r>
            <w:r>
              <w:rPr>
                <w:rFonts w:hint="default" w:ascii="Times New Roman" w:hAnsi="Times New Roman" w:eastAsia="方正仿宋_GBK" w:cs="Times New Roman"/>
                <w:color w:val="auto"/>
                <w:kern w:val="0"/>
                <w:sz w:val="24"/>
                <w:highlight w:val="none"/>
                <w:lang w:val="en-US" w:eastAsia="zh-CN"/>
              </w:rPr>
              <w:t>污染防治</w:t>
            </w:r>
            <w:r>
              <w:rPr>
                <w:rFonts w:hint="default" w:ascii="Times New Roman" w:hAnsi="Times New Roman" w:eastAsia="方正仿宋_GBK" w:cs="Times New Roman"/>
                <w:color w:val="auto"/>
                <w:kern w:val="0"/>
                <w:sz w:val="24"/>
                <w:highlight w:val="none"/>
                <w:lang w:eastAsia="zh-CN"/>
              </w:rPr>
              <w:t>智能化指挥中心，采集5700万条监测数据。</w:t>
            </w:r>
          </w:p>
          <w:p w14:paraId="06D97617">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420" w:hanging="420"/>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完成道路排水绞拉干管380公里，清疏支管378公里，清捞检查井7.7万座，清捞雨水井8.2万座</w:t>
            </w:r>
            <w:r>
              <w:rPr>
                <w:rFonts w:hint="default" w:ascii="Times New Roman" w:hAnsi="Times New Roman" w:eastAsia="方正仿宋_GBK" w:cs="Times New Roman"/>
                <w:color w:val="auto"/>
                <w:kern w:val="0"/>
                <w:sz w:val="24"/>
                <w:highlight w:val="none"/>
                <w:lang w:eastAsia="zh-CN"/>
              </w:rPr>
              <w:t>。</w:t>
            </w:r>
          </w:p>
        </w:tc>
      </w:tr>
    </w:tbl>
    <w:p w14:paraId="34B9E1AE">
      <w:pPr>
        <w:spacing w:line="560" w:lineRule="exact"/>
        <w:ind w:firstLine="640" w:firstLineChars="200"/>
        <w:outlineLvl w:val="1"/>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lang w:eastAsia="zh-CN"/>
        </w:rPr>
        <w:t>四</w:t>
      </w:r>
      <w:r>
        <w:rPr>
          <w:rFonts w:hint="default" w:ascii="Times New Roman" w:hAnsi="Times New Roman" w:eastAsia="方正黑体_GBK" w:cs="Times New Roman"/>
          <w:color w:val="auto"/>
          <w:kern w:val="0"/>
          <w:sz w:val="32"/>
          <w:szCs w:val="32"/>
          <w:highlight w:val="none"/>
        </w:rPr>
        <w:t>、</w:t>
      </w:r>
      <w:r>
        <w:rPr>
          <w:rFonts w:hint="default" w:ascii="Times New Roman" w:hAnsi="Times New Roman" w:eastAsia="方正黑体_GBK" w:cs="Times New Roman"/>
          <w:color w:val="auto"/>
          <w:kern w:val="0"/>
          <w:sz w:val="32"/>
          <w:szCs w:val="32"/>
          <w:highlight w:val="none"/>
          <w:lang w:eastAsia="zh-CN"/>
        </w:rPr>
        <w:t>兜牢底线、精准保障</w:t>
      </w:r>
      <w:r>
        <w:rPr>
          <w:rFonts w:hint="default" w:ascii="Times New Roman" w:hAnsi="Times New Roman" w:eastAsia="方正黑体_GBK" w:cs="Times New Roman"/>
          <w:color w:val="auto"/>
          <w:kern w:val="0"/>
          <w:sz w:val="32"/>
          <w:szCs w:val="32"/>
          <w:highlight w:val="none"/>
        </w:rPr>
        <w:t>，</w:t>
      </w:r>
      <w:r>
        <w:rPr>
          <w:rFonts w:hint="default" w:ascii="Times New Roman" w:hAnsi="Times New Roman" w:eastAsia="方正黑体_GBK" w:cs="Times New Roman"/>
          <w:color w:val="auto"/>
          <w:kern w:val="0"/>
          <w:sz w:val="32"/>
          <w:szCs w:val="32"/>
          <w:highlight w:val="none"/>
          <w:lang w:eastAsia="zh-CN"/>
        </w:rPr>
        <w:t>民生福祉更加殷实</w:t>
      </w:r>
    </w:p>
    <w:p w14:paraId="011A7254">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方正黑体_GBK" w:cs="Times New Roman"/>
          <w:color w:val="auto"/>
          <w:sz w:val="32"/>
          <w:szCs w:val="32"/>
          <w:highlight w:val="none"/>
          <w:lang w:eastAsia="zh-CN"/>
        </w:rPr>
      </w:pPr>
      <w:r>
        <w:rPr>
          <w:rFonts w:hint="default" w:ascii="Times New Roman" w:hAnsi="Times New Roman" w:eastAsia="方正楷体_GBK" w:cs="Times New Roman"/>
          <w:bCs/>
          <w:color w:val="auto"/>
          <w:kern w:val="0"/>
          <w:sz w:val="32"/>
          <w:szCs w:val="32"/>
          <w:highlight w:val="none"/>
          <w:lang w:val="en-US" w:eastAsia="zh-CN"/>
        </w:rPr>
        <w:t>1、</w:t>
      </w:r>
      <w:r>
        <w:rPr>
          <w:rFonts w:hint="default" w:ascii="Times New Roman" w:hAnsi="Times New Roman" w:eastAsia="方正楷体_GBK" w:cs="Times New Roman"/>
          <w:bCs/>
          <w:color w:val="auto"/>
          <w:kern w:val="0"/>
          <w:sz w:val="32"/>
          <w:szCs w:val="32"/>
          <w:highlight w:val="none"/>
        </w:rPr>
        <w:t>就业政策落实到位。</w:t>
      </w:r>
      <w:r>
        <w:rPr>
          <w:rFonts w:hint="default" w:ascii="Times New Roman" w:hAnsi="Times New Roman" w:eastAsia="方正仿宋_GBK" w:cs="Times New Roman"/>
          <w:bCs/>
          <w:color w:val="auto"/>
          <w:kern w:val="0"/>
          <w:sz w:val="32"/>
          <w:szCs w:val="32"/>
          <w:highlight w:val="none"/>
        </w:rPr>
        <w:t>开展“进四区”</w:t>
      </w:r>
      <w:r>
        <w:rPr>
          <w:rStyle w:val="16"/>
          <w:rFonts w:hint="default" w:ascii="Times New Roman" w:hAnsi="Times New Roman" w:eastAsia="方正仿宋_GBK" w:cs="Times New Roman"/>
          <w:bCs/>
          <w:color w:val="auto"/>
          <w:kern w:val="0"/>
          <w:sz w:val="32"/>
          <w:szCs w:val="32"/>
          <w:highlight w:val="none"/>
        </w:rPr>
        <w:footnoteReference w:id="1"/>
      </w:r>
      <w:r>
        <w:rPr>
          <w:rFonts w:hint="default" w:ascii="Times New Roman" w:hAnsi="Times New Roman" w:eastAsia="方正仿宋_GBK" w:cs="Times New Roman"/>
          <w:bCs/>
          <w:color w:val="auto"/>
          <w:kern w:val="0"/>
          <w:sz w:val="32"/>
          <w:szCs w:val="32"/>
          <w:highlight w:val="none"/>
        </w:rPr>
        <w:t>政策宣讲</w:t>
      </w:r>
      <w:r>
        <w:rPr>
          <w:rFonts w:hint="default" w:ascii="Times New Roman" w:hAnsi="Times New Roman" w:eastAsia="方正仿宋_GBK" w:cs="Times New Roman"/>
          <w:bCs/>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举办各类招聘活动</w:t>
      </w:r>
      <w:r>
        <w:rPr>
          <w:rFonts w:hint="default" w:ascii="Times New Roman" w:hAnsi="Times New Roman" w:eastAsia="方正仿宋_GBK" w:cs="Times New Roman"/>
          <w:color w:val="auto"/>
          <w:sz w:val="32"/>
          <w:szCs w:val="32"/>
          <w:highlight w:val="none"/>
          <w:lang w:val="en-US" w:eastAsia="zh-CN"/>
        </w:rPr>
        <w:t>260</w:t>
      </w:r>
      <w:r>
        <w:rPr>
          <w:rFonts w:hint="default" w:ascii="Times New Roman" w:hAnsi="Times New Roman" w:eastAsia="方正仿宋_GBK" w:cs="Times New Roman"/>
          <w:color w:val="auto"/>
          <w:sz w:val="32"/>
          <w:szCs w:val="32"/>
          <w:highlight w:val="none"/>
          <w:lang w:eastAsia="zh-CN"/>
        </w:rPr>
        <w:t>场，发布就业岗位</w:t>
      </w:r>
      <w:r>
        <w:rPr>
          <w:rFonts w:hint="default" w:ascii="Times New Roman" w:hAnsi="Times New Roman" w:eastAsia="方正仿宋_GBK" w:cs="Times New Roman"/>
          <w:color w:val="auto"/>
          <w:sz w:val="32"/>
          <w:szCs w:val="32"/>
          <w:highlight w:val="none"/>
          <w:lang w:val="en-US" w:eastAsia="zh-CN"/>
        </w:rPr>
        <w:t>6万个，</w:t>
      </w:r>
      <w:r>
        <w:rPr>
          <w:rFonts w:hint="default" w:ascii="Times New Roman" w:hAnsi="Times New Roman" w:eastAsia="方正仿宋_GBK" w:cs="Times New Roman"/>
          <w:color w:val="auto"/>
          <w:sz w:val="32"/>
          <w:szCs w:val="32"/>
          <w:highlight w:val="none"/>
          <w:lang w:eastAsia="zh-CN"/>
        </w:rPr>
        <w:t>城镇新增就</w:t>
      </w:r>
      <w:r>
        <w:rPr>
          <w:rFonts w:hint="default" w:ascii="Times New Roman" w:hAnsi="Times New Roman" w:eastAsia="方正仿宋_GBK" w:cs="Times New Roman"/>
          <w:color w:val="auto"/>
          <w:sz w:val="32"/>
          <w:szCs w:val="32"/>
          <w:highlight w:val="none"/>
          <w:lang w:val="en-US" w:eastAsia="zh-CN"/>
        </w:rPr>
        <w:t>业2.41万人</w:t>
      </w:r>
      <w:r>
        <w:rPr>
          <w:rFonts w:hint="default" w:ascii="Times New Roman" w:hAnsi="Times New Roman" w:eastAsia="方正仿宋_GBK" w:cs="Times New Roman"/>
          <w:color w:val="auto"/>
          <w:sz w:val="32"/>
          <w:szCs w:val="32"/>
          <w:highlight w:val="none"/>
          <w:lang w:eastAsia="zh-CN"/>
        </w:rPr>
        <w:t>。支持成功自主创业</w:t>
      </w:r>
      <w:r>
        <w:rPr>
          <w:rFonts w:hint="default" w:ascii="Times New Roman" w:hAnsi="Times New Roman" w:eastAsia="方正仿宋_GBK" w:cs="Times New Roman"/>
          <w:color w:val="auto"/>
          <w:sz w:val="32"/>
          <w:szCs w:val="32"/>
          <w:highlight w:val="none"/>
          <w:lang w:val="en-US" w:eastAsia="zh-CN"/>
        </w:rPr>
        <w:t>3750</w:t>
      </w:r>
      <w:r>
        <w:rPr>
          <w:rFonts w:hint="default" w:ascii="Times New Roman" w:hAnsi="Times New Roman" w:eastAsia="方正仿宋_GBK" w:cs="Times New Roman"/>
          <w:color w:val="auto"/>
          <w:sz w:val="32"/>
          <w:szCs w:val="32"/>
          <w:highlight w:val="none"/>
          <w:lang w:eastAsia="zh-CN"/>
        </w:rPr>
        <w:t>人，其中大学生成功创业</w:t>
      </w:r>
      <w:r>
        <w:rPr>
          <w:rFonts w:hint="default" w:ascii="Times New Roman" w:hAnsi="Times New Roman" w:eastAsia="方正仿宋_GBK" w:cs="Times New Roman"/>
          <w:color w:val="auto"/>
          <w:sz w:val="32"/>
          <w:szCs w:val="32"/>
          <w:highlight w:val="none"/>
          <w:lang w:val="en-US" w:eastAsia="zh-CN"/>
        </w:rPr>
        <w:t>668</w:t>
      </w:r>
      <w:r>
        <w:rPr>
          <w:rFonts w:hint="default" w:ascii="Times New Roman" w:hAnsi="Times New Roman" w:eastAsia="方正仿宋_GBK" w:cs="Times New Roman"/>
          <w:color w:val="auto"/>
          <w:sz w:val="32"/>
          <w:szCs w:val="32"/>
          <w:highlight w:val="none"/>
          <w:lang w:eastAsia="zh-CN"/>
        </w:rPr>
        <w:t>人，新增大学生就业参保</w:t>
      </w:r>
      <w:r>
        <w:rPr>
          <w:rFonts w:hint="default" w:ascii="Times New Roman" w:hAnsi="Times New Roman" w:eastAsia="方正仿宋_GBK" w:cs="Times New Roman"/>
          <w:color w:val="auto"/>
          <w:sz w:val="32"/>
          <w:szCs w:val="32"/>
          <w:highlight w:val="none"/>
          <w:lang w:val="en-US" w:eastAsia="zh-CN"/>
        </w:rPr>
        <w:t>7.1</w:t>
      </w:r>
      <w:r>
        <w:rPr>
          <w:rFonts w:hint="default" w:ascii="Times New Roman" w:hAnsi="Times New Roman" w:eastAsia="方正仿宋_GBK" w:cs="Times New Roman"/>
          <w:color w:val="auto"/>
          <w:sz w:val="32"/>
          <w:szCs w:val="32"/>
          <w:highlight w:val="none"/>
          <w:lang w:eastAsia="zh-CN"/>
        </w:rPr>
        <w:t>万人，落实大学生就业创业资金补贴</w:t>
      </w:r>
      <w:r>
        <w:rPr>
          <w:rFonts w:hint="default" w:ascii="Times New Roman" w:hAnsi="Times New Roman" w:eastAsia="方正仿宋_GBK" w:cs="Times New Roman"/>
          <w:color w:val="auto"/>
          <w:sz w:val="32"/>
          <w:szCs w:val="32"/>
          <w:highlight w:val="none"/>
          <w:lang w:val="en-US" w:eastAsia="zh-CN"/>
        </w:rPr>
        <w:t>8000</w:t>
      </w:r>
      <w:r>
        <w:rPr>
          <w:rFonts w:hint="default" w:ascii="Times New Roman" w:hAnsi="Times New Roman" w:eastAsia="方正仿宋_GBK" w:cs="Times New Roman"/>
          <w:color w:val="auto"/>
          <w:sz w:val="32"/>
          <w:szCs w:val="32"/>
          <w:highlight w:val="none"/>
          <w:lang w:eastAsia="zh-CN"/>
        </w:rPr>
        <w:t>余万元。开发残疾人公益性岗位13个，全年安置残疾人就业60人。搭建秦淮特色人力资源服务业综合服务云平台，</w:t>
      </w:r>
      <w:r>
        <w:rPr>
          <w:rFonts w:hint="default" w:ascii="Times New Roman" w:hAnsi="Times New Roman" w:eastAsia="方正仿宋_GBK" w:cs="Times New Roman"/>
          <w:color w:val="auto"/>
          <w:sz w:val="32"/>
          <w:szCs w:val="32"/>
          <w:highlight w:val="none"/>
        </w:rPr>
        <w:t>承办全市</w:t>
      </w:r>
      <w:r>
        <w:rPr>
          <w:rFonts w:hint="default" w:ascii="Times New Roman" w:hAnsi="Times New Roman" w:eastAsia="方正仿宋_GBK" w:cs="Times New Roman"/>
          <w:color w:val="auto"/>
          <w:sz w:val="32"/>
          <w:szCs w:val="32"/>
          <w:highlight w:val="none"/>
          <w:lang w:eastAsia="zh-CN"/>
        </w:rPr>
        <w:t>首届</w:t>
      </w:r>
      <w:r>
        <w:rPr>
          <w:rFonts w:hint="default" w:ascii="Times New Roman" w:hAnsi="Times New Roman" w:eastAsia="方正仿宋_GBK" w:cs="Times New Roman"/>
          <w:color w:val="auto"/>
          <w:sz w:val="32"/>
          <w:szCs w:val="32"/>
          <w:highlight w:val="none"/>
        </w:rPr>
        <w:t>“劳动关系协调员”技能大赛，成立全省首家区域博士后科研工作站联合体</w:t>
      </w:r>
      <w:r>
        <w:rPr>
          <w:rFonts w:hint="default" w:ascii="Times New Roman" w:hAnsi="Times New Roman" w:eastAsia="方正仿宋_GBK" w:cs="Times New Roman"/>
          <w:color w:val="auto"/>
          <w:sz w:val="32"/>
          <w:szCs w:val="32"/>
          <w:highlight w:val="none"/>
          <w:lang w:eastAsia="zh-CN"/>
        </w:rPr>
        <w:t>。举办第七届“赢在秦淮”青创赛，开展“宁聚汇”创业沙龙，政策赋能创业带动就业。</w:t>
      </w:r>
    </w:p>
    <w:p w14:paraId="1B923C27">
      <w:pPr>
        <w:keepNext w:val="0"/>
        <w:keepLines w:val="0"/>
        <w:pageBreakBefore w:val="0"/>
        <w:shd w:val="clear"/>
        <w:kinsoku/>
        <w:wordWrap/>
        <w:overflowPunct/>
        <w:topLinePunct w:val="0"/>
        <w:autoSpaceDN/>
        <w:bidi w:val="0"/>
        <w:adjustRightInd/>
        <w:spacing w:line="520" w:lineRule="exact"/>
        <w:ind w:firstLine="640" w:firstLineChars="200"/>
        <w:textAlignment w:val="auto"/>
        <w:outlineLvl w:val="2"/>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楷体_GBK" w:cs="Times New Roman"/>
          <w:bCs/>
          <w:color w:val="auto"/>
          <w:kern w:val="0"/>
          <w:sz w:val="32"/>
          <w:szCs w:val="32"/>
          <w:highlight w:val="none"/>
          <w:lang w:val="en-US" w:eastAsia="zh-CN"/>
        </w:rPr>
        <w:t>2</w:t>
      </w:r>
      <w:r>
        <w:rPr>
          <w:rFonts w:hint="default" w:ascii="Times New Roman" w:hAnsi="Times New Roman" w:eastAsia="方正楷体_GBK" w:cs="Times New Roman"/>
          <w:bCs/>
          <w:color w:val="auto"/>
          <w:kern w:val="0"/>
          <w:sz w:val="32"/>
          <w:szCs w:val="32"/>
          <w:highlight w:val="none"/>
        </w:rPr>
        <w:t>、托底保障更有温度。</w:t>
      </w:r>
      <w:r>
        <w:rPr>
          <w:rFonts w:hint="default" w:ascii="Times New Roman" w:hAnsi="Times New Roman" w:eastAsia="方正仿宋_GBK" w:cs="Times New Roman"/>
          <w:color w:val="auto"/>
          <w:sz w:val="32"/>
          <w:szCs w:val="32"/>
          <w:highlight w:val="none"/>
        </w:rPr>
        <w:t>建成大光路街道综合养老服务中心，升级银发助餐点2个</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完成</w:t>
      </w:r>
      <w:r>
        <w:rPr>
          <w:rFonts w:hint="default" w:ascii="Times New Roman" w:hAnsi="Times New Roman" w:eastAsia="方正仿宋_GBK" w:cs="Times New Roman"/>
          <w:color w:val="auto"/>
          <w:sz w:val="32"/>
          <w:szCs w:val="32"/>
          <w:highlight w:val="none"/>
          <w:lang w:val="en-US" w:eastAsia="zh-CN"/>
        </w:rPr>
        <w:t>400</w:t>
      </w:r>
      <w:r>
        <w:rPr>
          <w:rFonts w:hint="default" w:ascii="Times New Roman" w:hAnsi="Times New Roman" w:eastAsia="方正仿宋_GBK" w:cs="Times New Roman"/>
          <w:color w:val="auto"/>
          <w:sz w:val="32"/>
          <w:szCs w:val="32"/>
          <w:highlight w:val="none"/>
        </w:rPr>
        <w:t>户</w:t>
      </w:r>
      <w:r>
        <w:rPr>
          <w:rFonts w:hint="default" w:ascii="Times New Roman" w:hAnsi="Times New Roman" w:eastAsia="方正仿宋_GBK" w:cs="Times New Roman"/>
          <w:color w:val="auto"/>
          <w:sz w:val="32"/>
          <w:szCs w:val="32"/>
          <w:highlight w:val="none"/>
          <w:lang w:eastAsia="zh-CN"/>
        </w:rPr>
        <w:t>家庭</w:t>
      </w:r>
      <w:r>
        <w:rPr>
          <w:rFonts w:hint="default" w:ascii="Times New Roman" w:hAnsi="Times New Roman" w:eastAsia="方正仿宋_GBK" w:cs="Times New Roman"/>
          <w:color w:val="auto"/>
          <w:sz w:val="32"/>
          <w:szCs w:val="32"/>
          <w:highlight w:val="none"/>
        </w:rPr>
        <w:t>适老化改造</w:t>
      </w:r>
      <w:r>
        <w:rPr>
          <w:rFonts w:hint="default" w:ascii="Times New Roman" w:hAnsi="Times New Roman" w:eastAsia="方正仿宋_GBK" w:cs="Times New Roman"/>
          <w:color w:val="auto"/>
          <w:sz w:val="32"/>
          <w:szCs w:val="32"/>
          <w:highlight w:val="none"/>
          <w:lang w:eastAsia="zh-CN"/>
        </w:rPr>
        <w:t>，全年</w:t>
      </w:r>
      <w:r>
        <w:rPr>
          <w:rFonts w:hint="default" w:ascii="Times New Roman" w:hAnsi="Times New Roman" w:eastAsia="方正仿宋_GBK" w:cs="Times New Roman"/>
          <w:color w:val="auto"/>
          <w:sz w:val="32"/>
          <w:szCs w:val="32"/>
          <w:highlight w:val="none"/>
        </w:rPr>
        <w:t>新增养老床位</w:t>
      </w:r>
      <w:r>
        <w:rPr>
          <w:rFonts w:hint="default" w:ascii="Times New Roman" w:hAnsi="Times New Roman" w:eastAsia="方正仿宋_GBK" w:cs="Times New Roman"/>
          <w:color w:val="auto"/>
          <w:sz w:val="32"/>
          <w:szCs w:val="32"/>
          <w:highlight w:val="none"/>
          <w:lang w:val="en-US" w:eastAsia="zh-CN"/>
        </w:rPr>
        <w:t>492</w:t>
      </w:r>
      <w:r>
        <w:rPr>
          <w:rFonts w:hint="default" w:ascii="Times New Roman" w:hAnsi="Times New Roman" w:eastAsia="方正仿宋_GBK" w:cs="Times New Roman"/>
          <w:color w:val="auto"/>
          <w:sz w:val="32"/>
          <w:szCs w:val="32"/>
          <w:highlight w:val="none"/>
        </w:rPr>
        <w:t>张</w:t>
      </w:r>
      <w:r>
        <w:rPr>
          <w:rFonts w:hint="default" w:ascii="Times New Roman" w:hAnsi="Times New Roman" w:eastAsia="方正仿宋_GBK" w:cs="Times New Roman"/>
          <w:color w:val="auto"/>
          <w:sz w:val="32"/>
          <w:szCs w:val="32"/>
          <w:highlight w:val="none"/>
          <w:lang w:eastAsia="zh-CN"/>
        </w:rPr>
        <w:t>，红花街道景泰苑社区创成市儿童友好社区</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全区</w:t>
      </w:r>
      <w:r>
        <w:rPr>
          <w:rFonts w:hint="default" w:ascii="Times New Roman" w:hAnsi="Times New Roman" w:eastAsia="方正仿宋_GBK" w:cs="Times New Roman"/>
          <w:color w:val="auto"/>
          <w:sz w:val="32"/>
          <w:szCs w:val="32"/>
          <w:highlight w:val="none"/>
          <w:lang w:val="en-US" w:eastAsia="zh-CN"/>
        </w:rPr>
        <w:t>低保对象、困境儿童、困难残疾人服务保障覆盖率均达100%，</w:t>
      </w:r>
      <w:r>
        <w:rPr>
          <w:rFonts w:hint="default" w:ascii="Times New Roman" w:hAnsi="Times New Roman" w:eastAsia="方正仿宋_GBK" w:cs="Times New Roman"/>
          <w:color w:val="auto"/>
          <w:kern w:val="0"/>
          <w:sz w:val="32"/>
          <w:szCs w:val="32"/>
          <w:highlight w:val="none"/>
          <w:lang w:bidi="ar"/>
        </w:rPr>
        <w:t>累计发放低保金</w:t>
      </w:r>
      <w:r>
        <w:rPr>
          <w:rFonts w:hint="default" w:ascii="Times New Roman" w:hAnsi="Times New Roman" w:eastAsia="方正仿宋_GBK" w:cs="Times New Roman"/>
          <w:color w:val="auto"/>
          <w:kern w:val="0"/>
          <w:sz w:val="32"/>
          <w:szCs w:val="32"/>
          <w:highlight w:val="none"/>
          <w:lang w:val="en-US" w:eastAsia="zh-CN" w:bidi="ar"/>
        </w:rPr>
        <w:t>4700</w:t>
      </w:r>
      <w:r>
        <w:rPr>
          <w:rFonts w:hint="default" w:ascii="Times New Roman" w:hAnsi="Times New Roman" w:eastAsia="方正仿宋_GBK" w:cs="Times New Roman"/>
          <w:color w:val="auto"/>
          <w:kern w:val="0"/>
          <w:sz w:val="32"/>
          <w:szCs w:val="32"/>
          <w:highlight w:val="none"/>
          <w:lang w:eastAsia="zh-CN" w:bidi="ar"/>
        </w:rPr>
        <w:t>余</w:t>
      </w:r>
      <w:r>
        <w:rPr>
          <w:rFonts w:hint="default" w:ascii="Times New Roman" w:hAnsi="Times New Roman" w:eastAsia="方正仿宋_GBK" w:cs="Times New Roman"/>
          <w:color w:val="auto"/>
          <w:kern w:val="0"/>
          <w:sz w:val="32"/>
          <w:szCs w:val="32"/>
          <w:highlight w:val="none"/>
          <w:lang w:bidi="ar"/>
        </w:rPr>
        <w:t>万元</w:t>
      </w:r>
      <w:r>
        <w:rPr>
          <w:rFonts w:hint="default" w:ascii="Times New Roman" w:hAnsi="Times New Roman" w:eastAsia="方正仿宋_GBK" w:cs="Times New Roman"/>
          <w:color w:val="auto"/>
          <w:kern w:val="0"/>
          <w:sz w:val="32"/>
          <w:szCs w:val="32"/>
          <w:highlight w:val="none"/>
          <w:lang w:eastAsia="zh-CN" w:bidi="ar"/>
        </w:rPr>
        <w:t>、残疾人“两补”</w:t>
      </w:r>
      <w:r>
        <w:rPr>
          <w:rFonts w:hint="default" w:ascii="Times New Roman" w:hAnsi="Times New Roman" w:eastAsia="方正仿宋_GBK" w:cs="Times New Roman"/>
          <w:color w:val="auto"/>
          <w:kern w:val="0"/>
          <w:sz w:val="32"/>
          <w:szCs w:val="32"/>
          <w:highlight w:val="none"/>
          <w:lang w:val="en-US" w:eastAsia="zh-CN" w:bidi="ar"/>
        </w:rPr>
        <w:t>2700</w:t>
      </w:r>
      <w:r>
        <w:rPr>
          <w:rFonts w:hint="default" w:ascii="Times New Roman" w:hAnsi="Times New Roman" w:eastAsia="方正仿宋_GBK" w:cs="Times New Roman"/>
          <w:color w:val="auto"/>
          <w:kern w:val="0"/>
          <w:sz w:val="32"/>
          <w:szCs w:val="32"/>
          <w:highlight w:val="none"/>
          <w:lang w:bidi="ar"/>
        </w:rPr>
        <w:t>多万元</w:t>
      </w:r>
      <w:r>
        <w:rPr>
          <w:rFonts w:hint="default" w:ascii="Times New Roman" w:hAnsi="Times New Roman" w:eastAsia="方正仿宋_GBK" w:cs="Times New Roman"/>
          <w:color w:val="auto"/>
          <w:kern w:val="0"/>
          <w:sz w:val="32"/>
          <w:szCs w:val="32"/>
          <w:highlight w:val="none"/>
          <w:lang w:eastAsia="zh-CN" w:bidi="ar"/>
        </w:rPr>
        <w:t>，</w:t>
      </w:r>
      <w:r>
        <w:rPr>
          <w:rFonts w:hint="default" w:ascii="Times New Roman" w:hAnsi="Times New Roman" w:eastAsia="方正仿宋_GBK" w:cs="Times New Roman"/>
          <w:color w:val="auto"/>
          <w:sz w:val="32"/>
          <w:szCs w:val="32"/>
          <w:highlight w:val="none"/>
          <w:lang w:eastAsia="zh-CN"/>
        </w:rPr>
        <w:t>成为</w:t>
      </w:r>
      <w:r>
        <w:rPr>
          <w:rFonts w:hint="default" w:ascii="Times New Roman" w:hAnsi="Times New Roman" w:eastAsia="方正仿宋_GBK" w:cs="Times New Roman"/>
          <w:color w:val="auto"/>
          <w:sz w:val="32"/>
          <w:szCs w:val="32"/>
          <w:highlight w:val="none"/>
        </w:rPr>
        <w:t>省级社会救助领域创新实践试点单位</w:t>
      </w:r>
      <w:r>
        <w:rPr>
          <w:rFonts w:hint="default" w:ascii="Times New Roman" w:hAnsi="Times New Roman" w:eastAsia="方正仿宋_GBK" w:cs="Times New Roman"/>
          <w:color w:val="auto"/>
          <w:sz w:val="32"/>
          <w:szCs w:val="32"/>
          <w:highlight w:val="none"/>
          <w:lang w:eastAsia="zh-CN"/>
        </w:rPr>
        <w:t>。全力打造“15分钟医保服务圈”，完成</w:t>
      </w:r>
      <w:r>
        <w:rPr>
          <w:rFonts w:hint="default"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lang w:eastAsia="zh-CN"/>
        </w:rPr>
        <w:t>幢危房消险和</w:t>
      </w:r>
      <w:r>
        <w:rPr>
          <w:rFonts w:hint="default" w:ascii="Times New Roman" w:hAnsi="Times New Roman" w:eastAsia="方正仿宋_GBK" w:cs="Times New Roman"/>
          <w:color w:val="auto"/>
          <w:sz w:val="32"/>
          <w:szCs w:val="32"/>
          <w:highlight w:val="none"/>
        </w:rPr>
        <w:t>18个</w:t>
      </w:r>
      <w:r>
        <w:rPr>
          <w:rFonts w:hint="default" w:ascii="Times New Roman" w:hAnsi="Times New Roman" w:eastAsia="方正仿宋_GBK" w:cs="Times New Roman"/>
          <w:color w:val="auto"/>
          <w:sz w:val="32"/>
          <w:szCs w:val="32"/>
          <w:highlight w:val="none"/>
          <w:lang w:eastAsia="zh-CN"/>
        </w:rPr>
        <w:t>老旧小区</w:t>
      </w:r>
      <w:r>
        <w:rPr>
          <w:rFonts w:hint="default" w:ascii="Times New Roman" w:hAnsi="Times New Roman" w:eastAsia="方正仿宋_GBK" w:cs="Times New Roman"/>
          <w:color w:val="auto"/>
          <w:sz w:val="32"/>
          <w:szCs w:val="32"/>
          <w:highlight w:val="none"/>
        </w:rPr>
        <w:t>改造项目</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观泓雅苑2729套房源全部交付。</w:t>
      </w:r>
      <w:r>
        <w:rPr>
          <w:rFonts w:hint="default" w:ascii="Times New Roman" w:hAnsi="Times New Roman" w:eastAsia="方正仿宋_GBK" w:cs="Times New Roman"/>
          <w:color w:val="auto"/>
          <w:sz w:val="32"/>
          <w:szCs w:val="32"/>
          <w:highlight w:val="none"/>
          <w:lang w:eastAsia="zh-CN"/>
        </w:rPr>
        <w:t>大力保障全区</w:t>
      </w:r>
      <w:r>
        <w:rPr>
          <w:rFonts w:hint="default" w:ascii="Times New Roman" w:hAnsi="Times New Roman" w:eastAsia="方正仿宋_GBK" w:cs="Times New Roman"/>
          <w:color w:val="auto"/>
          <w:sz w:val="32"/>
          <w:szCs w:val="32"/>
          <w:highlight w:val="none"/>
        </w:rPr>
        <w:t>708户在保中低收入困难家庭，累计发放租赁补贴资金</w:t>
      </w:r>
      <w:r>
        <w:rPr>
          <w:rFonts w:hint="default" w:ascii="Times New Roman" w:hAnsi="Times New Roman" w:eastAsia="方正仿宋_GBK" w:cs="Times New Roman"/>
          <w:color w:val="auto"/>
          <w:sz w:val="32"/>
          <w:szCs w:val="32"/>
          <w:highlight w:val="none"/>
          <w:lang w:eastAsia="zh-CN"/>
        </w:rPr>
        <w:t>约</w:t>
      </w:r>
      <w:r>
        <w:rPr>
          <w:rFonts w:hint="default" w:ascii="Times New Roman" w:hAnsi="Times New Roman" w:eastAsia="方正仿宋_GBK" w:cs="Times New Roman"/>
          <w:color w:val="auto"/>
          <w:sz w:val="32"/>
          <w:szCs w:val="32"/>
          <w:highlight w:val="none"/>
          <w:lang w:val="en-US" w:eastAsia="zh-CN"/>
        </w:rPr>
        <w:t>786</w:t>
      </w:r>
      <w:r>
        <w:rPr>
          <w:rFonts w:hint="default" w:ascii="Times New Roman" w:hAnsi="Times New Roman" w:eastAsia="方正仿宋_GBK" w:cs="Times New Roman"/>
          <w:color w:val="auto"/>
          <w:sz w:val="32"/>
          <w:szCs w:val="32"/>
          <w:highlight w:val="none"/>
        </w:rPr>
        <w:t>万元</w:t>
      </w:r>
      <w:r>
        <w:rPr>
          <w:rFonts w:hint="default" w:ascii="Times New Roman" w:hAnsi="Times New Roman" w:eastAsia="方正仿宋_GBK" w:cs="Times New Roman"/>
          <w:color w:val="auto"/>
          <w:sz w:val="32"/>
          <w:szCs w:val="32"/>
          <w:highlight w:val="none"/>
          <w:lang w:eastAsia="zh-CN"/>
        </w:rPr>
        <w:t>。</w:t>
      </w:r>
    </w:p>
    <w:p w14:paraId="6A8800EE">
      <w:pPr>
        <w:jc w:val="center"/>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表八 民生保障进展情况</w:t>
      </w:r>
    </w:p>
    <w:tbl>
      <w:tblPr>
        <w:tblStyle w:val="13"/>
        <w:tblW w:w="8820" w:type="dxa"/>
        <w:jc w:val="center"/>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Layout w:type="fixed"/>
        <w:tblCellMar>
          <w:top w:w="0" w:type="dxa"/>
          <w:left w:w="108" w:type="dxa"/>
          <w:bottom w:w="0" w:type="dxa"/>
          <w:right w:w="108" w:type="dxa"/>
        </w:tblCellMar>
      </w:tblPr>
      <w:tblGrid>
        <w:gridCol w:w="2078"/>
        <w:gridCol w:w="6742"/>
      </w:tblGrid>
      <w:tr w14:paraId="6E96AED1">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443106B0">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主要领域</w:t>
            </w:r>
          </w:p>
        </w:tc>
        <w:tc>
          <w:tcPr>
            <w:tcW w:w="6742" w:type="dxa"/>
            <w:tcBorders>
              <w:top w:val="single" w:color="000000" w:sz="6" w:space="0"/>
              <w:bottom w:val="single" w:color="000000" w:sz="6" w:space="0"/>
            </w:tcBorders>
            <w:noWrap/>
            <w:vAlign w:val="center"/>
          </w:tcPr>
          <w:p w14:paraId="66A1B2FD">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主要进展</w:t>
            </w:r>
          </w:p>
        </w:tc>
      </w:tr>
      <w:tr w14:paraId="7875CA84">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30B67C50">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就业创业</w:t>
            </w:r>
          </w:p>
        </w:tc>
        <w:tc>
          <w:tcPr>
            <w:tcW w:w="6742" w:type="dxa"/>
            <w:tcBorders>
              <w:top w:val="single" w:color="000000" w:sz="6" w:space="0"/>
              <w:bottom w:val="single" w:color="000000" w:sz="6" w:space="0"/>
            </w:tcBorders>
            <w:noWrap/>
            <w:vAlign w:val="center"/>
          </w:tcPr>
          <w:p w14:paraId="7EAF936E">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城镇新增就业</w:t>
            </w:r>
            <w:r>
              <w:rPr>
                <w:rFonts w:hint="default" w:ascii="Times New Roman" w:hAnsi="Times New Roman" w:eastAsia="方正仿宋_GBK" w:cs="Times New Roman"/>
                <w:color w:val="auto"/>
                <w:kern w:val="0"/>
                <w:sz w:val="24"/>
                <w:highlight w:val="none"/>
                <w:lang w:val="en-US" w:eastAsia="zh-CN"/>
              </w:rPr>
              <w:t>2.41</w:t>
            </w:r>
            <w:r>
              <w:rPr>
                <w:rFonts w:hint="default" w:ascii="Times New Roman" w:hAnsi="Times New Roman" w:eastAsia="方正仿宋_GBK" w:cs="Times New Roman"/>
                <w:color w:val="auto"/>
                <w:kern w:val="0"/>
                <w:sz w:val="24"/>
                <w:highlight w:val="none"/>
              </w:rPr>
              <w:t>万人</w:t>
            </w:r>
            <w:r>
              <w:rPr>
                <w:rFonts w:hint="default" w:ascii="Times New Roman" w:hAnsi="Times New Roman" w:eastAsia="方正仿宋_GBK" w:cs="Times New Roman"/>
                <w:color w:val="auto"/>
                <w:kern w:val="0"/>
                <w:sz w:val="24"/>
                <w:highlight w:val="none"/>
                <w:lang w:eastAsia="zh-CN"/>
              </w:rPr>
              <w:t>，</w:t>
            </w:r>
            <w:r>
              <w:rPr>
                <w:rFonts w:hint="eastAsia" w:ascii="Times New Roman" w:hAnsi="Times New Roman" w:eastAsia="方正仿宋_GBK" w:cs="Times New Roman"/>
                <w:color w:val="auto"/>
                <w:kern w:val="0"/>
                <w:sz w:val="24"/>
                <w:highlight w:val="none"/>
                <w:lang w:eastAsia="zh-CN"/>
              </w:rPr>
              <w:t>就业</w:t>
            </w:r>
            <w:r>
              <w:rPr>
                <w:rFonts w:hint="default" w:ascii="Times New Roman" w:hAnsi="Times New Roman" w:eastAsia="方正仿宋_GBK" w:cs="Times New Roman"/>
                <w:color w:val="auto"/>
                <w:kern w:val="0"/>
                <w:sz w:val="24"/>
                <w:highlight w:val="none"/>
              </w:rPr>
              <w:t>困难人员就业</w:t>
            </w:r>
            <w:r>
              <w:rPr>
                <w:rFonts w:hint="eastAsia" w:ascii="Times New Roman" w:hAnsi="Times New Roman" w:eastAsia="方正仿宋_GBK" w:cs="Times New Roman"/>
                <w:color w:val="auto"/>
                <w:kern w:val="0"/>
                <w:sz w:val="24"/>
                <w:highlight w:val="none"/>
                <w:lang w:val="en-US" w:eastAsia="zh-CN"/>
              </w:rPr>
              <w:t>达超市目标</w:t>
            </w:r>
            <w:r>
              <w:rPr>
                <w:rFonts w:hint="default" w:ascii="Times New Roman" w:hAnsi="Times New Roman" w:eastAsia="方正仿宋_GBK" w:cs="Times New Roman"/>
                <w:color w:val="auto"/>
                <w:kern w:val="0"/>
                <w:sz w:val="24"/>
                <w:highlight w:val="none"/>
                <w:lang w:eastAsia="zh-CN"/>
              </w:rPr>
              <w:t>。</w:t>
            </w:r>
          </w:p>
          <w:p w14:paraId="538115BB">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新增留学回国人员535人</w:t>
            </w:r>
            <w:r>
              <w:rPr>
                <w:rFonts w:hint="default" w:ascii="Times New Roman" w:hAnsi="Times New Roman" w:eastAsia="方正仿宋_GBK" w:cs="Times New Roman"/>
                <w:color w:val="auto"/>
                <w:kern w:val="0"/>
                <w:sz w:val="24"/>
                <w:highlight w:val="none"/>
                <w:lang w:eastAsia="zh-CN"/>
              </w:rPr>
              <w:t>，新引进博士后</w:t>
            </w:r>
            <w:r>
              <w:rPr>
                <w:rFonts w:hint="default" w:ascii="Times New Roman" w:hAnsi="Times New Roman" w:eastAsia="方正仿宋_GBK" w:cs="Times New Roman"/>
                <w:color w:val="auto"/>
                <w:kern w:val="0"/>
                <w:sz w:val="24"/>
                <w:highlight w:val="none"/>
                <w:lang w:val="en-US" w:eastAsia="zh-CN"/>
              </w:rPr>
              <w:t>12人</w:t>
            </w:r>
            <w:r>
              <w:rPr>
                <w:rFonts w:hint="default" w:ascii="Times New Roman" w:hAnsi="Times New Roman" w:eastAsia="方正仿宋_GBK" w:cs="Times New Roman"/>
                <w:color w:val="auto"/>
                <w:kern w:val="0"/>
                <w:sz w:val="24"/>
                <w:highlight w:val="none"/>
              </w:rPr>
              <w:t>。</w:t>
            </w:r>
          </w:p>
          <w:p w14:paraId="63147F60">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开展秦淮首届“城”聘会系列活动；创建社区“家门口”就业服务站，为本地户籍未就业的大学生提供“1311”</w:t>
            </w:r>
            <w:r>
              <w:rPr>
                <w:rStyle w:val="16"/>
                <w:rFonts w:hint="default" w:ascii="Times New Roman" w:hAnsi="Times New Roman" w:eastAsia="方正仿宋_GBK" w:cs="Times New Roman"/>
                <w:color w:val="auto"/>
                <w:kern w:val="0"/>
                <w:sz w:val="24"/>
                <w:highlight w:val="none"/>
              </w:rPr>
              <w:footnoteReference w:id="2"/>
            </w:r>
            <w:r>
              <w:rPr>
                <w:rFonts w:hint="default" w:ascii="Times New Roman" w:hAnsi="Times New Roman" w:eastAsia="方正仿宋_GBK" w:cs="Times New Roman"/>
                <w:color w:val="auto"/>
                <w:kern w:val="0"/>
                <w:sz w:val="24"/>
                <w:highlight w:val="none"/>
              </w:rPr>
              <w:t>就业服务</w:t>
            </w:r>
            <w:r>
              <w:rPr>
                <w:rFonts w:hint="default" w:ascii="Times New Roman" w:hAnsi="Times New Roman" w:eastAsia="方正仿宋_GBK" w:cs="Times New Roman"/>
                <w:color w:val="auto"/>
                <w:kern w:val="0"/>
                <w:sz w:val="24"/>
                <w:highlight w:val="none"/>
                <w:lang w:eastAsia="zh-CN"/>
              </w:rPr>
              <w:t>。</w:t>
            </w:r>
          </w:p>
          <w:p w14:paraId="1485A2AD">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全区拥有省级大学生创业园4个、市级大学生创业园区6个，青年大学生创业企业实体超1万户。</w:t>
            </w:r>
          </w:p>
          <w:p w14:paraId="6F0DCB7D">
            <w:pPr>
              <w:numPr>
                <w:ilvl w:val="0"/>
                <w:numId w:val="2"/>
              </w:numPr>
              <w:spacing w:line="300" w:lineRule="exact"/>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24"/>
                <w:highlight w:val="none"/>
                <w:lang w:eastAsia="zh-CN"/>
              </w:rPr>
              <w:t>补贴性职业技能培训</w:t>
            </w:r>
            <w:r>
              <w:rPr>
                <w:rFonts w:hint="default" w:ascii="Times New Roman" w:hAnsi="Times New Roman" w:eastAsia="方正仿宋_GBK" w:cs="Times New Roman"/>
                <w:color w:val="auto"/>
                <w:kern w:val="0"/>
                <w:sz w:val="24"/>
                <w:highlight w:val="none"/>
                <w:lang w:val="en-US" w:eastAsia="zh-CN"/>
              </w:rPr>
              <w:t>14425</w:t>
            </w:r>
            <w:r>
              <w:rPr>
                <w:rFonts w:hint="default" w:ascii="Times New Roman" w:hAnsi="Times New Roman" w:eastAsia="方正仿宋_GBK" w:cs="Times New Roman"/>
                <w:color w:val="auto"/>
                <w:kern w:val="0"/>
                <w:sz w:val="24"/>
                <w:highlight w:val="none"/>
                <w:lang w:eastAsia="zh-CN"/>
              </w:rPr>
              <w:t>人次，新增高技能人才</w:t>
            </w:r>
            <w:r>
              <w:rPr>
                <w:rFonts w:hint="default" w:ascii="Times New Roman" w:hAnsi="Times New Roman" w:eastAsia="方正仿宋_GBK" w:cs="Times New Roman"/>
                <w:color w:val="auto"/>
                <w:kern w:val="0"/>
                <w:sz w:val="24"/>
                <w:highlight w:val="none"/>
                <w:lang w:val="en-US" w:eastAsia="zh-CN"/>
              </w:rPr>
              <w:t>1850</w:t>
            </w:r>
            <w:r>
              <w:rPr>
                <w:rFonts w:hint="default" w:ascii="Times New Roman" w:hAnsi="Times New Roman" w:eastAsia="方正仿宋_GBK" w:cs="Times New Roman"/>
                <w:color w:val="auto"/>
                <w:kern w:val="0"/>
                <w:sz w:val="24"/>
                <w:highlight w:val="none"/>
                <w:lang w:eastAsia="zh-CN"/>
              </w:rPr>
              <w:t>人。</w:t>
            </w:r>
          </w:p>
        </w:tc>
      </w:tr>
      <w:tr w14:paraId="4DD1ED8D">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51E82E79">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社会帮扶</w:t>
            </w:r>
          </w:p>
        </w:tc>
        <w:tc>
          <w:tcPr>
            <w:tcW w:w="6742" w:type="dxa"/>
            <w:tcBorders>
              <w:top w:val="single" w:color="000000" w:sz="6" w:space="0"/>
              <w:bottom w:val="single" w:color="000000" w:sz="6" w:space="0"/>
            </w:tcBorders>
            <w:noWrap/>
            <w:vAlign w:val="center"/>
          </w:tcPr>
          <w:p w14:paraId="647464ED">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eastAsia" w:ascii="Times New Roman" w:hAnsi="Times New Roman" w:eastAsia="方正仿宋_GBK" w:cs="Times New Roman"/>
                <w:color w:val="auto"/>
                <w:kern w:val="0"/>
                <w:sz w:val="24"/>
                <w:highlight w:val="none"/>
                <w:lang w:eastAsia="zh-CN"/>
              </w:rPr>
              <w:t>光华路街道率先建设“</w:t>
            </w:r>
            <w:r>
              <w:rPr>
                <w:rFonts w:hint="eastAsia" w:ascii="Times New Roman" w:hAnsi="Times New Roman" w:eastAsia="方正仿宋_GBK" w:cs="Times New Roman"/>
                <w:color w:val="auto"/>
                <w:kern w:val="0"/>
                <w:sz w:val="24"/>
                <w:highlight w:val="none"/>
                <w:lang w:val="en-US" w:eastAsia="zh-CN"/>
              </w:rPr>
              <w:t>15分钟医保服务圈</w:t>
            </w:r>
            <w:r>
              <w:rPr>
                <w:rFonts w:hint="eastAsia" w:ascii="Times New Roman" w:hAnsi="Times New Roman" w:eastAsia="方正仿宋_GBK" w:cs="Times New Roman"/>
                <w:color w:val="auto"/>
                <w:kern w:val="0"/>
                <w:sz w:val="24"/>
                <w:highlight w:val="none"/>
                <w:lang w:eastAsia="zh-CN"/>
              </w:rPr>
              <w:t>”省级示范点。</w:t>
            </w:r>
          </w:p>
          <w:p w14:paraId="66B4A56B">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培训失能老年人家庭成员480人</w:t>
            </w:r>
            <w:r>
              <w:rPr>
                <w:rFonts w:hint="default" w:ascii="Times New Roman" w:hAnsi="Times New Roman" w:eastAsia="方正仿宋_GBK" w:cs="Times New Roman"/>
                <w:color w:val="auto"/>
                <w:kern w:val="0"/>
                <w:sz w:val="24"/>
                <w:highlight w:val="none"/>
                <w:lang w:eastAsia="zh-CN"/>
              </w:rPr>
              <w:t>。</w:t>
            </w:r>
          </w:p>
          <w:p w14:paraId="79CB7AC5">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探索“新市民”临时救助，成为2023年省级社会救助领域创新实践试点单位</w:t>
            </w:r>
            <w:r>
              <w:rPr>
                <w:rFonts w:hint="default" w:ascii="Times New Roman" w:hAnsi="Times New Roman" w:eastAsia="方正仿宋_GBK" w:cs="Times New Roman"/>
                <w:color w:val="auto"/>
                <w:kern w:val="0"/>
                <w:sz w:val="24"/>
                <w:highlight w:val="none"/>
                <w:lang w:eastAsia="zh-CN"/>
              </w:rPr>
              <w:t>。</w:t>
            </w:r>
          </w:p>
          <w:p w14:paraId="17C5FF47">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对3</w:t>
            </w:r>
            <w:r>
              <w:rPr>
                <w:rFonts w:hint="default" w:ascii="Times New Roman" w:hAnsi="Times New Roman" w:eastAsia="方正仿宋_GBK" w:cs="Times New Roman"/>
                <w:color w:val="auto"/>
                <w:kern w:val="0"/>
                <w:sz w:val="24"/>
                <w:highlight w:val="none"/>
                <w:lang w:val="en-US" w:eastAsia="zh-CN"/>
              </w:rPr>
              <w:t>4</w:t>
            </w:r>
            <w:r>
              <w:rPr>
                <w:rFonts w:hint="default" w:ascii="Times New Roman" w:hAnsi="Times New Roman" w:eastAsia="方正仿宋_GBK" w:cs="Times New Roman"/>
                <w:color w:val="auto"/>
                <w:kern w:val="0"/>
                <w:sz w:val="24"/>
                <w:highlight w:val="none"/>
              </w:rPr>
              <w:t>14户4</w:t>
            </w:r>
            <w:r>
              <w:rPr>
                <w:rFonts w:hint="default" w:ascii="Times New Roman" w:hAnsi="Times New Roman" w:eastAsia="方正仿宋_GBK" w:cs="Times New Roman"/>
                <w:color w:val="auto"/>
                <w:kern w:val="0"/>
                <w:sz w:val="24"/>
                <w:highlight w:val="none"/>
                <w:lang w:val="en-US" w:eastAsia="zh-CN"/>
              </w:rPr>
              <w:t>373名</w:t>
            </w:r>
            <w:r>
              <w:rPr>
                <w:rFonts w:hint="default" w:ascii="Times New Roman" w:hAnsi="Times New Roman" w:eastAsia="方正仿宋_GBK" w:cs="Times New Roman"/>
                <w:color w:val="auto"/>
                <w:kern w:val="0"/>
                <w:sz w:val="24"/>
                <w:highlight w:val="none"/>
              </w:rPr>
              <w:t>低保对象，累计发放低保金</w:t>
            </w:r>
            <w:r>
              <w:rPr>
                <w:rFonts w:hint="default" w:ascii="Times New Roman" w:hAnsi="Times New Roman" w:eastAsia="方正仿宋_GBK" w:cs="Times New Roman"/>
                <w:color w:val="auto"/>
                <w:kern w:val="0"/>
                <w:sz w:val="24"/>
                <w:highlight w:val="none"/>
                <w:lang w:val="en-US" w:eastAsia="zh-CN"/>
              </w:rPr>
              <w:t>4700多</w:t>
            </w:r>
            <w:r>
              <w:rPr>
                <w:rFonts w:hint="default" w:ascii="Times New Roman" w:hAnsi="Times New Roman" w:eastAsia="方正仿宋_GBK" w:cs="Times New Roman"/>
                <w:color w:val="auto"/>
                <w:kern w:val="0"/>
                <w:sz w:val="24"/>
                <w:highlight w:val="none"/>
              </w:rPr>
              <w:t>万元</w:t>
            </w:r>
            <w:r>
              <w:rPr>
                <w:rFonts w:hint="default" w:ascii="Times New Roman" w:hAnsi="Times New Roman" w:eastAsia="方正仿宋_GBK" w:cs="Times New Roman"/>
                <w:color w:val="auto"/>
                <w:kern w:val="0"/>
                <w:sz w:val="24"/>
                <w:highlight w:val="none"/>
                <w:lang w:eastAsia="zh-CN"/>
              </w:rPr>
              <w:t>。</w:t>
            </w:r>
          </w:p>
          <w:p w14:paraId="12870DFB">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同步调整残疾人“两补”发放标准，累计发放2</w:t>
            </w:r>
            <w:r>
              <w:rPr>
                <w:rFonts w:hint="default" w:ascii="Times New Roman" w:hAnsi="Times New Roman" w:eastAsia="方正仿宋_GBK" w:cs="Times New Roman"/>
                <w:color w:val="auto"/>
                <w:kern w:val="0"/>
                <w:sz w:val="24"/>
                <w:highlight w:val="none"/>
                <w:lang w:val="en-US" w:eastAsia="zh-CN"/>
              </w:rPr>
              <w:t>7</w:t>
            </w:r>
            <w:r>
              <w:rPr>
                <w:rFonts w:hint="default" w:ascii="Times New Roman" w:hAnsi="Times New Roman" w:eastAsia="方正仿宋_GBK" w:cs="Times New Roman"/>
                <w:color w:val="auto"/>
                <w:kern w:val="0"/>
                <w:sz w:val="24"/>
                <w:highlight w:val="none"/>
              </w:rPr>
              <w:t>00多万元</w:t>
            </w:r>
            <w:r>
              <w:rPr>
                <w:rFonts w:hint="default" w:ascii="Times New Roman" w:hAnsi="Times New Roman" w:eastAsia="方正仿宋_GBK" w:cs="Times New Roman"/>
                <w:color w:val="auto"/>
                <w:kern w:val="0"/>
                <w:sz w:val="24"/>
                <w:highlight w:val="none"/>
                <w:lang w:eastAsia="zh-CN"/>
              </w:rPr>
              <w:t>。</w:t>
            </w:r>
          </w:p>
          <w:p w14:paraId="68B962AE">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为全区低保对象、特困人员、困境儿童等4696人发放物价补贴80.17万元</w:t>
            </w:r>
            <w:r>
              <w:rPr>
                <w:rFonts w:hint="default" w:ascii="Times New Roman" w:hAnsi="Times New Roman" w:eastAsia="方正仿宋_GBK" w:cs="Times New Roman"/>
                <w:color w:val="auto"/>
                <w:kern w:val="0"/>
                <w:sz w:val="24"/>
                <w:highlight w:val="none"/>
                <w:lang w:eastAsia="zh-CN"/>
              </w:rPr>
              <w:t>。</w:t>
            </w:r>
          </w:p>
          <w:p w14:paraId="7A5567B8">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为340名0-17岁残疾儿童签订残联、康复机构、家长三方协议书</w:t>
            </w:r>
            <w:r>
              <w:rPr>
                <w:rFonts w:hint="default" w:ascii="Times New Roman" w:hAnsi="Times New Roman" w:eastAsia="方正仿宋_GBK" w:cs="Times New Roman"/>
                <w:color w:val="auto"/>
                <w:kern w:val="0"/>
                <w:sz w:val="24"/>
                <w:highlight w:val="none"/>
                <w:lang w:eastAsia="zh-CN"/>
              </w:rPr>
              <w:t>；为2</w:t>
            </w:r>
            <w:r>
              <w:rPr>
                <w:rFonts w:hint="default" w:ascii="Times New Roman" w:hAnsi="Times New Roman" w:eastAsia="方正仿宋_GBK" w:cs="Times New Roman"/>
                <w:color w:val="auto"/>
                <w:kern w:val="0"/>
                <w:sz w:val="24"/>
                <w:highlight w:val="none"/>
                <w:lang w:val="en-US" w:eastAsia="zh-CN"/>
              </w:rPr>
              <w:t>36</w:t>
            </w:r>
            <w:r>
              <w:rPr>
                <w:rFonts w:hint="default" w:ascii="Times New Roman" w:hAnsi="Times New Roman" w:eastAsia="方正仿宋_GBK" w:cs="Times New Roman"/>
                <w:color w:val="auto"/>
                <w:kern w:val="0"/>
                <w:sz w:val="24"/>
                <w:highlight w:val="none"/>
                <w:lang w:eastAsia="zh-CN"/>
              </w:rPr>
              <w:t>名贫困残疾人免费配发辅助器具2</w:t>
            </w:r>
            <w:r>
              <w:rPr>
                <w:rFonts w:hint="default" w:ascii="Times New Roman" w:hAnsi="Times New Roman" w:eastAsia="方正仿宋_GBK" w:cs="Times New Roman"/>
                <w:color w:val="auto"/>
                <w:kern w:val="0"/>
                <w:sz w:val="24"/>
                <w:highlight w:val="none"/>
                <w:lang w:val="en-US" w:eastAsia="zh-CN"/>
              </w:rPr>
              <w:t>58</w:t>
            </w:r>
            <w:r>
              <w:rPr>
                <w:rFonts w:hint="default" w:ascii="Times New Roman" w:hAnsi="Times New Roman" w:eastAsia="方正仿宋_GBK" w:cs="Times New Roman"/>
                <w:color w:val="auto"/>
                <w:kern w:val="0"/>
                <w:sz w:val="24"/>
                <w:highlight w:val="none"/>
                <w:lang w:eastAsia="zh-CN"/>
              </w:rPr>
              <w:t>件。</w:t>
            </w:r>
          </w:p>
          <w:p w14:paraId="445D2DD2">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受理劳动维权案件4290件</w:t>
            </w:r>
            <w:r>
              <w:rPr>
                <w:rFonts w:hint="default" w:ascii="Times New Roman" w:hAnsi="Times New Roman" w:eastAsia="方正仿宋_GBK" w:cs="Times New Roman"/>
                <w:color w:val="auto"/>
                <w:kern w:val="0"/>
                <w:sz w:val="24"/>
                <w:highlight w:val="none"/>
                <w:lang w:eastAsia="zh-CN"/>
              </w:rPr>
              <w:t>，为4500余名劳动者追发工资等待遇数额6100万元。</w:t>
            </w:r>
          </w:p>
        </w:tc>
      </w:tr>
      <w:tr w14:paraId="56DBD75F">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403FDF07">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保障房建设</w:t>
            </w:r>
          </w:p>
        </w:tc>
        <w:tc>
          <w:tcPr>
            <w:tcW w:w="6742" w:type="dxa"/>
            <w:tcBorders>
              <w:top w:val="single" w:color="000000" w:sz="6" w:space="0"/>
              <w:bottom w:val="single" w:color="000000" w:sz="6" w:space="0"/>
            </w:tcBorders>
            <w:noWrap/>
            <w:vAlign w:val="center"/>
          </w:tcPr>
          <w:p w14:paraId="5FC78B9A">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杨庄北侧保障房住宅部分交付</w:t>
            </w:r>
            <w:r>
              <w:rPr>
                <w:rFonts w:hint="default" w:ascii="Times New Roman" w:hAnsi="Times New Roman" w:eastAsia="方正仿宋_GBK" w:cs="Times New Roman"/>
                <w:color w:val="auto"/>
                <w:kern w:val="0"/>
                <w:sz w:val="24"/>
                <w:highlight w:val="none"/>
                <w:lang w:eastAsia="zh-CN"/>
              </w:rPr>
              <w:t>在即。</w:t>
            </w:r>
          </w:p>
          <w:p w14:paraId="4CC7F15B">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eastAsia="zh-CN"/>
              </w:rPr>
              <w:t>中牌楼保障房一期A地块，共计8幢、3.1万平方米住宅、396套房源已交付。</w:t>
            </w:r>
          </w:p>
          <w:p w14:paraId="5ABEBA94">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中牌楼保障房二期B地块9幢建筑主体封顶；C地块完成桩基、支护桩施工。</w:t>
            </w:r>
          </w:p>
        </w:tc>
      </w:tr>
    </w:tbl>
    <w:p w14:paraId="3BBAFF47">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jc w:val="both"/>
        <w:textAlignment w:val="auto"/>
        <w:outlineLvl w:val="2"/>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楷体_GBK" w:cs="Times New Roman"/>
          <w:bCs/>
          <w:color w:val="auto"/>
          <w:kern w:val="0"/>
          <w:sz w:val="32"/>
          <w:szCs w:val="32"/>
          <w:highlight w:val="none"/>
          <w:lang w:val="en-US" w:eastAsia="zh-CN"/>
        </w:rPr>
        <w:t>3、</w:t>
      </w:r>
      <w:r>
        <w:rPr>
          <w:rFonts w:hint="default" w:ascii="Times New Roman" w:hAnsi="Times New Roman" w:eastAsia="方正楷体_GBK" w:cs="Times New Roman"/>
          <w:bCs/>
          <w:color w:val="auto"/>
          <w:kern w:val="0"/>
          <w:sz w:val="32"/>
          <w:szCs w:val="32"/>
          <w:highlight w:val="none"/>
        </w:rPr>
        <w:t>公共服务优质共享。</w:t>
      </w:r>
      <w:r>
        <w:rPr>
          <w:rFonts w:hint="default" w:ascii="Times New Roman" w:hAnsi="Times New Roman" w:eastAsia="方正仿宋_GBK" w:cs="Times New Roman"/>
          <w:bCs/>
          <w:color w:val="auto"/>
          <w:kern w:val="0"/>
          <w:sz w:val="32"/>
          <w:szCs w:val="32"/>
          <w:highlight w:val="none"/>
        </w:rPr>
        <w:t>“国家县域学前教育普及普惠”创建</w:t>
      </w:r>
      <w:r>
        <w:rPr>
          <w:rFonts w:hint="default" w:ascii="Times New Roman" w:hAnsi="Times New Roman" w:eastAsia="方正仿宋_GBK" w:cs="Times New Roman"/>
          <w:bCs/>
          <w:color w:val="auto"/>
          <w:kern w:val="0"/>
          <w:sz w:val="32"/>
          <w:szCs w:val="32"/>
          <w:highlight w:val="none"/>
          <w:lang w:eastAsia="zh-CN"/>
        </w:rPr>
        <w:t>通过国家平台</w:t>
      </w:r>
      <w:r>
        <w:rPr>
          <w:rFonts w:hint="default" w:ascii="Times New Roman" w:hAnsi="Times New Roman" w:eastAsia="方正仿宋_GBK" w:cs="Times New Roman"/>
          <w:bCs/>
          <w:color w:val="auto"/>
          <w:kern w:val="0"/>
          <w:sz w:val="32"/>
          <w:szCs w:val="32"/>
          <w:highlight w:val="none"/>
        </w:rPr>
        <w:t>审核</w:t>
      </w:r>
      <w:r>
        <w:rPr>
          <w:rFonts w:hint="default" w:ascii="Times New Roman" w:hAnsi="Times New Roman" w:eastAsia="方正仿宋_GBK" w:cs="Times New Roman"/>
          <w:bCs/>
          <w:color w:val="auto"/>
          <w:kern w:val="0"/>
          <w:sz w:val="32"/>
          <w:szCs w:val="32"/>
          <w:highlight w:val="none"/>
          <w:lang w:eastAsia="zh-CN"/>
        </w:rPr>
        <w:t>，学前教育普及普惠监测达标率全市第</w:t>
      </w:r>
      <w:r>
        <w:rPr>
          <w:rFonts w:hint="default" w:ascii="Times New Roman" w:hAnsi="Times New Roman" w:eastAsia="方正仿宋_GBK" w:cs="Times New Roman"/>
          <w:bCs/>
          <w:color w:val="auto"/>
          <w:kern w:val="0"/>
          <w:sz w:val="32"/>
          <w:szCs w:val="32"/>
          <w:highlight w:val="none"/>
          <w:lang w:val="en-US" w:eastAsia="zh-CN"/>
        </w:rPr>
        <w:t>1，</w:t>
      </w:r>
      <w:r>
        <w:rPr>
          <w:rFonts w:hint="default" w:ascii="Times New Roman" w:hAnsi="Times New Roman" w:eastAsia="方正仿宋_GBK" w:cs="Times New Roman"/>
          <w:bCs/>
          <w:color w:val="auto"/>
          <w:sz w:val="32"/>
          <w:szCs w:val="32"/>
          <w:highlight w:val="none"/>
        </w:rPr>
        <w:t>连续4年</w:t>
      </w:r>
      <w:r>
        <w:rPr>
          <w:rFonts w:hint="default" w:ascii="Times New Roman" w:hAnsi="Times New Roman" w:eastAsia="方正仿宋_GBK" w:cs="Times New Roman"/>
          <w:bCs/>
          <w:color w:val="auto"/>
          <w:sz w:val="32"/>
          <w:szCs w:val="32"/>
          <w:highlight w:val="none"/>
          <w:lang w:eastAsia="zh-CN"/>
        </w:rPr>
        <w:t>获评</w:t>
      </w:r>
      <w:r>
        <w:rPr>
          <w:rFonts w:hint="default" w:ascii="Times New Roman" w:hAnsi="Times New Roman" w:eastAsia="方正仿宋_GBK" w:cs="Times New Roman"/>
          <w:bCs/>
          <w:color w:val="auto"/>
          <w:sz w:val="32"/>
          <w:szCs w:val="32"/>
          <w:highlight w:val="none"/>
        </w:rPr>
        <w:t>南京市学校安全工作优秀单位</w:t>
      </w:r>
      <w:r>
        <w:rPr>
          <w:rFonts w:hint="default" w:ascii="Times New Roman" w:hAnsi="Times New Roman" w:eastAsia="方正仿宋_GBK" w:cs="Times New Roman"/>
          <w:bCs/>
          <w:color w:val="auto"/>
          <w:kern w:val="0"/>
          <w:sz w:val="32"/>
          <w:szCs w:val="32"/>
          <w:highlight w:val="none"/>
        </w:rPr>
        <w:t>。</w:t>
      </w:r>
      <w:r>
        <w:rPr>
          <w:rFonts w:hint="default" w:ascii="Times New Roman" w:hAnsi="Times New Roman" w:eastAsia="方正仿宋_GBK" w:cs="Times New Roman"/>
          <w:color w:val="auto"/>
          <w:sz w:val="32"/>
          <w:szCs w:val="32"/>
          <w:highlight w:val="none"/>
          <w:lang w:val="en-US" w:eastAsia="zh-CN"/>
        </w:rPr>
        <w:t>南京市中医院建成全市首家以运动康复为主要功能的体育医院，大光路中心-红十字医院联合病房正式开放，</w:t>
      </w:r>
      <w:r>
        <w:rPr>
          <w:rFonts w:hint="eastAsia" w:ascii="Times New Roman" w:hAnsi="Times New Roman" w:eastAsia="方正仿宋_GBK" w:cs="Times New Roman"/>
          <w:color w:val="auto"/>
          <w:sz w:val="32"/>
          <w:szCs w:val="32"/>
          <w:highlight w:val="none"/>
          <w:lang w:val="en-US" w:eastAsia="zh-CN"/>
        </w:rPr>
        <w:t>我区通过</w:t>
      </w:r>
      <w:r>
        <w:rPr>
          <w:rFonts w:hint="default" w:ascii="Times New Roman" w:hAnsi="Times New Roman" w:eastAsia="方正仿宋_GBK" w:cs="Times New Roman"/>
          <w:color w:val="auto"/>
          <w:sz w:val="32"/>
          <w:szCs w:val="32"/>
          <w:highlight w:val="none"/>
          <w:lang w:val="en-US" w:eastAsia="zh-CN"/>
        </w:rPr>
        <w:t>首批全国医养结合示范区</w:t>
      </w:r>
      <w:r>
        <w:rPr>
          <w:rFonts w:hint="eastAsia" w:ascii="Times New Roman" w:hAnsi="Times New Roman" w:eastAsia="方正仿宋_GBK" w:cs="Times New Roman"/>
          <w:color w:val="auto"/>
          <w:sz w:val="32"/>
          <w:szCs w:val="32"/>
          <w:highlight w:val="none"/>
          <w:lang w:val="en-US" w:eastAsia="zh-CN"/>
        </w:rPr>
        <w:t>验收</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eastAsia="zh-CN"/>
        </w:rPr>
        <w:t>成功举办全国射箭锦标赛，</w:t>
      </w:r>
      <w:r>
        <w:rPr>
          <w:rFonts w:hint="default" w:ascii="Times New Roman" w:hAnsi="Times New Roman" w:eastAsia="方正仿宋_GBK" w:cs="Times New Roman"/>
          <w:color w:val="auto"/>
          <w:sz w:val="32"/>
          <w:szCs w:val="32"/>
          <w:highlight w:val="none"/>
          <w:lang w:val="en-US" w:eastAsia="zh-CN"/>
        </w:rPr>
        <w:t>新建银龙鑫苑、四方新村2个百姓健身房，建成双桥新村、武定门公园篮球场等4片灯光球场，</w:t>
      </w:r>
      <w:r>
        <w:rPr>
          <w:rFonts w:hint="default" w:ascii="Times New Roman" w:hAnsi="Times New Roman" w:eastAsia="方正仿宋_GBK" w:cs="Times New Roman"/>
          <w:color w:val="auto"/>
          <w:sz w:val="32"/>
          <w:szCs w:val="32"/>
          <w:highlight w:val="none"/>
        </w:rPr>
        <w:t>全年举办各类文化活动2000余场</w:t>
      </w:r>
      <w:r>
        <w:rPr>
          <w:rFonts w:hint="default" w:ascii="Times New Roman" w:hAnsi="Times New Roman" w:eastAsia="方正仿宋_GBK" w:cs="Times New Roman"/>
          <w:color w:val="auto"/>
          <w:sz w:val="32"/>
          <w:szCs w:val="32"/>
          <w:highlight w:val="none"/>
          <w:lang w:eastAsia="zh-CN"/>
        </w:rPr>
        <w:t>。</w:t>
      </w:r>
    </w:p>
    <w:p w14:paraId="250AF96C">
      <w:pPr>
        <w:numPr>
          <w:ilvl w:val="0"/>
          <w:numId w:val="0"/>
        </w:numPr>
        <w:jc w:val="center"/>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表九 公共事业进展情况</w:t>
      </w:r>
    </w:p>
    <w:tbl>
      <w:tblPr>
        <w:tblStyle w:val="13"/>
        <w:tblW w:w="8820" w:type="dxa"/>
        <w:jc w:val="center"/>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Layout w:type="fixed"/>
        <w:tblCellMar>
          <w:top w:w="0" w:type="dxa"/>
          <w:left w:w="108" w:type="dxa"/>
          <w:bottom w:w="0" w:type="dxa"/>
          <w:right w:w="108" w:type="dxa"/>
        </w:tblCellMar>
      </w:tblPr>
      <w:tblGrid>
        <w:gridCol w:w="2078"/>
        <w:gridCol w:w="6742"/>
      </w:tblGrid>
      <w:tr w14:paraId="01D38507">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2D7CE3D1">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主要领域</w:t>
            </w:r>
          </w:p>
        </w:tc>
        <w:tc>
          <w:tcPr>
            <w:tcW w:w="6742" w:type="dxa"/>
            <w:tcBorders>
              <w:top w:val="single" w:color="000000" w:sz="6" w:space="0"/>
              <w:bottom w:val="single" w:color="000000" w:sz="6" w:space="0"/>
            </w:tcBorders>
            <w:noWrap/>
            <w:vAlign w:val="center"/>
          </w:tcPr>
          <w:p w14:paraId="1723E010">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主要进展</w:t>
            </w:r>
          </w:p>
        </w:tc>
      </w:tr>
      <w:tr w14:paraId="268C75CE">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2C3764D9">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教育</w:t>
            </w:r>
          </w:p>
        </w:tc>
        <w:tc>
          <w:tcPr>
            <w:tcW w:w="6742" w:type="dxa"/>
            <w:tcBorders>
              <w:top w:val="single" w:color="000000" w:sz="6" w:space="0"/>
              <w:bottom w:val="single" w:color="000000" w:sz="6" w:space="0"/>
            </w:tcBorders>
            <w:noWrap/>
            <w:vAlign w:val="center"/>
          </w:tcPr>
          <w:p w14:paraId="694580C6">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eastAsia="zh-CN"/>
              </w:rPr>
              <w:t>学前教育普及普惠监测达标率为96.2%，比上一年度提升3.9%，位列全市第一。</w:t>
            </w:r>
          </w:p>
          <w:p w14:paraId="1ECA952D">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sz w:val="24"/>
                <w:szCs w:val="24"/>
                <w:highlight w:val="none"/>
              </w:rPr>
              <w:t>南京外国语学校南部新城校区正式投用，首批1200余名学生进驻</w:t>
            </w:r>
            <w:r>
              <w:rPr>
                <w:rFonts w:hint="default" w:ascii="Times New Roman" w:hAnsi="Times New Roman" w:eastAsia="方正仿宋_GBK" w:cs="Times New Roman"/>
                <w:color w:val="auto"/>
                <w:sz w:val="24"/>
                <w:szCs w:val="24"/>
                <w:highlight w:val="none"/>
                <w:lang w:eastAsia="zh-CN"/>
              </w:rPr>
              <w:t>。</w:t>
            </w:r>
          </w:p>
          <w:p w14:paraId="16677F6D">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后标营小学获评“全国国防教育示范学校”</w:t>
            </w:r>
            <w:r>
              <w:rPr>
                <w:rFonts w:hint="default" w:ascii="Times New Roman" w:hAnsi="Times New Roman" w:eastAsia="方正仿宋_GBK" w:cs="Times New Roman"/>
                <w:color w:val="auto"/>
                <w:kern w:val="0"/>
                <w:sz w:val="24"/>
                <w:highlight w:val="none"/>
                <w:lang w:eastAsia="zh-CN"/>
              </w:rPr>
              <w:t>。</w:t>
            </w:r>
          </w:p>
          <w:p w14:paraId="126ACEE0">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游府西街小学获评江苏省“双减”示范创建学校，新增2所南京市“双减”示范创建学校</w:t>
            </w:r>
            <w:r>
              <w:rPr>
                <w:rFonts w:hint="default" w:ascii="Times New Roman" w:hAnsi="Times New Roman" w:eastAsia="方正仿宋_GBK" w:cs="Times New Roman"/>
                <w:color w:val="auto"/>
                <w:kern w:val="0"/>
                <w:sz w:val="24"/>
                <w:highlight w:val="none"/>
                <w:lang w:eastAsia="zh-CN"/>
              </w:rPr>
              <w:t>。</w:t>
            </w:r>
          </w:p>
          <w:p w14:paraId="2E6B7DAD">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游府西街幼儿园创成“全国‘家校（园）共育’数字化项目第三批示范园”和“江苏省家校（园）共育数字化示范校（园）创建单位”。</w:t>
            </w:r>
          </w:p>
          <w:p w14:paraId="6E5C2BA3">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《江苏教育》局长论坛专栏推介我区</w:t>
            </w:r>
            <w:r>
              <w:rPr>
                <w:rFonts w:hint="default" w:ascii="Times New Roman" w:hAnsi="Times New Roman" w:eastAsia="方正仿宋_GBK" w:cs="Times New Roman"/>
                <w:color w:val="auto"/>
                <w:kern w:val="0"/>
                <w:sz w:val="24"/>
                <w:highlight w:val="none"/>
                <w:lang w:eastAsia="zh-CN"/>
              </w:rPr>
              <w:t>劳动教育</w:t>
            </w:r>
            <w:r>
              <w:rPr>
                <w:rFonts w:hint="default" w:ascii="Times New Roman" w:hAnsi="Times New Roman" w:eastAsia="方正仿宋_GBK" w:cs="Times New Roman"/>
                <w:color w:val="auto"/>
                <w:kern w:val="0"/>
                <w:sz w:val="24"/>
                <w:highlight w:val="none"/>
              </w:rPr>
              <w:t>典型做法，6所学校获评“2023年南京市劳动教育特色学校”。</w:t>
            </w:r>
          </w:p>
          <w:p w14:paraId="26385E68">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新增江苏省名校长工作室主持人1人，江苏省教学名师5人，正高级教师4人，南京市优秀青年教师36人，南京市优青培育计划3人，南京市优秀教育工作者11人。</w:t>
            </w:r>
          </w:p>
        </w:tc>
      </w:tr>
      <w:tr w14:paraId="0FB0DC6E">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20B90FE4">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医疗</w:t>
            </w:r>
          </w:p>
        </w:tc>
        <w:tc>
          <w:tcPr>
            <w:tcW w:w="6742" w:type="dxa"/>
            <w:tcBorders>
              <w:top w:val="single" w:color="000000" w:sz="6" w:space="0"/>
              <w:bottom w:val="single" w:color="000000" w:sz="6" w:space="0"/>
            </w:tcBorders>
            <w:noWrap/>
            <w:vAlign w:val="center"/>
          </w:tcPr>
          <w:p w14:paraId="74715A0A">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eastAsia="zh-CN"/>
              </w:rPr>
              <w:t>完成</w:t>
            </w:r>
            <w:r>
              <w:rPr>
                <w:rFonts w:hint="default" w:ascii="Times New Roman" w:hAnsi="Times New Roman" w:eastAsia="方正仿宋_GBK" w:cs="Times New Roman"/>
                <w:color w:val="auto"/>
                <w:kern w:val="0"/>
                <w:sz w:val="24"/>
                <w:highlight w:val="none"/>
              </w:rPr>
              <w:t>“两癌”筛查19677例</w:t>
            </w:r>
            <w:r>
              <w:rPr>
                <w:rFonts w:hint="default" w:ascii="Times New Roman" w:hAnsi="Times New Roman" w:eastAsia="方正仿宋_GBK" w:cs="Times New Roman"/>
                <w:color w:val="auto"/>
                <w:kern w:val="0"/>
                <w:sz w:val="24"/>
                <w:highlight w:val="none"/>
                <w:lang w:eastAsia="zh-CN"/>
              </w:rPr>
              <w:t>，开展“五癌”筛查19692例。</w:t>
            </w:r>
          </w:p>
          <w:p w14:paraId="39A498BA">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全区产前筛查率达99%，新生儿疾病筛查率99.27%</w:t>
            </w:r>
            <w:r>
              <w:rPr>
                <w:rFonts w:hint="default" w:ascii="Times New Roman" w:hAnsi="Times New Roman" w:eastAsia="方正仿宋_GBK" w:cs="Times New Roman"/>
                <w:color w:val="auto"/>
                <w:kern w:val="0"/>
                <w:sz w:val="24"/>
                <w:highlight w:val="none"/>
                <w:lang w:eastAsia="zh-CN"/>
              </w:rPr>
              <w:t>。</w:t>
            </w:r>
          </w:p>
          <w:p w14:paraId="42E59693">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val="en-US" w:eastAsia="zh-CN"/>
              </w:rPr>
              <w:t>朝天宫社区卫生服务中心授牌为南京市运动促进健康服务机构试点单位。</w:t>
            </w:r>
          </w:p>
          <w:p w14:paraId="30E758E8">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做实做细“互联网+护理服务”，完成线上预约、线下服务2033单。</w:t>
            </w:r>
          </w:p>
          <w:p w14:paraId="04166299">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在每个街道打造1-2个中医颐养健康驿站，</w:t>
            </w:r>
            <w:r>
              <w:rPr>
                <w:rFonts w:hint="default" w:ascii="Times New Roman" w:hAnsi="Times New Roman" w:eastAsia="方正仿宋_GBK" w:cs="Times New Roman"/>
                <w:color w:val="auto"/>
                <w:kern w:val="0"/>
                <w:sz w:val="24"/>
                <w:highlight w:val="none"/>
                <w:lang w:eastAsia="zh-CN"/>
              </w:rPr>
              <w:t>累计</w:t>
            </w:r>
            <w:r>
              <w:rPr>
                <w:rFonts w:hint="default" w:ascii="Times New Roman" w:hAnsi="Times New Roman" w:eastAsia="方正仿宋_GBK" w:cs="Times New Roman"/>
                <w:color w:val="auto"/>
                <w:kern w:val="0"/>
                <w:sz w:val="24"/>
                <w:highlight w:val="none"/>
              </w:rPr>
              <w:t>服务1800余名老年人。</w:t>
            </w:r>
          </w:p>
          <w:p w14:paraId="4CE585B9">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val="en-US" w:eastAsia="zh-CN"/>
              </w:rPr>
              <w:t>中医颐养项目入选南京市首届深化医改十大典型案例。</w:t>
            </w:r>
          </w:p>
        </w:tc>
      </w:tr>
      <w:tr w14:paraId="68656372">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67D38697">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文体</w:t>
            </w:r>
          </w:p>
        </w:tc>
        <w:tc>
          <w:tcPr>
            <w:tcW w:w="6742" w:type="dxa"/>
            <w:tcBorders>
              <w:top w:val="single" w:color="000000" w:sz="6" w:space="0"/>
              <w:bottom w:val="single" w:color="000000" w:sz="6" w:space="0"/>
            </w:tcBorders>
            <w:noWrap/>
            <w:vAlign w:val="center"/>
          </w:tcPr>
          <w:p w14:paraId="62209F59">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完成14家“微社区”运动俱乐部建设，主城第2</w:t>
            </w:r>
            <w:r>
              <w:rPr>
                <w:rFonts w:hint="default" w:ascii="Times New Roman" w:hAnsi="Times New Roman" w:eastAsia="方正仿宋_GBK" w:cs="Times New Roman"/>
                <w:color w:val="auto"/>
                <w:kern w:val="0"/>
                <w:sz w:val="24"/>
                <w:highlight w:val="none"/>
                <w:lang w:eastAsia="zh-CN"/>
              </w:rPr>
              <w:t>、</w:t>
            </w:r>
            <w:r>
              <w:rPr>
                <w:rFonts w:hint="default" w:ascii="Times New Roman" w:hAnsi="Times New Roman" w:eastAsia="方正仿宋_GBK" w:cs="Times New Roman"/>
                <w:color w:val="auto"/>
                <w:kern w:val="0"/>
                <w:sz w:val="24"/>
                <w:highlight w:val="none"/>
              </w:rPr>
              <w:t>全市第3</w:t>
            </w:r>
            <w:r>
              <w:rPr>
                <w:rFonts w:hint="default" w:ascii="Times New Roman" w:hAnsi="Times New Roman" w:eastAsia="方正仿宋_GBK" w:cs="Times New Roman"/>
                <w:color w:val="auto"/>
                <w:kern w:val="0"/>
                <w:sz w:val="24"/>
                <w:highlight w:val="none"/>
                <w:lang w:eastAsia="zh-CN"/>
              </w:rPr>
              <w:t>。</w:t>
            </w:r>
          </w:p>
          <w:p w14:paraId="3A786080">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深入开展“文明种子”孵化行动，组织“文明有‘宁’ 携手同行”市民行为规范宣讲宣传等活动208场</w:t>
            </w:r>
            <w:r>
              <w:rPr>
                <w:rFonts w:hint="default" w:ascii="Times New Roman" w:hAnsi="Times New Roman" w:eastAsia="方正仿宋_GBK" w:cs="Times New Roman"/>
                <w:color w:val="auto"/>
                <w:kern w:val="0"/>
                <w:sz w:val="24"/>
                <w:highlight w:val="none"/>
                <w:lang w:eastAsia="zh-CN"/>
              </w:rPr>
              <w:t>。</w:t>
            </w:r>
          </w:p>
          <w:p w14:paraId="0765285C">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非遗进熙南里街区入选江苏省第二批“无限定空间非遗进景区示范项目”，“六朝深处”非遗旅游线路入选“水韵江苏非遗主题精品旅游线路”</w:t>
            </w:r>
            <w:r>
              <w:rPr>
                <w:rFonts w:hint="default" w:ascii="Times New Roman" w:hAnsi="Times New Roman" w:eastAsia="方正仿宋_GBK" w:cs="Times New Roman"/>
                <w:color w:val="auto"/>
                <w:kern w:val="0"/>
                <w:sz w:val="24"/>
                <w:highlight w:val="none"/>
                <w:lang w:eastAsia="zh-CN"/>
              </w:rPr>
              <w:t>；</w:t>
            </w:r>
            <w:r>
              <w:rPr>
                <w:rFonts w:hint="default" w:ascii="Times New Roman" w:hAnsi="Times New Roman" w:eastAsia="方正仿宋_GBK" w:cs="Times New Roman"/>
                <w:color w:val="auto"/>
                <w:kern w:val="0"/>
                <w:sz w:val="24"/>
                <w:highlight w:val="none"/>
                <w:lang w:val="en-US" w:eastAsia="zh-CN"/>
              </w:rPr>
              <w:t>16个非遗项目入选省级非遗名录。</w:t>
            </w:r>
          </w:p>
          <w:p w14:paraId="5A3B8B4C">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全年开展各类社区健身活动900余次</w:t>
            </w:r>
            <w:r>
              <w:rPr>
                <w:rFonts w:hint="default" w:ascii="Times New Roman" w:hAnsi="Times New Roman" w:eastAsia="方正仿宋_GBK" w:cs="Times New Roman"/>
                <w:color w:val="auto"/>
                <w:kern w:val="0"/>
                <w:sz w:val="24"/>
                <w:highlight w:val="none"/>
                <w:lang w:eastAsia="zh-CN"/>
              </w:rPr>
              <w:t>，</w:t>
            </w:r>
            <w:r>
              <w:rPr>
                <w:rFonts w:hint="default" w:ascii="Times New Roman" w:hAnsi="Times New Roman" w:eastAsia="方正仿宋_GBK" w:cs="Times New Roman"/>
                <w:color w:val="auto"/>
                <w:kern w:val="0"/>
                <w:sz w:val="24"/>
                <w:highlight w:val="none"/>
              </w:rPr>
              <w:t>送出61场“你点我送”健身志愿服务和4700人免费国民体质测试。</w:t>
            </w:r>
          </w:p>
          <w:p w14:paraId="67E6BCB7">
            <w:pPr>
              <w:numPr>
                <w:ilvl w:val="0"/>
                <w:numId w:val="2"/>
              </w:numPr>
              <w:spacing w:line="300" w:lineRule="exact"/>
              <w:rPr>
                <w:rFonts w:hint="default" w:ascii="Times New Roman" w:hAnsi="Times New Roman" w:eastAsia="方正仿宋_GBK" w:cs="Times New Roman"/>
                <w:color w:val="auto"/>
                <w:kern w:val="0"/>
                <w:sz w:val="24"/>
                <w:highlight w:val="none"/>
                <w:lang w:eastAsia="zh-CN"/>
              </w:rPr>
            </w:pPr>
            <w:r>
              <w:rPr>
                <w:rFonts w:hint="default" w:ascii="Times New Roman" w:hAnsi="Times New Roman" w:eastAsia="方正仿宋_GBK" w:cs="Times New Roman"/>
                <w:color w:val="auto"/>
                <w:kern w:val="0"/>
                <w:sz w:val="24"/>
                <w:highlight w:val="none"/>
                <w:lang w:val="en-US" w:eastAsia="zh-CN"/>
              </w:rPr>
              <w:t>推进老城南博物馆集群聚落发展，整合近20家文博场馆资源，暑假期间区属博物馆接待总人次近50余万，举办社教活动180余场次，8000余名中小学生参与，恢复2019年同期水平。</w:t>
            </w:r>
          </w:p>
          <w:p w14:paraId="4F032D8F">
            <w:pPr>
              <w:numPr>
                <w:ilvl w:val="0"/>
                <w:numId w:val="2"/>
              </w:numPr>
              <w:spacing w:line="300" w:lineRule="exact"/>
              <w:rPr>
                <w:rFonts w:hint="default" w:ascii="Times New Roman" w:hAnsi="Times New Roman" w:eastAsia="方正仿宋_GBK" w:cs="Times New Roman"/>
                <w:color w:val="auto"/>
                <w:kern w:val="0"/>
                <w:sz w:val="24"/>
                <w:highlight w:val="none"/>
                <w:lang w:eastAsia="zh-CN"/>
              </w:rPr>
            </w:pPr>
            <w:r>
              <w:rPr>
                <w:rFonts w:hint="default" w:ascii="Times New Roman" w:hAnsi="Times New Roman" w:eastAsia="方正仿宋_GBK" w:cs="Times New Roman"/>
                <w:color w:val="auto"/>
                <w:kern w:val="0"/>
                <w:sz w:val="24"/>
                <w:highlight w:val="none"/>
                <w:lang w:val="en-US" w:eastAsia="zh-CN"/>
              </w:rPr>
              <w:t>创成省级科普示范区，举办科普活动200余场。</w:t>
            </w:r>
          </w:p>
          <w:p w14:paraId="404A0C83">
            <w:pPr>
              <w:numPr>
                <w:ilvl w:val="0"/>
                <w:numId w:val="2"/>
              </w:numPr>
              <w:spacing w:line="300" w:lineRule="exact"/>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24"/>
                <w:highlight w:val="none"/>
                <w:lang w:val="en-US" w:eastAsia="zh-CN"/>
              </w:rPr>
              <w:t>话剧《小西湖》获得2023紫金文化艺术节优秀剧目奖。</w:t>
            </w:r>
          </w:p>
        </w:tc>
      </w:tr>
    </w:tbl>
    <w:p w14:paraId="65F716E4">
      <w:pPr>
        <w:spacing w:line="560" w:lineRule="exact"/>
        <w:ind w:firstLine="640" w:firstLineChars="200"/>
        <w:outlineLvl w:val="1"/>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eastAsia="zh-CN"/>
        </w:rPr>
        <w:t>五</w:t>
      </w:r>
      <w:r>
        <w:rPr>
          <w:rFonts w:hint="default" w:ascii="Times New Roman" w:hAnsi="Times New Roman" w:eastAsia="方正黑体_GBK" w:cs="Times New Roman"/>
          <w:color w:val="auto"/>
          <w:kern w:val="0"/>
          <w:sz w:val="32"/>
          <w:szCs w:val="32"/>
          <w:highlight w:val="none"/>
        </w:rPr>
        <w:t>、</w:t>
      </w:r>
      <w:r>
        <w:rPr>
          <w:rFonts w:hint="default" w:ascii="Times New Roman" w:hAnsi="Times New Roman" w:eastAsia="方正黑体_GBK" w:cs="Times New Roman"/>
          <w:color w:val="auto"/>
          <w:kern w:val="0"/>
          <w:sz w:val="32"/>
          <w:szCs w:val="32"/>
          <w:highlight w:val="none"/>
          <w:lang w:eastAsia="zh-CN"/>
        </w:rPr>
        <w:t>深化改革、靠前预防</w:t>
      </w:r>
      <w:r>
        <w:rPr>
          <w:rFonts w:hint="default" w:ascii="Times New Roman" w:hAnsi="Times New Roman" w:eastAsia="方正黑体_GBK" w:cs="Times New Roman"/>
          <w:color w:val="auto"/>
          <w:kern w:val="0"/>
          <w:sz w:val="32"/>
          <w:szCs w:val="32"/>
          <w:highlight w:val="none"/>
        </w:rPr>
        <w:t>，</w:t>
      </w:r>
      <w:r>
        <w:rPr>
          <w:rFonts w:hint="default" w:ascii="Times New Roman" w:hAnsi="Times New Roman" w:eastAsia="方正黑体_GBK" w:cs="Times New Roman"/>
          <w:color w:val="auto"/>
          <w:kern w:val="0"/>
          <w:sz w:val="32"/>
          <w:szCs w:val="32"/>
          <w:highlight w:val="none"/>
          <w:lang w:eastAsia="zh-CN"/>
        </w:rPr>
        <w:t>治理能力显著提升</w:t>
      </w:r>
    </w:p>
    <w:p w14:paraId="7979A1CF">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楷体_GBK" w:cs="Times New Roman"/>
          <w:bCs/>
          <w:color w:val="auto"/>
          <w:kern w:val="0"/>
          <w:sz w:val="32"/>
          <w:szCs w:val="32"/>
          <w:highlight w:val="none"/>
        </w:rPr>
        <w:t>1、重点领域</w:t>
      </w:r>
      <w:r>
        <w:rPr>
          <w:rFonts w:hint="default" w:ascii="Times New Roman" w:hAnsi="Times New Roman" w:eastAsia="方正楷体_GBK" w:cs="Times New Roman"/>
          <w:bCs/>
          <w:color w:val="auto"/>
          <w:kern w:val="0"/>
          <w:sz w:val="32"/>
          <w:szCs w:val="32"/>
          <w:highlight w:val="none"/>
          <w:lang w:val="en-US" w:eastAsia="zh-CN"/>
        </w:rPr>
        <w:t>持续发力</w:t>
      </w:r>
      <w:r>
        <w:rPr>
          <w:rFonts w:hint="default" w:ascii="Times New Roman" w:hAnsi="Times New Roman" w:eastAsia="方正楷体_GBK" w:cs="Times New Roman"/>
          <w:bCs/>
          <w:color w:val="auto"/>
          <w:kern w:val="0"/>
          <w:sz w:val="32"/>
          <w:szCs w:val="32"/>
          <w:highlight w:val="none"/>
        </w:rPr>
        <w:t>。</w:t>
      </w:r>
      <w:r>
        <w:rPr>
          <w:rFonts w:hint="default" w:ascii="Times New Roman" w:hAnsi="Times New Roman" w:eastAsia="方正仿宋_GBK" w:cs="Times New Roman"/>
          <w:color w:val="auto"/>
          <w:sz w:val="32"/>
          <w:szCs w:val="32"/>
          <w:highlight w:val="none"/>
        </w:rPr>
        <w:t>“两赋两强”基层社会治理集成改革“秦淮模式”，获评南京市域社会治理现代化推广类创新项目。积极推进住所登记便利化改革，</w:t>
      </w:r>
      <w:r>
        <w:rPr>
          <w:rFonts w:hint="default" w:ascii="Times New Roman" w:hAnsi="Times New Roman" w:eastAsia="方正仿宋_GBK" w:cs="Times New Roman"/>
          <w:color w:val="auto"/>
          <w:sz w:val="32"/>
          <w:szCs w:val="32"/>
          <w:highlight w:val="none"/>
          <w:lang w:val="en-US" w:eastAsia="zh-CN"/>
        </w:rPr>
        <w:t>在</w:t>
      </w:r>
      <w:r>
        <w:rPr>
          <w:rFonts w:hint="default" w:ascii="Times New Roman" w:hAnsi="Times New Roman" w:eastAsia="方正仿宋_GBK" w:cs="Times New Roman"/>
          <w:color w:val="auto"/>
          <w:sz w:val="32"/>
          <w:szCs w:val="32"/>
          <w:highlight w:val="none"/>
        </w:rPr>
        <w:t>全市率先发出跨区“一照多址”备案执照</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进一步缩减</w:t>
      </w:r>
      <w:r>
        <w:rPr>
          <w:rFonts w:hint="default" w:ascii="Times New Roman" w:hAnsi="Times New Roman" w:eastAsia="方正仿宋_GBK" w:cs="Times New Roman"/>
          <w:color w:val="auto"/>
          <w:sz w:val="32"/>
          <w:szCs w:val="32"/>
          <w:highlight w:val="none"/>
        </w:rPr>
        <w:t>企业增设分支机构</w:t>
      </w:r>
      <w:r>
        <w:rPr>
          <w:rFonts w:hint="default" w:ascii="Times New Roman" w:hAnsi="Times New Roman" w:eastAsia="方正仿宋_GBK" w:cs="Times New Roman"/>
          <w:color w:val="auto"/>
          <w:sz w:val="32"/>
          <w:szCs w:val="32"/>
          <w:highlight w:val="none"/>
          <w:lang w:val="en-US" w:eastAsia="zh-CN"/>
        </w:rPr>
        <w:t>的</w:t>
      </w:r>
      <w:r>
        <w:rPr>
          <w:rFonts w:hint="default" w:ascii="Times New Roman" w:hAnsi="Times New Roman" w:eastAsia="方正仿宋_GBK" w:cs="Times New Roman"/>
          <w:color w:val="auto"/>
          <w:sz w:val="32"/>
          <w:szCs w:val="32"/>
          <w:highlight w:val="none"/>
        </w:rPr>
        <w:t>时间和成本。深化</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双随机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一公开</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、跨部门联合监管，在全市率先实施餐饮店等9个行业 “一业一抽”。</w:t>
      </w:r>
      <w:r>
        <w:rPr>
          <w:rFonts w:hint="default" w:ascii="Times New Roman" w:hAnsi="Times New Roman" w:eastAsia="方正仿宋_GBK" w:cs="Times New Roman"/>
          <w:bCs/>
          <w:color w:val="auto"/>
          <w:sz w:val="32"/>
          <w:szCs w:val="32"/>
          <w:highlight w:val="none"/>
        </w:rPr>
        <w:t>实行“1+N”一体化注销改革，</w:t>
      </w:r>
      <w:r>
        <w:rPr>
          <w:rFonts w:hint="default" w:ascii="Times New Roman" w:hAnsi="Times New Roman" w:eastAsia="方正仿宋_GBK" w:cs="Times New Roman"/>
          <w:bCs/>
          <w:color w:val="auto"/>
          <w:sz w:val="32"/>
          <w:szCs w:val="32"/>
          <w:highlight w:val="none"/>
          <w:lang w:val="en-US" w:eastAsia="zh-CN"/>
        </w:rPr>
        <w:t>实现</w:t>
      </w:r>
      <w:r>
        <w:rPr>
          <w:rFonts w:hint="default" w:ascii="Times New Roman" w:hAnsi="Times New Roman" w:eastAsia="方正仿宋_GBK" w:cs="Times New Roman"/>
          <w:bCs/>
          <w:color w:val="auto"/>
          <w:sz w:val="32"/>
          <w:szCs w:val="32"/>
          <w:highlight w:val="none"/>
        </w:rPr>
        <w:t>多项注销“一窗申请、一日办结、在线反馈”</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Hans"/>
        </w:rPr>
        <w:t>创新实施经济加速、科技创新等</w:t>
      </w:r>
      <w:r>
        <w:rPr>
          <w:rFonts w:hint="default" w:ascii="Times New Roman" w:hAnsi="Times New Roman" w:eastAsia="方正仿宋_GBK" w:cs="Times New Roman"/>
          <w:bCs/>
          <w:color w:val="auto"/>
          <w:sz w:val="32"/>
          <w:szCs w:val="32"/>
          <w:highlight w:val="none"/>
        </w:rPr>
        <w:t>重点</w:t>
      </w:r>
      <w:r>
        <w:rPr>
          <w:rFonts w:hint="default" w:ascii="Times New Roman" w:hAnsi="Times New Roman" w:eastAsia="方正仿宋_GBK" w:cs="Times New Roman"/>
          <w:bCs/>
          <w:color w:val="auto"/>
          <w:sz w:val="32"/>
          <w:szCs w:val="32"/>
          <w:highlight w:val="none"/>
          <w:lang w:eastAsia="zh-Hans"/>
        </w:rPr>
        <w:t>领域“十大改革提升行动”，细化出台45项改革举措，</w:t>
      </w:r>
      <w:r>
        <w:rPr>
          <w:rFonts w:hint="default" w:ascii="Times New Roman" w:hAnsi="Times New Roman" w:eastAsia="方正仿宋_GBK" w:cs="Times New Roman"/>
          <w:bCs/>
          <w:color w:val="auto"/>
          <w:sz w:val="32"/>
          <w:szCs w:val="32"/>
          <w:highlight w:val="none"/>
          <w:lang w:val="en-US" w:eastAsia="zh-CN"/>
        </w:rPr>
        <w:t>新增国家级试点</w:t>
      </w:r>
      <w:r>
        <w:rPr>
          <w:rFonts w:hint="eastAsia" w:ascii="Times New Roman" w:hAnsi="Times New Roman" w:eastAsia="方正仿宋_GBK" w:cs="Times New Roman"/>
          <w:bCs/>
          <w:color w:val="auto"/>
          <w:sz w:val="32"/>
          <w:szCs w:val="32"/>
          <w:highlight w:val="none"/>
          <w:lang w:val="en-US" w:eastAsia="zh-CN"/>
        </w:rPr>
        <w:t>5</w:t>
      </w:r>
      <w:r>
        <w:rPr>
          <w:rFonts w:hint="default" w:ascii="Times New Roman" w:hAnsi="Times New Roman" w:eastAsia="方正仿宋_GBK" w:cs="Times New Roman"/>
          <w:bCs/>
          <w:color w:val="auto"/>
          <w:sz w:val="32"/>
          <w:szCs w:val="32"/>
          <w:highlight w:val="none"/>
          <w:lang w:val="en-US" w:eastAsia="zh-CN"/>
        </w:rPr>
        <w:t>项，省级试点12项。</w:t>
      </w:r>
    </w:p>
    <w:p w14:paraId="0AF93DE3">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方正仿宋_GBK" w:cs="Times New Roman"/>
          <w:color w:val="auto"/>
          <w:sz w:val="32"/>
          <w:szCs w:val="32"/>
          <w:highlight w:val="none"/>
          <w:lang w:val="en-US" w:bidi="zh-CN"/>
        </w:rPr>
      </w:pPr>
      <w:r>
        <w:rPr>
          <w:rFonts w:hint="default" w:ascii="Times New Roman" w:hAnsi="Times New Roman" w:eastAsia="方正楷体_GBK" w:cs="Times New Roman"/>
          <w:bCs/>
          <w:color w:val="auto"/>
          <w:kern w:val="0"/>
          <w:sz w:val="32"/>
          <w:szCs w:val="32"/>
          <w:highlight w:val="none"/>
        </w:rPr>
        <w:t>2、数字政府加快建设。</w:t>
      </w:r>
      <w:r>
        <w:rPr>
          <w:rFonts w:hint="default" w:ascii="Times New Roman" w:hAnsi="Times New Roman" w:eastAsia="方正仿宋_GBK" w:cs="Times New Roman"/>
          <w:bCs/>
          <w:color w:val="auto"/>
          <w:kern w:val="0"/>
          <w:sz w:val="32"/>
          <w:szCs w:val="32"/>
          <w:highlight w:val="none"/>
        </w:rPr>
        <w:t>制定发布《秦淮区街道数字治理工作行动方案》</w:t>
      </w:r>
      <w:r>
        <w:rPr>
          <w:rFonts w:hint="default" w:ascii="Times New Roman" w:hAnsi="Times New Roman" w:eastAsia="方正仿宋_GBK" w:cs="Times New Roman"/>
          <w:bCs/>
          <w:color w:val="auto"/>
          <w:kern w:val="0"/>
          <w:sz w:val="32"/>
          <w:szCs w:val="32"/>
          <w:highlight w:val="none"/>
          <w:lang w:val="en-US" w:eastAsia="zh-CN"/>
        </w:rPr>
        <w:t>等16项规范文件</w:t>
      </w:r>
      <w:r>
        <w:rPr>
          <w:rFonts w:hint="default" w:ascii="Times New Roman" w:hAnsi="Times New Roman" w:eastAsia="方正仿宋_GBK" w:cs="Times New Roman"/>
          <w:bCs/>
          <w:color w:val="auto"/>
          <w:kern w:val="0"/>
          <w:sz w:val="32"/>
          <w:szCs w:val="32"/>
          <w:highlight w:val="none"/>
        </w:rPr>
        <w:t>，建立区、街、社区三级协同联动模式。</w:t>
      </w:r>
      <w:r>
        <w:rPr>
          <w:rFonts w:hint="default" w:ascii="Times New Roman" w:hAnsi="Times New Roman" w:eastAsia="方正仿宋_GBK" w:cs="Times New Roman"/>
          <w:bCs/>
          <w:color w:val="auto"/>
          <w:kern w:val="0"/>
          <w:sz w:val="32"/>
          <w:szCs w:val="32"/>
          <w:highlight w:val="none"/>
          <w:lang w:val="en-US" w:eastAsia="zh-CN"/>
        </w:rPr>
        <w:t>推进</w:t>
      </w:r>
      <w:r>
        <w:rPr>
          <w:rFonts w:hint="default" w:ascii="Times New Roman" w:hAnsi="Times New Roman" w:eastAsia="方正仿宋_GBK" w:cs="Times New Roman"/>
          <w:bCs/>
          <w:color w:val="auto"/>
          <w:kern w:val="0"/>
          <w:sz w:val="32"/>
          <w:szCs w:val="32"/>
          <w:highlight w:val="none"/>
          <w:lang w:val="zh-CN" w:eastAsia="zh-CN"/>
        </w:rPr>
        <w:t>首席数据官制度试点，</w:t>
      </w:r>
      <w:r>
        <w:rPr>
          <w:rFonts w:hint="default" w:ascii="Times New Roman" w:hAnsi="Times New Roman" w:eastAsia="方正仿宋_GBK" w:cs="Times New Roman"/>
          <w:bCs/>
          <w:color w:val="auto"/>
          <w:kern w:val="0"/>
          <w:sz w:val="32"/>
          <w:szCs w:val="32"/>
          <w:highlight w:val="none"/>
          <w:lang w:val="en-US" w:eastAsia="zh-CN"/>
        </w:rPr>
        <w:t>全面升级数字基础设施，打造全区数据中台，实现跨部门、跨条线、跨层级的数据集成。构建全区人口动态数据核心库，对</w:t>
      </w:r>
      <w:r>
        <w:rPr>
          <w:rFonts w:hint="default" w:ascii="Times New Roman" w:hAnsi="Times New Roman" w:eastAsia="方正仿宋_GBK" w:cs="Times New Roman"/>
          <w:color w:val="auto"/>
          <w:sz w:val="32"/>
          <w:szCs w:val="32"/>
          <w:highlight w:val="none"/>
          <w:lang w:bidi="zh-CN"/>
        </w:rPr>
        <w:t>全区人口</w:t>
      </w:r>
      <w:r>
        <w:rPr>
          <w:rFonts w:hint="default" w:ascii="Times New Roman" w:hAnsi="Times New Roman" w:eastAsia="方正仿宋_GBK" w:cs="Times New Roman"/>
          <w:color w:val="auto"/>
          <w:sz w:val="32"/>
          <w:szCs w:val="32"/>
          <w:highlight w:val="none"/>
          <w:lang w:val="en-US" w:bidi="zh-CN"/>
        </w:rPr>
        <w:t>进行</w:t>
      </w:r>
      <w:r>
        <w:rPr>
          <w:rFonts w:hint="default" w:ascii="Times New Roman" w:hAnsi="Times New Roman" w:eastAsia="方正仿宋_GBK" w:cs="Times New Roman"/>
          <w:color w:val="auto"/>
          <w:sz w:val="32"/>
          <w:szCs w:val="32"/>
          <w:highlight w:val="none"/>
          <w:lang w:bidi="zh-CN"/>
        </w:rPr>
        <w:t>统一编码，初步实现人口数据的统一治理。</w:t>
      </w:r>
      <w:r>
        <w:rPr>
          <w:rFonts w:hint="default" w:ascii="Times New Roman" w:hAnsi="Times New Roman" w:eastAsia="方正仿宋_GBK" w:cs="Times New Roman"/>
          <w:color w:val="auto"/>
          <w:sz w:val="32"/>
          <w:szCs w:val="32"/>
          <w:highlight w:val="none"/>
          <w:lang w:val="en-US" w:bidi="zh-CN"/>
        </w:rPr>
        <w:t>立足</w:t>
      </w:r>
      <w:r>
        <w:rPr>
          <w:rFonts w:hint="default" w:ascii="Times New Roman" w:hAnsi="Times New Roman" w:eastAsia="方正仿宋_GBK" w:cs="Times New Roman"/>
          <w:color w:val="auto"/>
          <w:sz w:val="32"/>
          <w:szCs w:val="32"/>
          <w:highlight w:val="none"/>
          <w:lang w:bidi="zh-CN"/>
        </w:rPr>
        <w:t>“模块化、服务化”原则，</w:t>
      </w:r>
      <w:r>
        <w:rPr>
          <w:rFonts w:hint="default" w:ascii="Times New Roman" w:hAnsi="Times New Roman" w:eastAsia="方正仿宋_GBK" w:cs="Times New Roman"/>
          <w:color w:val="auto"/>
          <w:sz w:val="32"/>
          <w:szCs w:val="32"/>
          <w:highlight w:val="none"/>
          <w:lang w:val="en-US" w:bidi="zh-CN"/>
        </w:rPr>
        <w:t>进一步革新办公系统，</w:t>
      </w:r>
      <w:r>
        <w:rPr>
          <w:rFonts w:hint="default" w:ascii="Times New Roman" w:hAnsi="Times New Roman" w:eastAsia="方正仿宋_GBK" w:cs="Times New Roman"/>
          <w:color w:val="auto"/>
          <w:sz w:val="32"/>
          <w:szCs w:val="32"/>
          <w:highlight w:val="none"/>
          <w:lang w:bidi="zh-CN"/>
        </w:rPr>
        <w:t>规范办文、办事、办会线上流程，</w:t>
      </w:r>
      <w:r>
        <w:rPr>
          <w:rFonts w:hint="default" w:ascii="Times New Roman" w:hAnsi="Times New Roman" w:eastAsia="方正仿宋_GBK" w:cs="Times New Roman"/>
          <w:color w:val="auto"/>
          <w:sz w:val="32"/>
          <w:szCs w:val="32"/>
          <w:highlight w:val="none"/>
          <w:lang w:val="en-US" w:bidi="zh-CN"/>
        </w:rPr>
        <w:t>不断</w:t>
      </w:r>
      <w:r>
        <w:rPr>
          <w:rFonts w:hint="default" w:ascii="Times New Roman" w:hAnsi="Times New Roman" w:eastAsia="方正仿宋_GBK" w:cs="Times New Roman"/>
          <w:color w:val="auto"/>
          <w:sz w:val="32"/>
          <w:szCs w:val="32"/>
          <w:highlight w:val="none"/>
          <w:lang w:bidi="zh-CN"/>
        </w:rPr>
        <w:t>提升办公自动化水平。开发高层楼宇数字化治理</w:t>
      </w:r>
      <w:r>
        <w:rPr>
          <w:rFonts w:hint="default" w:ascii="Times New Roman" w:hAnsi="Times New Roman" w:eastAsia="方正仿宋_GBK" w:cs="Times New Roman"/>
          <w:color w:val="auto"/>
          <w:sz w:val="32"/>
          <w:szCs w:val="32"/>
          <w:highlight w:val="none"/>
          <w:lang w:val="en-US" w:bidi="zh-CN"/>
        </w:rPr>
        <w:t>等应用</w:t>
      </w:r>
      <w:r>
        <w:rPr>
          <w:rFonts w:hint="default" w:ascii="Times New Roman" w:hAnsi="Times New Roman" w:eastAsia="方正仿宋_GBK" w:cs="Times New Roman"/>
          <w:color w:val="auto"/>
          <w:sz w:val="32"/>
          <w:szCs w:val="32"/>
          <w:highlight w:val="none"/>
          <w:lang w:bidi="zh-CN"/>
        </w:rPr>
        <w:t>场景，</w:t>
      </w:r>
      <w:r>
        <w:rPr>
          <w:rFonts w:hint="default" w:ascii="Times New Roman" w:hAnsi="Times New Roman" w:eastAsia="方正仿宋_GBK" w:cs="Times New Roman"/>
          <w:color w:val="auto"/>
          <w:sz w:val="32"/>
          <w:szCs w:val="32"/>
          <w:highlight w:val="none"/>
          <w:lang w:val="en-US" w:bidi="zh-CN"/>
        </w:rPr>
        <w:t>打造实战、管用的智慧应用。</w:t>
      </w:r>
    </w:p>
    <w:p w14:paraId="23046D0E">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楷体_GBK" w:cs="Times New Roman"/>
          <w:bCs/>
          <w:color w:val="auto"/>
          <w:kern w:val="0"/>
          <w:sz w:val="32"/>
          <w:szCs w:val="32"/>
          <w:highlight w:val="none"/>
        </w:rPr>
        <w:t>3、安全稳定基础扎实。</w:t>
      </w:r>
      <w:r>
        <w:rPr>
          <w:rFonts w:hint="default" w:ascii="Times New Roman" w:hAnsi="Times New Roman" w:eastAsia="方正仿宋_GBK" w:cs="Times New Roman"/>
          <w:bCs/>
          <w:color w:val="auto"/>
          <w:kern w:val="0"/>
          <w:sz w:val="32"/>
          <w:szCs w:val="32"/>
          <w:highlight w:val="none"/>
          <w:lang w:val="en-US"/>
        </w:rPr>
        <w:t>完成国务院和省市安全生产督导反馈63条问题隐患线索、88处重大事故隐患、3处市级挂牌重大火灾隐患整改，不断巩固提升阶段性成效。</w:t>
      </w:r>
      <w:r>
        <w:rPr>
          <w:rFonts w:hint="default" w:ascii="Times New Roman" w:hAnsi="Times New Roman" w:eastAsia="方正仿宋_GBK" w:cs="Times New Roman"/>
          <w:bCs/>
          <w:color w:val="auto"/>
          <w:kern w:val="0"/>
          <w:sz w:val="32"/>
          <w:szCs w:val="32"/>
          <w:highlight w:val="none"/>
          <w:lang w:val="en-US" w:eastAsia="zh-CN"/>
        </w:rPr>
        <w:t>常态化落实风险防控四项机制，组织全区1400余名“政法网格员”按需下沉，化解各类矛盾610余件。积极开展信访突出问题攻坚化解行动，</w:t>
      </w:r>
      <w:r>
        <w:rPr>
          <w:rFonts w:hint="default" w:ascii="Times New Roman" w:hAnsi="Times New Roman" w:eastAsia="方正仿宋_GBK" w:cs="Times New Roman"/>
          <w:color w:val="auto"/>
          <w:sz w:val="32"/>
          <w:szCs w:val="32"/>
          <w:highlight w:val="none"/>
        </w:rPr>
        <w:t>化解积案</w:t>
      </w:r>
      <w:r>
        <w:rPr>
          <w:rFonts w:hint="default" w:ascii="Times New Roman" w:hAnsi="Times New Roman" w:eastAsia="方正仿宋_GBK" w:cs="Times New Roman"/>
          <w:color w:val="auto"/>
          <w:sz w:val="32"/>
          <w:szCs w:val="32"/>
          <w:highlight w:val="none"/>
          <w:lang w:val="en-US" w:eastAsia="zh-CN"/>
        </w:rPr>
        <w:t>137</w:t>
      </w:r>
      <w:r>
        <w:rPr>
          <w:rFonts w:hint="default" w:ascii="Times New Roman" w:hAnsi="Times New Roman" w:eastAsia="方正仿宋_GBK" w:cs="Times New Roman"/>
          <w:color w:val="auto"/>
          <w:sz w:val="32"/>
          <w:szCs w:val="32"/>
          <w:highlight w:val="none"/>
        </w:rPr>
        <w:t>件</w:t>
      </w:r>
      <w:r>
        <w:rPr>
          <w:rFonts w:hint="eastAsia" w:ascii="Times New Roman" w:hAnsi="Times New Roman" w:eastAsia="方正仿宋_GBK" w:cs="Times New Roman"/>
          <w:color w:val="auto"/>
          <w:sz w:val="32"/>
          <w:szCs w:val="32"/>
          <w:highlight w:val="none"/>
          <w:lang w:eastAsia="zh-CN"/>
        </w:rPr>
        <w:t>。推进平安小区、法治小区建设，</w:t>
      </w:r>
      <w:r>
        <w:rPr>
          <w:rFonts w:hint="default" w:ascii="Times New Roman" w:hAnsi="Times New Roman" w:eastAsia="方正仿宋_GBK" w:cs="Times New Roman"/>
          <w:color w:val="auto"/>
          <w:sz w:val="32"/>
          <w:szCs w:val="32"/>
          <w:highlight w:val="none"/>
          <w:lang w:val="en-US" w:eastAsia="zh-CN"/>
        </w:rPr>
        <w:t>进一步</w:t>
      </w:r>
      <w:r>
        <w:rPr>
          <w:rFonts w:hint="default" w:ascii="Times New Roman" w:hAnsi="Times New Roman" w:eastAsia="方正仿宋_GBK" w:cs="Times New Roman"/>
          <w:color w:val="auto"/>
          <w:sz w:val="32"/>
          <w:szCs w:val="32"/>
          <w:highlight w:val="none"/>
          <w:lang w:eastAsia="zh-CN"/>
        </w:rPr>
        <w:t>打通基层治理“神经末梢”。</w:t>
      </w:r>
      <w:r>
        <w:rPr>
          <w:rFonts w:hint="default" w:ascii="Times New Roman" w:hAnsi="Times New Roman" w:eastAsia="方正仿宋_GBK" w:cs="Times New Roman"/>
          <w:color w:val="auto"/>
          <w:sz w:val="32"/>
          <w:szCs w:val="32"/>
          <w:highlight w:val="none"/>
          <w:lang w:val="en-US" w:eastAsia="zh-CN"/>
        </w:rPr>
        <w:t>加强食品、药械、特种设备等方面安全监管，突出做好金融、房地产等领域风险防范，社会大局总体保持安全稳定，</w:t>
      </w:r>
      <w:r>
        <w:rPr>
          <w:rFonts w:hint="eastAsia" w:ascii="Times New Roman" w:hAnsi="Times New Roman" w:eastAsia="方正仿宋_GBK" w:cs="Times New Roman"/>
          <w:color w:val="auto"/>
          <w:sz w:val="32"/>
          <w:szCs w:val="32"/>
          <w:highlight w:val="none"/>
          <w:lang w:val="en-US" w:eastAsia="zh-CN"/>
        </w:rPr>
        <w:t>我区</w:t>
      </w:r>
      <w:r>
        <w:rPr>
          <w:rFonts w:hint="default" w:ascii="Times New Roman" w:hAnsi="Times New Roman" w:eastAsia="方正仿宋_GBK" w:cs="Times New Roman"/>
          <w:color w:val="auto"/>
          <w:sz w:val="32"/>
          <w:szCs w:val="32"/>
          <w:highlight w:val="none"/>
          <w:lang w:val="zh-CN" w:eastAsia="zh-CN"/>
        </w:rPr>
        <w:t>被评为全省扫黑除恶斗争先进区县。</w:t>
      </w:r>
    </w:p>
    <w:p w14:paraId="3D7C8F33">
      <w:pPr>
        <w:jc w:val="center"/>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表十</w:t>
      </w:r>
      <w:r>
        <w:rPr>
          <w:rFonts w:hint="default" w:ascii="Times New Roman" w:hAnsi="Times New Roman" w:eastAsia="方正仿宋_GBK" w:cs="Times New Roman"/>
          <w:b/>
          <w:bCs/>
          <w:color w:val="auto"/>
          <w:kern w:val="0"/>
          <w:sz w:val="32"/>
          <w:szCs w:val="32"/>
          <w:highlight w:val="none"/>
          <w:lang w:val="en-US" w:eastAsia="zh-CN"/>
        </w:rPr>
        <w:t xml:space="preserve"> </w:t>
      </w:r>
      <w:r>
        <w:rPr>
          <w:rFonts w:hint="default" w:ascii="Times New Roman" w:hAnsi="Times New Roman" w:eastAsia="方正仿宋_GBK" w:cs="Times New Roman"/>
          <w:b/>
          <w:bCs/>
          <w:color w:val="auto"/>
          <w:kern w:val="0"/>
          <w:sz w:val="32"/>
          <w:szCs w:val="32"/>
          <w:highlight w:val="none"/>
        </w:rPr>
        <w:t>基层治理进展情况</w:t>
      </w:r>
    </w:p>
    <w:tbl>
      <w:tblPr>
        <w:tblStyle w:val="13"/>
        <w:tblW w:w="0" w:type="auto"/>
        <w:jc w:val="center"/>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Layout w:type="fixed"/>
        <w:tblCellMar>
          <w:top w:w="0" w:type="dxa"/>
          <w:left w:w="108" w:type="dxa"/>
          <w:bottom w:w="0" w:type="dxa"/>
          <w:right w:w="108" w:type="dxa"/>
        </w:tblCellMar>
      </w:tblPr>
      <w:tblGrid>
        <w:gridCol w:w="2078"/>
        <w:gridCol w:w="6742"/>
      </w:tblGrid>
      <w:tr w14:paraId="7E32BDCC">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4BA72606">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主要领域</w:t>
            </w:r>
          </w:p>
        </w:tc>
        <w:tc>
          <w:tcPr>
            <w:tcW w:w="6742" w:type="dxa"/>
            <w:tcBorders>
              <w:top w:val="single" w:color="000000" w:sz="6" w:space="0"/>
              <w:bottom w:val="single" w:color="000000" w:sz="6" w:space="0"/>
            </w:tcBorders>
            <w:noWrap/>
            <w:vAlign w:val="center"/>
          </w:tcPr>
          <w:p w14:paraId="3D0B2988">
            <w:pPr>
              <w:spacing w:line="300" w:lineRule="exact"/>
              <w:jc w:val="center"/>
              <w:rPr>
                <w:rFonts w:hint="default" w:ascii="Times New Roman" w:hAnsi="Times New Roman" w:eastAsia="方正仿宋_GBK" w:cs="Times New Roman"/>
                <w:b/>
                <w:iCs/>
                <w:color w:val="auto"/>
                <w:kern w:val="0"/>
                <w:sz w:val="24"/>
                <w:highlight w:val="none"/>
              </w:rPr>
            </w:pPr>
            <w:r>
              <w:rPr>
                <w:rFonts w:hint="default" w:ascii="Times New Roman" w:hAnsi="Times New Roman" w:eastAsia="方正仿宋_GBK" w:cs="Times New Roman"/>
                <w:b/>
                <w:iCs/>
                <w:color w:val="auto"/>
                <w:kern w:val="0"/>
                <w:sz w:val="24"/>
                <w:highlight w:val="none"/>
              </w:rPr>
              <w:t>主要进展</w:t>
            </w:r>
          </w:p>
        </w:tc>
      </w:tr>
      <w:tr w14:paraId="6C5A6395">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72895EE8">
            <w:pPr>
              <w:spacing w:line="300" w:lineRule="exact"/>
              <w:jc w:val="center"/>
              <w:rPr>
                <w:rFonts w:hint="default" w:ascii="Times New Roman" w:hAnsi="Times New Roman" w:eastAsia="方正仿宋_GBK" w:cs="Times New Roman"/>
                <w:b/>
                <w:iCs/>
                <w:color w:val="auto"/>
                <w:kern w:val="0"/>
                <w:sz w:val="24"/>
                <w:highlight w:val="none"/>
                <w:lang w:val="en-US" w:eastAsia="zh-CN"/>
              </w:rPr>
            </w:pPr>
            <w:r>
              <w:rPr>
                <w:rFonts w:hint="default" w:ascii="Times New Roman" w:hAnsi="Times New Roman" w:eastAsia="方正仿宋_GBK" w:cs="Times New Roman"/>
                <w:b/>
                <w:iCs/>
                <w:color w:val="auto"/>
                <w:kern w:val="0"/>
                <w:sz w:val="24"/>
                <w:highlight w:val="none"/>
                <w:lang w:val="en-US" w:eastAsia="zh-CN"/>
              </w:rPr>
              <w:t>深化改革</w:t>
            </w:r>
          </w:p>
        </w:tc>
        <w:tc>
          <w:tcPr>
            <w:tcW w:w="6742" w:type="dxa"/>
            <w:tcBorders>
              <w:top w:val="single" w:color="000000" w:sz="6" w:space="0"/>
              <w:bottom w:val="single" w:color="000000" w:sz="6" w:space="0"/>
            </w:tcBorders>
            <w:noWrap/>
            <w:vAlign w:val="center"/>
          </w:tcPr>
          <w:p w14:paraId="5542F7F8">
            <w:pPr>
              <w:pStyle w:val="19"/>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红花街道</w:t>
            </w:r>
            <w:r>
              <w:rPr>
                <w:rFonts w:hint="default" w:ascii="Times New Roman" w:hAnsi="Times New Roman" w:cs="Times New Roman"/>
                <w:color w:val="auto"/>
                <w:kern w:val="0"/>
                <w:sz w:val="24"/>
                <w:szCs w:val="24"/>
                <w:highlight w:val="none"/>
                <w:lang w:val="en-US" w:eastAsia="zh-CN"/>
              </w:rPr>
              <w:t>持续探索</w:t>
            </w:r>
            <w:r>
              <w:rPr>
                <w:rFonts w:hint="default" w:ascii="Times New Roman" w:hAnsi="Times New Roman" w:cs="Times New Roman"/>
                <w:color w:val="auto"/>
                <w:kern w:val="0"/>
                <w:sz w:val="24"/>
                <w:szCs w:val="24"/>
                <w:highlight w:val="none"/>
              </w:rPr>
              <w:t>街道综合执法向综合治理转型进阶，打造街镇集成改革最新样板。</w:t>
            </w:r>
          </w:p>
          <w:p w14:paraId="497BB696">
            <w:pPr>
              <w:pStyle w:val="19"/>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sz w:val="24"/>
                <w:szCs w:val="24"/>
                <w:highlight w:val="none"/>
                <w:lang w:val="en-US" w:eastAsia="zh-CN"/>
              </w:rPr>
              <w:t>瑞金路</w:t>
            </w:r>
            <w:r>
              <w:rPr>
                <w:rFonts w:hint="default" w:ascii="Times New Roman" w:hAnsi="Times New Roman" w:eastAsia="方正仿宋_GBK" w:cs="Times New Roman"/>
                <w:color w:val="auto"/>
                <w:sz w:val="24"/>
                <w:szCs w:val="24"/>
                <w:highlight w:val="none"/>
              </w:rPr>
              <w:t>街道</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秦虹街道</w:t>
            </w:r>
            <w:r>
              <w:rPr>
                <w:rFonts w:hint="default" w:ascii="Times New Roman" w:hAnsi="Times New Roman" w:eastAsia="方正仿宋_GBK" w:cs="Times New Roman"/>
                <w:color w:val="auto"/>
                <w:sz w:val="24"/>
                <w:szCs w:val="24"/>
                <w:highlight w:val="none"/>
                <w:lang w:val="en-US" w:eastAsia="zh-CN"/>
              </w:rPr>
              <w:t>通过全市</w:t>
            </w:r>
            <w:r>
              <w:rPr>
                <w:rFonts w:hint="default" w:ascii="Times New Roman" w:hAnsi="Times New Roman" w:eastAsia="方正仿宋_GBK" w:cs="Times New Roman"/>
                <w:color w:val="auto"/>
                <w:sz w:val="24"/>
                <w:szCs w:val="24"/>
                <w:highlight w:val="none"/>
              </w:rPr>
              <w:t>街道集成改革、综合行政执法改革示范街镇验收</w:t>
            </w:r>
            <w:r>
              <w:rPr>
                <w:rFonts w:hint="default" w:ascii="Times New Roman" w:hAnsi="Times New Roman" w:eastAsia="方正仿宋_GBK" w:cs="Times New Roman"/>
                <w:color w:val="auto"/>
                <w:sz w:val="24"/>
                <w:szCs w:val="24"/>
                <w:highlight w:val="none"/>
                <w:lang w:eastAsia="zh-CN"/>
              </w:rPr>
              <w:t>。</w:t>
            </w:r>
          </w:p>
          <w:p w14:paraId="54764705">
            <w:pPr>
              <w:pStyle w:val="19"/>
              <w:rPr>
                <w:rFonts w:hint="default" w:ascii="Times New Roman" w:hAnsi="Times New Roman" w:cs="Times New Roman"/>
                <w:color w:val="auto"/>
                <w:kern w:val="0"/>
                <w:highlight w:val="none"/>
              </w:rPr>
            </w:pPr>
            <w:r>
              <w:rPr>
                <w:rFonts w:hint="default" w:ascii="Times New Roman" w:hAnsi="Times New Roman" w:cs="Times New Roman"/>
                <w:color w:val="auto"/>
                <w:highlight w:val="none"/>
              </w:rPr>
              <w:t>推行企业开办“全日无休”审批，全市率先实行电子营业执照和电子印章同步发放，今年以来已有6</w:t>
            </w:r>
            <w:r>
              <w:rPr>
                <w:rFonts w:hint="eastAsia" w:cs="Times New Roman"/>
                <w:color w:val="auto"/>
                <w:highlight w:val="none"/>
                <w:lang w:val="en-US" w:eastAsia="zh-CN"/>
              </w:rPr>
              <w:t>766</w:t>
            </w:r>
            <w:r>
              <w:rPr>
                <w:rFonts w:hint="default" w:ascii="Times New Roman" w:hAnsi="Times New Roman" w:cs="Times New Roman"/>
                <w:color w:val="auto"/>
                <w:highlight w:val="none"/>
              </w:rPr>
              <w:t>家企业在0.5个工作日内完成开办。</w:t>
            </w:r>
          </w:p>
          <w:p w14:paraId="4DB35F59">
            <w:pPr>
              <w:pStyle w:val="19"/>
              <w:rPr>
                <w:rFonts w:hint="default" w:ascii="Times New Roman" w:hAnsi="Times New Roman" w:cs="Times New Roman"/>
                <w:color w:val="auto"/>
                <w:kern w:val="0"/>
                <w:highlight w:val="none"/>
              </w:rPr>
            </w:pPr>
            <w:r>
              <w:rPr>
                <w:rFonts w:hint="default" w:ascii="Times New Roman" w:hAnsi="Times New Roman" w:cs="Times New Roman"/>
                <w:color w:val="auto"/>
                <w:highlight w:val="none"/>
                <w:lang w:val="en-US" w:eastAsia="zh-CN"/>
              </w:rPr>
              <w:t>落实</w:t>
            </w:r>
            <w:r>
              <w:rPr>
                <w:rFonts w:hint="default" w:ascii="Times New Roman" w:hAnsi="Times New Roman" w:cs="Times New Roman"/>
                <w:color w:val="auto"/>
                <w:highlight w:val="none"/>
              </w:rPr>
              <w:t>开办娱乐场所“一业一证”</w:t>
            </w:r>
            <w:r>
              <w:rPr>
                <w:rFonts w:hint="default" w:ascii="Times New Roman" w:hAnsi="Times New Roman" w:cs="Times New Roman"/>
                <w:color w:val="auto"/>
                <w:highlight w:val="none"/>
                <w:lang w:eastAsia="zh-CN"/>
              </w:rPr>
              <w:t>推广</w:t>
            </w:r>
            <w:r>
              <w:rPr>
                <w:rFonts w:hint="default" w:ascii="Times New Roman" w:hAnsi="Times New Roman" w:cs="Times New Roman"/>
                <w:color w:val="auto"/>
                <w:highlight w:val="none"/>
              </w:rPr>
              <w:t>网办</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烘焙/面包房涉企经营“一件事”</w:t>
            </w:r>
            <w:r>
              <w:rPr>
                <w:rFonts w:hint="default" w:ascii="Times New Roman" w:hAnsi="Times New Roman" w:cs="Times New Roman"/>
                <w:color w:val="auto"/>
                <w:highlight w:val="none"/>
                <w:lang w:val="en-US" w:eastAsia="zh-CN"/>
              </w:rPr>
              <w:t>等</w:t>
            </w:r>
            <w:r>
              <w:rPr>
                <w:rFonts w:hint="default" w:ascii="Times New Roman" w:hAnsi="Times New Roman" w:cs="Times New Roman"/>
                <w:color w:val="auto"/>
                <w:highlight w:val="none"/>
              </w:rPr>
              <w:t>试点工作，将惠企服务延伸至银行网点</w:t>
            </w:r>
            <w:r>
              <w:rPr>
                <w:rFonts w:hint="default" w:ascii="Times New Roman" w:hAnsi="Times New Roman" w:cs="Times New Roman"/>
                <w:color w:val="auto"/>
                <w:highlight w:val="none"/>
                <w:lang w:eastAsia="zh-CN"/>
              </w:rPr>
              <w:t>。</w:t>
            </w:r>
          </w:p>
          <w:p w14:paraId="6CB37C26">
            <w:pPr>
              <w:pStyle w:val="19"/>
              <w:rPr>
                <w:rFonts w:hint="default" w:ascii="Times New Roman" w:hAnsi="Times New Roman" w:cs="Times New Roman"/>
                <w:color w:val="auto"/>
                <w:kern w:val="0"/>
                <w:highlight w:val="none"/>
              </w:rPr>
            </w:pPr>
            <w:r>
              <w:rPr>
                <w:rFonts w:hint="default" w:ascii="Times New Roman" w:hAnsi="Times New Roman" w:cs="Times New Roman"/>
                <w:color w:val="auto"/>
                <w:highlight w:val="none"/>
                <w:lang w:eastAsia="zh-CN"/>
              </w:rPr>
              <w:t>全省率先上线双视频“聊天办”智能政务导办服务，为企业解答咨询</w:t>
            </w:r>
            <w:r>
              <w:rPr>
                <w:rFonts w:hint="default" w:ascii="Times New Roman" w:hAnsi="Times New Roman" w:cs="Times New Roman"/>
                <w:color w:val="auto"/>
                <w:highlight w:val="none"/>
                <w:lang w:val="en-US" w:eastAsia="zh-CN"/>
              </w:rPr>
              <w:t>2.2万余次。</w:t>
            </w:r>
          </w:p>
        </w:tc>
      </w:tr>
      <w:tr w14:paraId="79F841A7">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3BE400F7">
            <w:pPr>
              <w:spacing w:line="300" w:lineRule="exact"/>
              <w:jc w:val="center"/>
              <w:rPr>
                <w:rFonts w:hint="default" w:ascii="Times New Roman" w:hAnsi="Times New Roman" w:eastAsia="方正仿宋_GBK" w:cs="Times New Roman"/>
                <w:b/>
                <w:iCs/>
                <w:color w:val="auto"/>
                <w:kern w:val="0"/>
                <w:sz w:val="24"/>
                <w:highlight w:val="none"/>
                <w:lang w:eastAsia="zh-CN"/>
              </w:rPr>
            </w:pPr>
            <w:r>
              <w:rPr>
                <w:rFonts w:hint="default" w:ascii="Times New Roman" w:hAnsi="Times New Roman" w:eastAsia="方正仿宋_GBK" w:cs="Times New Roman"/>
                <w:b/>
                <w:iCs/>
                <w:color w:val="auto"/>
                <w:kern w:val="0"/>
                <w:sz w:val="24"/>
                <w:highlight w:val="none"/>
                <w:lang w:val="en-US" w:eastAsia="zh-CN"/>
              </w:rPr>
              <w:t>数字政府</w:t>
            </w:r>
          </w:p>
        </w:tc>
        <w:tc>
          <w:tcPr>
            <w:tcW w:w="6742" w:type="dxa"/>
            <w:tcBorders>
              <w:top w:val="single" w:color="000000" w:sz="6" w:space="0"/>
              <w:bottom w:val="single" w:color="000000" w:sz="6" w:space="0"/>
            </w:tcBorders>
            <w:noWrap/>
            <w:vAlign w:val="center"/>
          </w:tcPr>
          <w:p w14:paraId="5D8749AD">
            <w:pPr>
              <w:numPr>
                <w:ilvl w:val="0"/>
                <w:numId w:val="2"/>
              </w:numPr>
              <w:spacing w:line="300" w:lineRule="exact"/>
              <w:rPr>
                <w:rFonts w:hint="default" w:ascii="Times New Roman" w:hAnsi="Times New Roman" w:eastAsia="方正仿宋_GBK" w:cs="Times New Roman"/>
                <w:color w:val="auto"/>
                <w:sz w:val="24"/>
                <w:highlight w:val="none"/>
                <w:lang w:val="zh-CN" w:eastAsia="zh-CN"/>
              </w:rPr>
            </w:pPr>
            <w:r>
              <w:rPr>
                <w:rFonts w:hint="default" w:ascii="Times New Roman" w:hAnsi="Times New Roman" w:eastAsia="方正仿宋_GBK" w:cs="Times New Roman"/>
                <w:color w:val="auto"/>
                <w:sz w:val="24"/>
                <w:highlight w:val="none"/>
                <w:lang w:val="zh-CN" w:eastAsia="zh-CN"/>
              </w:rPr>
              <w:t>实施全区网络改造，搭建秦淮区独立40G双链路聚合政务专网，提升互联网带宽至3万兆，多网逻辑隔离，链路打通与市级无缝对接，效能大幅提升。</w:t>
            </w:r>
          </w:p>
          <w:p w14:paraId="73C348EC">
            <w:pPr>
              <w:numPr>
                <w:ilvl w:val="0"/>
                <w:numId w:val="2"/>
              </w:numPr>
              <w:spacing w:line="300" w:lineRule="exact"/>
              <w:rPr>
                <w:rFonts w:hint="default" w:ascii="Times New Roman" w:hAnsi="Times New Roman" w:eastAsia="方正仿宋_GBK" w:cs="Times New Roman"/>
                <w:color w:val="auto"/>
                <w:sz w:val="24"/>
                <w:highlight w:val="none"/>
                <w:lang w:val="zh-CN" w:eastAsia="zh-CN"/>
              </w:rPr>
            </w:pPr>
            <w:r>
              <w:rPr>
                <w:rFonts w:hint="default" w:ascii="Times New Roman" w:hAnsi="Times New Roman" w:eastAsia="方正仿宋_GBK" w:cs="Times New Roman"/>
                <w:color w:val="auto"/>
                <w:sz w:val="24"/>
                <w:highlight w:val="none"/>
                <w:lang w:val="zh-CN" w:eastAsia="zh-CN"/>
              </w:rPr>
              <w:t>获取市、区两级共21个部门、12个街道，近121类3.6亿条数据；完成区内法人、工单、智慧电梯等专题数据归集。</w:t>
            </w:r>
          </w:p>
          <w:p w14:paraId="3ECCF55A">
            <w:pPr>
              <w:numPr>
                <w:ilvl w:val="0"/>
                <w:numId w:val="2"/>
              </w:numPr>
              <w:spacing w:line="300" w:lineRule="exact"/>
              <w:rPr>
                <w:rFonts w:hint="default" w:ascii="Times New Roman" w:hAnsi="Times New Roman" w:eastAsia="方正仿宋_GBK" w:cs="Times New Roman"/>
                <w:color w:val="auto"/>
                <w:sz w:val="24"/>
                <w:highlight w:val="none"/>
                <w:lang w:val="zh-CN"/>
              </w:rPr>
            </w:pPr>
            <w:r>
              <w:rPr>
                <w:rFonts w:hint="default" w:ascii="Times New Roman" w:hAnsi="Times New Roman" w:eastAsia="方正仿宋_GBK" w:cs="Times New Roman"/>
                <w:color w:val="auto"/>
                <w:sz w:val="24"/>
                <w:highlight w:val="none"/>
                <w:lang w:val="en-US" w:eastAsia="zh-CN"/>
              </w:rPr>
              <w:t>人口动态数据核心</w:t>
            </w:r>
            <w:r>
              <w:rPr>
                <w:rFonts w:hint="default" w:ascii="Times New Roman" w:hAnsi="Times New Roman" w:eastAsia="方正仿宋_GBK" w:cs="Times New Roman"/>
                <w:color w:val="auto"/>
                <w:sz w:val="24"/>
                <w:highlight w:val="none"/>
              </w:rPr>
              <w:t>库归集户室数据29万余条，楼栋数据5826条，小区数据2141条</w:t>
            </w:r>
            <w:r>
              <w:rPr>
                <w:rFonts w:hint="default" w:ascii="Times New Roman" w:hAnsi="Times New Roman" w:eastAsia="方正仿宋_GBK" w:cs="Times New Roman"/>
                <w:color w:val="auto"/>
                <w:sz w:val="24"/>
                <w:highlight w:val="none"/>
                <w:lang w:eastAsia="zh-CN"/>
              </w:rPr>
              <w:t>。</w:t>
            </w:r>
          </w:p>
          <w:p w14:paraId="48D35B32">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val="en-US" w:eastAsia="zh-CN"/>
              </w:rPr>
              <w:t>开发上线</w:t>
            </w:r>
            <w:r>
              <w:rPr>
                <w:rFonts w:hint="default" w:ascii="Times New Roman" w:hAnsi="Times New Roman" w:eastAsia="方正仿宋_GBK" w:cs="Times New Roman"/>
                <w:color w:val="auto"/>
                <w:kern w:val="0"/>
                <w:sz w:val="24"/>
                <w:highlight w:val="none"/>
              </w:rPr>
              <w:t>既有建筑装饰装修工程监管平台</w:t>
            </w:r>
            <w:r>
              <w:rPr>
                <w:rFonts w:hint="default" w:ascii="Times New Roman" w:hAnsi="Times New Roman" w:eastAsia="方正仿宋_GBK" w:cs="Times New Roman"/>
                <w:color w:val="auto"/>
                <w:kern w:val="0"/>
                <w:sz w:val="24"/>
                <w:highlight w:val="none"/>
                <w:lang w:eastAsia="zh-CN"/>
              </w:rPr>
              <w:t>，</w:t>
            </w:r>
            <w:r>
              <w:rPr>
                <w:rFonts w:hint="default" w:ascii="Times New Roman" w:hAnsi="Times New Roman" w:eastAsia="方正仿宋_GBK" w:cs="Times New Roman"/>
                <w:color w:val="auto"/>
                <w:kern w:val="0"/>
                <w:sz w:val="24"/>
                <w:highlight w:val="none"/>
              </w:rPr>
              <w:t>完成对</w:t>
            </w:r>
            <w:r>
              <w:rPr>
                <w:rFonts w:hint="default" w:ascii="Times New Roman" w:hAnsi="Times New Roman" w:eastAsia="方正仿宋_GBK" w:cs="Times New Roman"/>
                <w:color w:val="auto"/>
                <w:kern w:val="0"/>
                <w:sz w:val="24"/>
                <w:highlight w:val="none"/>
                <w:lang w:val="en-US" w:eastAsia="zh-CN"/>
              </w:rPr>
              <w:t>3847</w:t>
            </w:r>
            <w:r>
              <w:rPr>
                <w:rFonts w:hint="default" w:ascii="Times New Roman" w:hAnsi="Times New Roman" w:eastAsia="方正仿宋_GBK" w:cs="Times New Roman"/>
                <w:color w:val="auto"/>
                <w:kern w:val="0"/>
                <w:sz w:val="24"/>
                <w:highlight w:val="none"/>
              </w:rPr>
              <w:t>个项目的监管工作，发布巡查任务</w:t>
            </w:r>
            <w:r>
              <w:rPr>
                <w:rFonts w:hint="default" w:ascii="Times New Roman" w:hAnsi="Times New Roman" w:eastAsia="方正仿宋_GBK" w:cs="Times New Roman"/>
                <w:color w:val="auto"/>
                <w:kern w:val="0"/>
                <w:sz w:val="24"/>
                <w:highlight w:val="none"/>
                <w:lang w:val="en-US" w:eastAsia="zh-CN"/>
              </w:rPr>
              <w:t>21935</w:t>
            </w:r>
            <w:r>
              <w:rPr>
                <w:rFonts w:hint="default" w:ascii="Times New Roman" w:hAnsi="Times New Roman" w:eastAsia="方正仿宋_GBK" w:cs="Times New Roman"/>
                <w:color w:val="auto"/>
                <w:kern w:val="0"/>
                <w:sz w:val="24"/>
                <w:highlight w:val="none"/>
              </w:rPr>
              <w:t>条，发现并纠正各类违规问题</w:t>
            </w:r>
            <w:r>
              <w:rPr>
                <w:rFonts w:hint="default" w:ascii="Times New Roman" w:hAnsi="Times New Roman" w:eastAsia="方正仿宋_GBK" w:cs="Times New Roman"/>
                <w:color w:val="auto"/>
                <w:kern w:val="0"/>
                <w:sz w:val="24"/>
                <w:highlight w:val="none"/>
                <w:lang w:eastAsia="zh-CN"/>
              </w:rPr>
              <w:t>近</w:t>
            </w:r>
            <w:r>
              <w:rPr>
                <w:rFonts w:hint="default" w:ascii="Times New Roman" w:hAnsi="Times New Roman" w:eastAsia="方正仿宋_GBK" w:cs="Times New Roman"/>
                <w:color w:val="auto"/>
                <w:kern w:val="0"/>
                <w:sz w:val="24"/>
                <w:highlight w:val="none"/>
                <w:lang w:val="en-US" w:eastAsia="zh-CN"/>
              </w:rPr>
              <w:t>3</w:t>
            </w:r>
            <w:r>
              <w:rPr>
                <w:rFonts w:hint="default" w:ascii="Times New Roman" w:hAnsi="Times New Roman" w:eastAsia="方正仿宋_GBK" w:cs="Times New Roman"/>
                <w:color w:val="auto"/>
                <w:kern w:val="0"/>
                <w:sz w:val="24"/>
                <w:highlight w:val="none"/>
              </w:rPr>
              <w:t>00起</w:t>
            </w:r>
            <w:r>
              <w:rPr>
                <w:rFonts w:hint="default" w:ascii="Times New Roman" w:hAnsi="Times New Roman" w:eastAsia="方正仿宋_GBK" w:cs="Times New Roman"/>
                <w:color w:val="auto"/>
                <w:kern w:val="0"/>
                <w:sz w:val="24"/>
                <w:highlight w:val="none"/>
                <w:lang w:eastAsia="zh-CN"/>
              </w:rPr>
              <w:t>。</w:t>
            </w:r>
          </w:p>
          <w:p w14:paraId="2B76F80B">
            <w:pPr>
              <w:numPr>
                <w:ilvl w:val="0"/>
                <w:numId w:val="2"/>
              </w:numPr>
              <w:spacing w:line="300" w:lineRule="exac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val="en-US" w:eastAsia="zh-CN"/>
              </w:rPr>
              <w:t>荣获2023年北京大学颁发的中国新型智慧城市建设典型案例。</w:t>
            </w:r>
          </w:p>
        </w:tc>
      </w:tr>
      <w:tr w14:paraId="697BA727">
        <w:tblPrEx>
          <w:tblBorders>
            <w:top w:val="single" w:color="000000" w:sz="12" w:space="0"/>
            <w:left w:val="none" w:color="auto" w:sz="0" w:space="0"/>
            <w:bottom w:val="single" w:color="000000" w:sz="6" w:space="0"/>
            <w:right w:val="none" w:color="auto" w:sz="0" w:space="0"/>
            <w:insideH w:val="none" w:color="auto" w:sz="0" w:space="0"/>
            <w:insideV w:val="single" w:color="000000" w:sz="6" w:space="0"/>
          </w:tblBorders>
          <w:tblCellMar>
            <w:top w:w="0" w:type="dxa"/>
            <w:left w:w="108" w:type="dxa"/>
            <w:bottom w:w="0" w:type="dxa"/>
            <w:right w:w="108" w:type="dxa"/>
          </w:tblCellMar>
        </w:tblPrEx>
        <w:trPr>
          <w:trHeight w:val="399" w:hRule="atLeast"/>
          <w:jc w:val="center"/>
        </w:trPr>
        <w:tc>
          <w:tcPr>
            <w:tcW w:w="2078" w:type="dxa"/>
            <w:tcBorders>
              <w:top w:val="single" w:color="000000" w:sz="6" w:space="0"/>
              <w:bottom w:val="single" w:color="000000" w:sz="6" w:space="0"/>
            </w:tcBorders>
            <w:noWrap/>
            <w:vAlign w:val="center"/>
          </w:tcPr>
          <w:p w14:paraId="7EC07B68">
            <w:pPr>
              <w:spacing w:line="300" w:lineRule="exact"/>
              <w:jc w:val="center"/>
              <w:rPr>
                <w:rFonts w:hint="default" w:ascii="Times New Roman" w:hAnsi="Times New Roman" w:eastAsia="方正仿宋_GBK" w:cs="Times New Roman"/>
                <w:b/>
                <w:iCs/>
                <w:color w:val="auto"/>
                <w:kern w:val="0"/>
                <w:sz w:val="24"/>
                <w:highlight w:val="none"/>
                <w:lang w:val="en-US" w:eastAsia="zh-CN"/>
              </w:rPr>
            </w:pPr>
            <w:r>
              <w:rPr>
                <w:rFonts w:hint="default" w:ascii="Times New Roman" w:hAnsi="Times New Roman" w:eastAsia="方正仿宋_GBK" w:cs="Times New Roman"/>
                <w:b/>
                <w:iCs/>
                <w:color w:val="auto"/>
                <w:kern w:val="0"/>
                <w:sz w:val="24"/>
                <w:highlight w:val="none"/>
                <w:lang w:val="en-US" w:eastAsia="zh-CN"/>
              </w:rPr>
              <w:t>安全稳定</w:t>
            </w:r>
          </w:p>
        </w:tc>
        <w:tc>
          <w:tcPr>
            <w:tcW w:w="6742" w:type="dxa"/>
            <w:tcBorders>
              <w:top w:val="single" w:color="000000" w:sz="6" w:space="0"/>
              <w:bottom w:val="single" w:color="000000" w:sz="6" w:space="0"/>
            </w:tcBorders>
            <w:noWrap/>
            <w:vAlign w:val="center"/>
          </w:tcPr>
          <w:p w14:paraId="5ED1CAAD">
            <w:pPr>
              <w:keepNext w:val="0"/>
              <w:keepLines w:val="0"/>
              <w:pageBreakBefore w:val="0"/>
              <w:widowControl w:val="0"/>
              <w:numPr>
                <w:ilvl w:val="0"/>
                <w:numId w:val="2"/>
              </w:numPr>
              <w:kinsoku/>
              <w:wordWrap/>
              <w:overflowPunct/>
              <w:topLinePunct w:val="0"/>
              <w:autoSpaceDE/>
              <w:autoSpaceDN/>
              <w:bidi w:val="0"/>
              <w:adjustRightInd/>
              <w:snapToGrid/>
              <w:spacing w:line="290" w:lineRule="exact"/>
              <w:ind w:left="420" w:hanging="420"/>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开展4.15全民国家安全教育日系列宣传，全面实施国家安全“八进”活动。</w:t>
            </w:r>
          </w:p>
          <w:p w14:paraId="2AB925BB">
            <w:pPr>
              <w:keepNext w:val="0"/>
              <w:keepLines w:val="0"/>
              <w:pageBreakBefore w:val="0"/>
              <w:widowControl w:val="0"/>
              <w:numPr>
                <w:ilvl w:val="0"/>
                <w:numId w:val="2"/>
              </w:numPr>
              <w:kinsoku/>
              <w:wordWrap/>
              <w:overflowPunct/>
              <w:topLinePunct w:val="0"/>
              <w:autoSpaceDE/>
              <w:autoSpaceDN/>
              <w:bidi w:val="0"/>
              <w:adjustRightInd/>
              <w:snapToGrid/>
              <w:spacing w:line="290" w:lineRule="exact"/>
              <w:ind w:left="420" w:hanging="420"/>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24"/>
                <w:highlight w:val="none"/>
                <w:lang w:val="en-US" w:eastAsia="zh-CN"/>
              </w:rPr>
              <w:t>分级分批推进“枫桥式”街道创建工作，重点支持双塘街道打造示范点</w:t>
            </w:r>
            <w:bookmarkStart w:id="0" w:name="_GoBack"/>
            <w:bookmarkEnd w:id="0"/>
            <w:r>
              <w:rPr>
                <w:rFonts w:hint="default" w:ascii="Times New Roman" w:hAnsi="Times New Roman" w:eastAsia="方正仿宋_GBK" w:cs="Times New Roman"/>
                <w:color w:val="auto"/>
                <w:kern w:val="0"/>
                <w:sz w:val="24"/>
                <w:highlight w:val="none"/>
                <w:lang w:val="en-US" w:eastAsia="zh-CN"/>
              </w:rPr>
              <w:t>。</w:t>
            </w:r>
          </w:p>
          <w:p w14:paraId="40A28ADD">
            <w:pPr>
              <w:keepNext w:val="0"/>
              <w:keepLines w:val="0"/>
              <w:pageBreakBefore w:val="0"/>
              <w:widowControl w:val="0"/>
              <w:numPr>
                <w:ilvl w:val="0"/>
                <w:numId w:val="2"/>
              </w:numPr>
              <w:kinsoku/>
              <w:wordWrap/>
              <w:overflowPunct/>
              <w:topLinePunct w:val="0"/>
              <w:autoSpaceDE/>
              <w:autoSpaceDN/>
              <w:bidi w:val="0"/>
              <w:adjustRightInd/>
              <w:snapToGrid/>
              <w:spacing w:line="290" w:lineRule="exact"/>
              <w:ind w:left="420" w:hanging="420"/>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发放严重精神障碍患者监护人以奖代补费用412万余元。</w:t>
            </w:r>
          </w:p>
          <w:p w14:paraId="55BD7C32">
            <w:pPr>
              <w:keepNext w:val="0"/>
              <w:keepLines w:val="0"/>
              <w:pageBreakBefore w:val="0"/>
              <w:widowControl w:val="0"/>
              <w:numPr>
                <w:ilvl w:val="0"/>
                <w:numId w:val="2"/>
              </w:numPr>
              <w:kinsoku/>
              <w:wordWrap/>
              <w:overflowPunct/>
              <w:topLinePunct w:val="0"/>
              <w:autoSpaceDE/>
              <w:autoSpaceDN/>
              <w:bidi w:val="0"/>
              <w:adjustRightInd/>
              <w:snapToGrid/>
              <w:spacing w:line="290" w:lineRule="exact"/>
              <w:ind w:left="420" w:hanging="420"/>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16个法律援助工作站、109个法律援助联络点为基础的三级援助维权网络基本建成</w:t>
            </w:r>
            <w:r>
              <w:rPr>
                <w:rFonts w:hint="default" w:ascii="Times New Roman" w:hAnsi="Times New Roman" w:eastAsia="方正仿宋_GBK" w:cs="Times New Roman"/>
                <w:color w:val="auto"/>
                <w:kern w:val="0"/>
                <w:sz w:val="24"/>
                <w:highlight w:val="none"/>
                <w:lang w:eastAsia="zh-CN"/>
              </w:rPr>
              <w:t>。</w:t>
            </w:r>
          </w:p>
          <w:p w14:paraId="78FD52B9">
            <w:pPr>
              <w:keepNext w:val="0"/>
              <w:keepLines w:val="0"/>
              <w:pageBreakBefore w:val="0"/>
              <w:widowControl w:val="0"/>
              <w:numPr>
                <w:ilvl w:val="0"/>
                <w:numId w:val="2"/>
              </w:numPr>
              <w:kinsoku/>
              <w:wordWrap/>
              <w:overflowPunct/>
              <w:topLinePunct w:val="0"/>
              <w:autoSpaceDE/>
              <w:autoSpaceDN/>
              <w:bidi w:val="0"/>
              <w:adjustRightInd/>
              <w:snapToGrid/>
              <w:spacing w:line="290" w:lineRule="exact"/>
              <w:ind w:left="420" w:hanging="420"/>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eastAsia="zh-CN"/>
              </w:rPr>
              <w:t>累计检查食品经营主体1.3万家次，发现并整改问题隐患6.</w:t>
            </w:r>
            <w:r>
              <w:rPr>
                <w:rFonts w:hint="eastAsia" w:ascii="Times New Roman" w:hAnsi="Times New Roman" w:eastAsia="方正仿宋_GBK" w:cs="Times New Roman"/>
                <w:color w:val="auto"/>
                <w:kern w:val="0"/>
                <w:sz w:val="24"/>
                <w:highlight w:val="none"/>
                <w:lang w:val="en-US" w:eastAsia="zh-CN"/>
              </w:rPr>
              <w:t>5</w:t>
            </w:r>
            <w:r>
              <w:rPr>
                <w:rFonts w:hint="default" w:ascii="Times New Roman" w:hAnsi="Times New Roman" w:eastAsia="方正仿宋_GBK" w:cs="Times New Roman"/>
                <w:color w:val="auto"/>
                <w:kern w:val="0"/>
                <w:sz w:val="24"/>
                <w:highlight w:val="none"/>
                <w:lang w:eastAsia="zh-CN"/>
              </w:rPr>
              <w:t>万个，全区24家农贸市场快检室和区级快检中心全年开展食品快检172466批次，核查处置率100%。</w:t>
            </w:r>
          </w:p>
          <w:p w14:paraId="07DF4A69">
            <w:pPr>
              <w:keepNext w:val="0"/>
              <w:keepLines w:val="0"/>
              <w:pageBreakBefore w:val="0"/>
              <w:widowControl w:val="0"/>
              <w:numPr>
                <w:ilvl w:val="0"/>
                <w:numId w:val="2"/>
              </w:numPr>
              <w:kinsoku/>
              <w:wordWrap/>
              <w:overflowPunct/>
              <w:topLinePunct w:val="0"/>
              <w:autoSpaceDE/>
              <w:autoSpaceDN/>
              <w:bidi w:val="0"/>
              <w:adjustRightInd/>
              <w:snapToGrid/>
              <w:spacing w:line="290" w:lineRule="exact"/>
              <w:ind w:left="420" w:hanging="420"/>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eastAsia="zh-CN"/>
              </w:rPr>
              <w:t>完成对辖区内117家药店、115家医疗机构、336家医疗器械经营企业及13家疫苗接种单位的日常检查。</w:t>
            </w:r>
          </w:p>
          <w:p w14:paraId="4405C24C">
            <w:pPr>
              <w:keepNext w:val="0"/>
              <w:keepLines w:val="0"/>
              <w:pageBreakBefore w:val="0"/>
              <w:widowControl w:val="0"/>
              <w:numPr>
                <w:ilvl w:val="0"/>
                <w:numId w:val="2"/>
              </w:numPr>
              <w:kinsoku/>
              <w:wordWrap/>
              <w:overflowPunct/>
              <w:topLinePunct w:val="0"/>
              <w:autoSpaceDE/>
              <w:autoSpaceDN/>
              <w:bidi w:val="0"/>
              <w:adjustRightInd/>
              <w:snapToGrid/>
              <w:spacing w:line="290" w:lineRule="exact"/>
              <w:ind w:left="420" w:hanging="420"/>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lang w:val="en-US" w:eastAsia="zh-CN"/>
              </w:rPr>
              <w:t>完成30台住宅老旧电梯安全评估。</w:t>
            </w:r>
          </w:p>
          <w:p w14:paraId="12CE9AC5">
            <w:pPr>
              <w:keepNext w:val="0"/>
              <w:keepLines w:val="0"/>
              <w:pageBreakBefore w:val="0"/>
              <w:widowControl w:val="0"/>
              <w:numPr>
                <w:ilvl w:val="0"/>
                <w:numId w:val="2"/>
              </w:numPr>
              <w:kinsoku/>
              <w:wordWrap/>
              <w:overflowPunct/>
              <w:topLinePunct w:val="0"/>
              <w:autoSpaceDE/>
              <w:autoSpaceDN/>
              <w:bidi w:val="0"/>
              <w:adjustRightInd/>
              <w:snapToGrid/>
              <w:spacing w:line="290" w:lineRule="exact"/>
              <w:ind w:left="420" w:hanging="420"/>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安装电动自行车车棚简易喷淋设施5082组，保护面积约16.4万平方米</w:t>
            </w:r>
            <w:r>
              <w:rPr>
                <w:rFonts w:hint="default" w:ascii="Times New Roman" w:hAnsi="Times New Roman" w:eastAsia="方正仿宋_GBK" w:cs="Times New Roman"/>
                <w:color w:val="auto"/>
                <w:kern w:val="0"/>
                <w:sz w:val="24"/>
                <w:highlight w:val="none"/>
                <w:lang w:eastAsia="zh-CN"/>
              </w:rPr>
              <w:t>。</w:t>
            </w:r>
          </w:p>
          <w:p w14:paraId="49F5E571">
            <w:pPr>
              <w:keepNext w:val="0"/>
              <w:keepLines w:val="0"/>
              <w:pageBreakBefore w:val="0"/>
              <w:widowControl w:val="0"/>
              <w:numPr>
                <w:ilvl w:val="0"/>
                <w:numId w:val="2"/>
              </w:numPr>
              <w:kinsoku/>
              <w:wordWrap/>
              <w:overflowPunct/>
              <w:topLinePunct w:val="0"/>
              <w:autoSpaceDE/>
              <w:autoSpaceDN/>
              <w:bidi w:val="0"/>
              <w:adjustRightInd/>
              <w:snapToGrid/>
              <w:spacing w:line="290" w:lineRule="exact"/>
              <w:ind w:left="420" w:hanging="420"/>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12345政务服务便民热线办理综合满意率达</w:t>
            </w:r>
            <w:r>
              <w:rPr>
                <w:rFonts w:hint="default" w:ascii="Times New Roman" w:hAnsi="Times New Roman" w:eastAsia="方正仿宋_GBK" w:cs="Times New Roman"/>
                <w:color w:val="auto"/>
                <w:kern w:val="0"/>
                <w:sz w:val="24"/>
                <w:highlight w:val="none"/>
                <w:lang w:val="en-US" w:eastAsia="zh-CN"/>
              </w:rPr>
              <w:t>96.66</w:t>
            </w:r>
            <w:r>
              <w:rPr>
                <w:rFonts w:hint="default" w:ascii="Times New Roman" w:hAnsi="Times New Roman" w:eastAsia="方正仿宋_GBK" w:cs="Times New Roman"/>
                <w:color w:val="auto"/>
                <w:kern w:val="0"/>
                <w:sz w:val="24"/>
                <w:highlight w:val="none"/>
              </w:rPr>
              <w:t>%，解决率为</w:t>
            </w:r>
            <w:r>
              <w:rPr>
                <w:rFonts w:hint="default" w:ascii="Times New Roman" w:hAnsi="Times New Roman" w:eastAsia="方正仿宋_GBK" w:cs="Times New Roman"/>
                <w:color w:val="auto"/>
                <w:kern w:val="0"/>
                <w:sz w:val="24"/>
                <w:highlight w:val="none"/>
                <w:lang w:val="en-US" w:eastAsia="zh-CN"/>
              </w:rPr>
              <w:t>89.38</w:t>
            </w:r>
            <w:r>
              <w:rPr>
                <w:rFonts w:hint="default" w:ascii="Times New Roman" w:hAnsi="Times New Roman" w:eastAsia="方正仿宋_GBK" w:cs="Times New Roman"/>
                <w:color w:val="auto"/>
                <w:kern w:val="0"/>
                <w:sz w:val="24"/>
                <w:highlight w:val="none"/>
              </w:rPr>
              <w:t>%。</w:t>
            </w:r>
          </w:p>
        </w:tc>
      </w:tr>
    </w:tbl>
    <w:p w14:paraId="5DDDA39A">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2023年，我区经济社会发展总体进展顺利，部分工作已经走在主城乃至全市前列，但困难</w:t>
      </w:r>
      <w:r>
        <w:rPr>
          <w:rFonts w:hint="default" w:ascii="Times New Roman" w:hAnsi="Times New Roman" w:eastAsia="方正仿宋_GBK" w:cs="Times New Roman"/>
          <w:bCs/>
          <w:color w:val="auto"/>
          <w:sz w:val="32"/>
          <w:szCs w:val="32"/>
          <w:highlight w:val="none"/>
        </w:rPr>
        <w:t>与挑战</w:t>
      </w:r>
      <w:r>
        <w:rPr>
          <w:rFonts w:hint="default" w:ascii="Times New Roman" w:hAnsi="Times New Roman" w:eastAsia="方正仿宋_GBK" w:cs="Times New Roman"/>
          <w:bCs/>
          <w:color w:val="auto"/>
          <w:sz w:val="32"/>
          <w:szCs w:val="32"/>
          <w:highlight w:val="none"/>
          <w:lang w:val="en-US" w:eastAsia="zh-CN"/>
        </w:rPr>
        <w:t>也不容忽视</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楷体_GBK" w:cs="Times New Roman"/>
          <w:bCs/>
          <w:color w:val="auto"/>
          <w:sz w:val="32"/>
          <w:szCs w:val="32"/>
          <w:highlight w:val="none"/>
          <w:lang w:val="en-US" w:eastAsia="zh-CN"/>
        </w:rPr>
        <w:t>从外部环境看，</w:t>
      </w:r>
      <w:r>
        <w:rPr>
          <w:rFonts w:hint="default" w:ascii="Times New Roman" w:hAnsi="Times New Roman" w:eastAsia="方正仿宋_GBK" w:cs="Times New Roman"/>
          <w:bCs/>
          <w:color w:val="auto"/>
          <w:sz w:val="32"/>
          <w:szCs w:val="32"/>
          <w:highlight w:val="none"/>
          <w:lang w:val="en-US" w:eastAsia="zh-CN"/>
        </w:rPr>
        <w:t>国内大循环存在堵点，国际政治经济环境不利因素增多，我国经济恢复仍处在关键阶段。</w:t>
      </w:r>
      <w:r>
        <w:rPr>
          <w:rFonts w:hint="default" w:ascii="Times New Roman" w:hAnsi="Times New Roman" w:eastAsia="方正楷体_GBK" w:cs="Times New Roman"/>
          <w:bCs/>
          <w:color w:val="auto"/>
          <w:sz w:val="32"/>
          <w:szCs w:val="32"/>
          <w:highlight w:val="none"/>
          <w:lang w:val="en-US" w:eastAsia="zh-CN"/>
        </w:rPr>
        <w:t>从我区实际看，</w:t>
      </w:r>
      <w:r>
        <w:rPr>
          <w:rFonts w:hint="default" w:ascii="Times New Roman" w:hAnsi="Times New Roman" w:eastAsia="方正仿宋_GBK" w:cs="Times New Roman"/>
          <w:b/>
          <w:bCs w:val="0"/>
          <w:color w:val="auto"/>
          <w:sz w:val="32"/>
          <w:szCs w:val="32"/>
          <w:highlight w:val="none"/>
          <w:lang w:val="en-US" w:eastAsia="zh-CN"/>
        </w:rPr>
        <w:t>一是经济发展持续承压前行。</w:t>
      </w:r>
      <w:r>
        <w:rPr>
          <w:rFonts w:hint="default" w:ascii="Times New Roman" w:hAnsi="Times New Roman" w:eastAsia="方正仿宋_GBK" w:cs="Times New Roman"/>
          <w:bCs/>
          <w:color w:val="auto"/>
          <w:sz w:val="32"/>
          <w:szCs w:val="32"/>
          <w:highlight w:val="none"/>
          <w:lang w:val="en-US" w:eastAsia="zh-CN"/>
        </w:rPr>
        <w:t>从外循环支撑来看，外贸进出口仍处于下行通道，相关的货运代理、交通运输等行业持续低迷。从内循环带动来看，有效需求不足，居民消费和企业投资意愿不强。零售业增速、社零指标有较长时间低于全市平均，高技术投资出现负增长。</w:t>
      </w:r>
      <w:r>
        <w:rPr>
          <w:rFonts w:hint="default" w:ascii="Times New Roman" w:hAnsi="Times New Roman" w:eastAsia="方正仿宋_GBK" w:cs="Times New Roman"/>
          <w:b/>
          <w:bCs w:val="0"/>
          <w:color w:val="auto"/>
          <w:sz w:val="32"/>
          <w:szCs w:val="32"/>
          <w:highlight w:val="none"/>
          <w:lang w:val="en-US" w:eastAsia="zh-CN"/>
        </w:rPr>
        <w:t>二是产业创新的支撑力不足。</w:t>
      </w:r>
      <w:r>
        <w:rPr>
          <w:rFonts w:hint="default" w:ascii="Times New Roman" w:hAnsi="Times New Roman" w:eastAsia="方正仿宋_GBK" w:cs="Times New Roman"/>
          <w:b w:val="0"/>
          <w:bCs/>
          <w:color w:val="auto"/>
          <w:sz w:val="32"/>
          <w:szCs w:val="32"/>
          <w:highlight w:val="none"/>
          <w:lang w:val="en-US" w:eastAsia="zh-CN"/>
        </w:rPr>
        <w:t>引领行业发展的原创性、前沿性技术不多，企业原始创新、自主创新能力不强。物联网、车联网等新兴产业的集聚效应不明显，经济产出偏低，贡献提升不够快。</w:t>
      </w:r>
      <w:r>
        <w:rPr>
          <w:rFonts w:hint="default" w:ascii="Times New Roman" w:hAnsi="Times New Roman" w:eastAsia="方正仿宋_GBK" w:cs="Times New Roman"/>
          <w:b/>
          <w:bCs w:val="0"/>
          <w:color w:val="auto"/>
          <w:sz w:val="32"/>
          <w:szCs w:val="32"/>
          <w:highlight w:val="none"/>
          <w:lang w:val="en-US" w:eastAsia="zh-CN"/>
        </w:rPr>
        <w:t>三是公共服务短板有待补齐。</w:t>
      </w:r>
      <w:r>
        <w:rPr>
          <w:rFonts w:hint="default" w:ascii="Times New Roman" w:hAnsi="Times New Roman" w:eastAsia="方正仿宋_GBK" w:cs="Times New Roman"/>
          <w:b w:val="0"/>
          <w:bCs/>
          <w:color w:val="auto"/>
          <w:sz w:val="32"/>
          <w:szCs w:val="32"/>
          <w:highlight w:val="none"/>
          <w:lang w:val="en-US" w:eastAsia="zh-CN"/>
        </w:rPr>
        <w:t>教育资源分布和优质均衡水平、基层医疗卫生服务质量、“一老一小”服务供给等，与居民需求和愿望还有不小差距。</w:t>
      </w:r>
      <w:r>
        <w:rPr>
          <w:rFonts w:hint="default" w:ascii="Times New Roman" w:hAnsi="Times New Roman" w:eastAsia="方正仿宋_GBK" w:cs="Times New Roman"/>
          <w:b/>
          <w:bCs w:val="0"/>
          <w:color w:val="auto"/>
          <w:sz w:val="32"/>
          <w:szCs w:val="32"/>
          <w:highlight w:val="none"/>
          <w:lang w:val="en-US" w:eastAsia="zh-CN"/>
        </w:rPr>
        <w:t>四是潜在风险隐患仍然较多。</w:t>
      </w:r>
      <w:r>
        <w:rPr>
          <w:rFonts w:hint="default" w:ascii="Times New Roman" w:hAnsi="Times New Roman" w:eastAsia="方正仿宋_GBK" w:cs="Times New Roman"/>
          <w:b w:val="0"/>
          <w:bCs/>
          <w:color w:val="auto"/>
          <w:sz w:val="32"/>
          <w:szCs w:val="32"/>
          <w:highlight w:val="none"/>
          <w:lang w:val="en-US" w:eastAsia="zh-CN"/>
        </w:rPr>
        <w:t>债务防控风险偏高，财政运行仍然处于“紧平衡”状态。部分矛盾事项化解后仍有一定的反复性。</w:t>
      </w:r>
      <w:r>
        <w:rPr>
          <w:rFonts w:hint="default" w:ascii="Times New Roman" w:hAnsi="Times New Roman" w:eastAsia="方正小标宋_GBK" w:cs="Times New Roman"/>
          <w:color w:val="auto"/>
          <w:sz w:val="44"/>
          <w:szCs w:val="44"/>
          <w:highlight w:val="none"/>
          <w:lang w:val="en-US" w:eastAsia="zh-CN"/>
        </w:rPr>
        <w:br w:type="page"/>
      </w:r>
    </w:p>
    <w:p w14:paraId="3DB5094D">
      <w:pPr>
        <w:spacing w:line="660" w:lineRule="exact"/>
        <w:jc w:val="center"/>
        <w:outlineLvl w:val="1"/>
        <w:rPr>
          <w:rFonts w:hint="default" w:ascii="Times New Roman" w:hAnsi="Times New Roman" w:eastAsia="方正黑体_GBK" w:cs="Times New Roman"/>
          <w:color w:val="auto"/>
          <w:sz w:val="36"/>
          <w:szCs w:val="36"/>
          <w:highlight w:val="none"/>
          <w:lang w:eastAsia="zh-CN"/>
        </w:rPr>
      </w:pPr>
      <w:r>
        <w:rPr>
          <w:rFonts w:hint="default" w:ascii="Times New Roman" w:hAnsi="Times New Roman" w:eastAsia="方正黑体_GBK" w:cs="Times New Roman"/>
          <w:color w:val="auto"/>
          <w:sz w:val="36"/>
          <w:szCs w:val="36"/>
          <w:highlight w:val="none"/>
        </w:rPr>
        <w:t>202</w:t>
      </w:r>
      <w:r>
        <w:rPr>
          <w:rFonts w:hint="default" w:ascii="Times New Roman" w:hAnsi="Times New Roman" w:eastAsia="方正黑体_GBK" w:cs="Times New Roman"/>
          <w:color w:val="auto"/>
          <w:sz w:val="36"/>
          <w:szCs w:val="36"/>
          <w:highlight w:val="none"/>
          <w:lang w:val="en-US" w:eastAsia="zh-CN"/>
        </w:rPr>
        <w:t>4</w:t>
      </w:r>
      <w:r>
        <w:rPr>
          <w:rFonts w:hint="default" w:ascii="Times New Roman" w:hAnsi="Times New Roman" w:eastAsia="方正黑体_GBK" w:cs="Times New Roman"/>
          <w:color w:val="auto"/>
          <w:sz w:val="36"/>
          <w:szCs w:val="36"/>
          <w:highlight w:val="none"/>
        </w:rPr>
        <w:t>年</w:t>
      </w:r>
      <w:r>
        <w:rPr>
          <w:rFonts w:hint="default" w:ascii="Times New Roman" w:hAnsi="Times New Roman" w:eastAsia="方正黑体_GBK" w:cs="Times New Roman"/>
          <w:color w:val="auto"/>
          <w:sz w:val="36"/>
          <w:szCs w:val="36"/>
          <w:highlight w:val="none"/>
          <w:lang w:eastAsia="zh-CN"/>
        </w:rPr>
        <w:t>计划编制情况</w:t>
      </w:r>
    </w:p>
    <w:p w14:paraId="09263562">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方正仿宋_GBK" w:cs="Times New Roman"/>
          <w:color w:val="auto"/>
          <w:kern w:val="0"/>
          <w:sz w:val="32"/>
          <w:szCs w:val="32"/>
          <w:highlight w:val="none"/>
        </w:rPr>
      </w:pPr>
    </w:p>
    <w:p w14:paraId="3648B6B2">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2024年是全面贯彻落实党的二十大精神的深化之年，也是完成“十四五”规划目标任务的关键之年</w:t>
      </w:r>
      <w:r>
        <w:rPr>
          <w:rFonts w:hint="default" w:ascii="Times New Roman" w:hAnsi="Times New Roman" w:eastAsia="方正仿宋_GBK" w:cs="Times New Roman"/>
          <w:color w:val="auto"/>
          <w:kern w:val="0"/>
          <w:sz w:val="32"/>
          <w:szCs w:val="32"/>
          <w:highlight w:val="none"/>
        </w:rPr>
        <w:t>，科学编制好全区年度经济和社会发展目标，对于秦淮建设“特而精、最南京、高质量、现代化”中心城区意义重大。</w:t>
      </w:r>
    </w:p>
    <w:p w14:paraId="0B0F7BB2">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32"/>
          <w:szCs w:val="32"/>
          <w:highlight w:val="none"/>
        </w:rPr>
        <w:t>计划编制的</w:t>
      </w:r>
      <w:r>
        <w:rPr>
          <w:rFonts w:hint="default" w:ascii="Times New Roman" w:hAnsi="Times New Roman" w:eastAsia="方正仿宋_GBK" w:cs="Times New Roman"/>
          <w:b/>
          <w:bCs/>
          <w:color w:val="auto"/>
          <w:kern w:val="0"/>
          <w:sz w:val="32"/>
          <w:szCs w:val="32"/>
          <w:highlight w:val="none"/>
        </w:rPr>
        <w:t>基本思路</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val="en-US" w:eastAsia="zh-CN" w:bidi="ar-SA"/>
        </w:rPr>
        <w:t>以习近平新时代中国特色社会主义思想为指导，全面贯彻落实党的二十大、二十届二中全会精神和习近平总书记对江苏工作重要讲话重要指示精神，坚持稳中求进、以进促稳、先立后破，完整、准确、全面贯彻新发展理念，加快构建新发展格局，着力推动高质量发展，全面深化改革开放，统筹高质量发展和高水平安全，切实增强经济活力、防范化解风险、改善社会预期，深入落实“四个走在前”“四个新”重大任务，主动扛起“争当表率、争做示范、走在前列”的主城担当，奋力推进中国式现代化秦淮新实践，谱写“强富美高”新江苏现代化建设秦淮篇章。</w:t>
      </w:r>
    </w:p>
    <w:p w14:paraId="50CF4C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计划编制的</w:t>
      </w:r>
      <w:r>
        <w:rPr>
          <w:rFonts w:hint="default" w:ascii="Times New Roman" w:hAnsi="Times New Roman" w:eastAsia="方正仿宋_GBK" w:cs="Times New Roman"/>
          <w:b/>
          <w:bCs/>
          <w:color w:val="auto"/>
          <w:kern w:val="0"/>
          <w:sz w:val="32"/>
          <w:szCs w:val="32"/>
          <w:highlight w:val="none"/>
        </w:rPr>
        <w:t>原则</w:t>
      </w:r>
      <w:r>
        <w:rPr>
          <w:rFonts w:hint="default" w:ascii="Times New Roman" w:hAnsi="Times New Roman" w:eastAsia="方正仿宋_GBK" w:cs="Times New Roman"/>
          <w:color w:val="auto"/>
          <w:kern w:val="0"/>
          <w:sz w:val="32"/>
          <w:szCs w:val="32"/>
          <w:highlight w:val="none"/>
        </w:rPr>
        <w:t>：</w:t>
      </w:r>
    </w:p>
    <w:p w14:paraId="63B4F018">
      <w:pPr>
        <w:keepNext w:val="0"/>
        <w:keepLines w:val="0"/>
        <w:pageBreakBefore w:val="0"/>
        <w:widowControl w:val="0"/>
        <w:kinsoku/>
        <w:wordWrap/>
        <w:overflowPunct/>
        <w:topLinePunct w:val="0"/>
        <w:autoSpaceDE/>
        <w:autoSpaceDN/>
        <w:bidi w:val="0"/>
        <w:adjustRightInd/>
        <w:spacing w:line="520" w:lineRule="exact"/>
        <w:ind w:firstLine="643" w:firstLineChars="200"/>
        <w:textAlignment w:val="auto"/>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一是</w:t>
      </w:r>
      <w:r>
        <w:rPr>
          <w:rFonts w:hint="default" w:ascii="Times New Roman" w:hAnsi="Times New Roman" w:eastAsia="方正仿宋_GBK" w:cs="Times New Roman"/>
          <w:b/>
          <w:bCs/>
          <w:color w:val="auto"/>
          <w:kern w:val="0"/>
          <w:sz w:val="32"/>
          <w:szCs w:val="32"/>
          <w:highlight w:val="none"/>
          <w:lang w:eastAsia="zh-CN"/>
        </w:rPr>
        <w:t>突出经济贡献的发展目标</w:t>
      </w:r>
      <w:r>
        <w:rPr>
          <w:rFonts w:hint="default" w:ascii="Times New Roman" w:hAnsi="Times New Roman" w:eastAsia="方正仿宋_GBK" w:cs="Times New Roman"/>
          <w:b/>
          <w:bCs/>
          <w:color w:val="auto"/>
          <w:kern w:val="0"/>
          <w:sz w:val="32"/>
          <w:szCs w:val="32"/>
          <w:highlight w:val="none"/>
        </w:rPr>
        <w:t>。</w:t>
      </w:r>
      <w:r>
        <w:rPr>
          <w:rFonts w:hint="default" w:ascii="Times New Roman" w:hAnsi="Times New Roman" w:eastAsia="方正仿宋_GBK" w:cs="Times New Roman"/>
          <w:b w:val="0"/>
          <w:bCs w:val="0"/>
          <w:color w:val="auto"/>
          <w:kern w:val="0"/>
          <w:sz w:val="32"/>
          <w:szCs w:val="32"/>
          <w:highlight w:val="none"/>
          <w:lang w:eastAsia="zh-CN"/>
        </w:rPr>
        <w:t>坚持经济一体化统筹、产业强区计划双管齐下，把综合经济、财税组织、招商引资、项目建设、科技创新、产业发展等重点指标的质和量有机统一起来，实现协同并进。重点打造“</w:t>
      </w:r>
      <w:r>
        <w:rPr>
          <w:rFonts w:hint="default" w:ascii="Times New Roman" w:hAnsi="Times New Roman" w:eastAsia="方正仿宋_GBK" w:cs="Times New Roman"/>
          <w:b w:val="0"/>
          <w:bCs w:val="0"/>
          <w:color w:val="auto"/>
          <w:kern w:val="0"/>
          <w:sz w:val="32"/>
          <w:szCs w:val="32"/>
          <w:highlight w:val="none"/>
          <w:lang w:val="en-US" w:eastAsia="zh-CN"/>
        </w:rPr>
        <w:t>4+3+4</w:t>
      </w:r>
      <w:r>
        <w:rPr>
          <w:rFonts w:hint="default" w:ascii="Times New Roman" w:hAnsi="Times New Roman" w:eastAsia="方正仿宋_GBK" w:cs="Times New Roman"/>
          <w:b w:val="0"/>
          <w:bCs w:val="0"/>
          <w:color w:val="auto"/>
          <w:kern w:val="0"/>
          <w:sz w:val="32"/>
          <w:szCs w:val="32"/>
          <w:highlight w:val="none"/>
          <w:lang w:eastAsia="zh-CN"/>
        </w:rPr>
        <w:t>”</w:t>
      </w:r>
      <w:r>
        <w:rPr>
          <w:rStyle w:val="16"/>
          <w:rFonts w:hint="default" w:ascii="Times New Roman" w:hAnsi="Times New Roman" w:eastAsia="方正仿宋_GBK" w:cs="Times New Roman"/>
          <w:b w:val="0"/>
          <w:bCs w:val="0"/>
          <w:color w:val="auto"/>
          <w:kern w:val="0"/>
          <w:sz w:val="32"/>
          <w:szCs w:val="32"/>
          <w:highlight w:val="none"/>
          <w:lang w:eastAsia="zh-CN"/>
        </w:rPr>
        <w:footnoteReference w:id="3"/>
      </w:r>
      <w:r>
        <w:rPr>
          <w:rFonts w:hint="default" w:ascii="Times New Roman" w:hAnsi="Times New Roman" w:eastAsia="方正仿宋_GBK" w:cs="Times New Roman"/>
          <w:b w:val="0"/>
          <w:bCs w:val="0"/>
          <w:color w:val="auto"/>
          <w:kern w:val="0"/>
          <w:sz w:val="32"/>
          <w:szCs w:val="32"/>
          <w:highlight w:val="none"/>
          <w:lang w:eastAsia="zh-CN"/>
        </w:rPr>
        <w:t>现代服务业产业体系，全力推动区域产业向高端化、集聚化、智能化加速发展，</w:t>
      </w:r>
      <w:r>
        <w:rPr>
          <w:rFonts w:hint="default" w:ascii="Times New Roman" w:hAnsi="Times New Roman" w:eastAsia="方正仿宋_GBK" w:cs="Times New Roman"/>
          <w:b w:val="0"/>
          <w:bCs w:val="0"/>
          <w:color w:val="auto"/>
          <w:kern w:val="0"/>
          <w:sz w:val="32"/>
          <w:szCs w:val="32"/>
          <w:highlight w:val="none"/>
          <w:lang w:val="en-US" w:eastAsia="zh-CN"/>
        </w:rPr>
        <w:t>加快形成新质生产力</w:t>
      </w:r>
      <w:r>
        <w:rPr>
          <w:rFonts w:hint="default" w:ascii="Times New Roman" w:hAnsi="Times New Roman" w:eastAsia="方正仿宋_GBK" w:cs="Times New Roman"/>
          <w:b w:val="0"/>
          <w:bCs w:val="0"/>
          <w:color w:val="auto"/>
          <w:kern w:val="0"/>
          <w:sz w:val="32"/>
          <w:szCs w:val="32"/>
          <w:highlight w:val="none"/>
          <w:lang w:eastAsia="zh-CN"/>
        </w:rPr>
        <w:t>。</w:t>
      </w:r>
    </w:p>
    <w:p w14:paraId="211A09F4">
      <w:pPr>
        <w:keepNext w:val="0"/>
        <w:keepLines w:val="0"/>
        <w:pageBreakBefore w:val="0"/>
        <w:widowControl w:val="0"/>
        <w:kinsoku/>
        <w:wordWrap/>
        <w:overflowPunct/>
        <w:topLinePunct w:val="0"/>
        <w:autoSpaceDE/>
        <w:autoSpaceDN/>
        <w:bidi w:val="0"/>
        <w:adjustRightInd/>
        <w:spacing w:line="520" w:lineRule="exact"/>
        <w:ind w:firstLine="643" w:firstLineChars="200"/>
        <w:textAlignment w:val="auto"/>
        <w:rPr>
          <w:rFonts w:hint="default" w:ascii="Times New Roman" w:hAnsi="Times New Roman" w:eastAsia="方正仿宋_GBK" w:cs="Times New Roman"/>
          <w:b/>
          <w:bCs/>
          <w:color w:val="auto"/>
          <w:kern w:val="0"/>
          <w:sz w:val="32"/>
          <w:szCs w:val="32"/>
          <w:highlight w:val="none"/>
          <w:lang w:eastAsia="zh-CN"/>
        </w:rPr>
      </w:pPr>
      <w:r>
        <w:rPr>
          <w:rFonts w:hint="default" w:ascii="Times New Roman" w:hAnsi="Times New Roman" w:eastAsia="方正仿宋_GBK" w:cs="Times New Roman"/>
          <w:b/>
          <w:bCs/>
          <w:color w:val="auto"/>
          <w:kern w:val="0"/>
          <w:sz w:val="32"/>
          <w:szCs w:val="32"/>
          <w:highlight w:val="none"/>
        </w:rPr>
        <w:t>二是</w:t>
      </w:r>
      <w:r>
        <w:rPr>
          <w:rFonts w:hint="default" w:ascii="Times New Roman" w:hAnsi="Times New Roman" w:eastAsia="方正仿宋_GBK" w:cs="Times New Roman"/>
          <w:b/>
          <w:bCs/>
          <w:color w:val="auto"/>
          <w:kern w:val="0"/>
          <w:sz w:val="32"/>
          <w:szCs w:val="32"/>
          <w:highlight w:val="none"/>
          <w:lang w:eastAsia="zh-CN"/>
        </w:rPr>
        <w:t>强化项目研储的发展牵引。</w:t>
      </w:r>
      <w:r>
        <w:rPr>
          <w:rFonts w:hint="default" w:ascii="Times New Roman" w:hAnsi="Times New Roman" w:eastAsia="方正仿宋_GBK" w:cs="Times New Roman"/>
          <w:b w:val="0"/>
          <w:bCs w:val="0"/>
          <w:color w:val="auto"/>
          <w:kern w:val="0"/>
          <w:sz w:val="32"/>
          <w:szCs w:val="32"/>
          <w:highlight w:val="none"/>
          <w:lang w:eastAsia="zh-CN"/>
        </w:rPr>
        <w:t>坚持科学严谨的论证程序，扎实、深入、充分做好项目前期研究论证，分级分领域持续储备一批重点项目，为扩大有效投资夯实基础。更加注重政策协同，用好用足各级政策</w:t>
      </w:r>
      <w:r>
        <w:rPr>
          <w:rFonts w:hint="eastAsia"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lang w:eastAsia="zh-CN"/>
        </w:rPr>
        <w:t>工具箱</w:t>
      </w:r>
      <w:r>
        <w:rPr>
          <w:rFonts w:hint="eastAsia"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lang w:eastAsia="zh-CN"/>
        </w:rPr>
        <w:t>，更好发挥政策的</w:t>
      </w:r>
      <w:r>
        <w:rPr>
          <w:rFonts w:hint="default" w:ascii="Times New Roman" w:hAnsi="Times New Roman" w:eastAsia="方正仿宋_GBK" w:cs="Times New Roman"/>
          <w:b w:val="0"/>
          <w:bCs w:val="0"/>
          <w:color w:val="auto"/>
          <w:kern w:val="0"/>
          <w:sz w:val="32"/>
          <w:szCs w:val="32"/>
          <w:highlight w:val="none"/>
          <w:lang w:val="en-US" w:eastAsia="zh-CN"/>
        </w:rPr>
        <w:t>“</w:t>
      </w:r>
      <w:r>
        <w:rPr>
          <w:rFonts w:hint="default" w:ascii="Times New Roman" w:hAnsi="Times New Roman" w:eastAsia="方正仿宋_GBK" w:cs="Times New Roman"/>
          <w:b w:val="0"/>
          <w:bCs w:val="0"/>
          <w:color w:val="auto"/>
          <w:kern w:val="0"/>
          <w:sz w:val="32"/>
          <w:szCs w:val="32"/>
          <w:highlight w:val="none"/>
          <w:lang w:eastAsia="zh-CN"/>
        </w:rPr>
        <w:t>乘数效应</w:t>
      </w:r>
      <w:r>
        <w:rPr>
          <w:rFonts w:hint="default" w:ascii="Times New Roman" w:hAnsi="Times New Roman" w:eastAsia="方正仿宋_GBK" w:cs="Times New Roman"/>
          <w:b w:val="0"/>
          <w:bCs w:val="0"/>
          <w:color w:val="auto"/>
          <w:kern w:val="0"/>
          <w:sz w:val="32"/>
          <w:szCs w:val="32"/>
          <w:highlight w:val="none"/>
          <w:lang w:val="en-US" w:eastAsia="zh-CN"/>
        </w:rPr>
        <w:t>”</w:t>
      </w:r>
      <w:r>
        <w:rPr>
          <w:rFonts w:hint="default" w:ascii="Times New Roman" w:hAnsi="Times New Roman" w:eastAsia="方正仿宋_GBK" w:cs="Times New Roman"/>
          <w:b w:val="0"/>
          <w:bCs w:val="0"/>
          <w:color w:val="auto"/>
          <w:kern w:val="0"/>
          <w:sz w:val="32"/>
          <w:szCs w:val="32"/>
          <w:highlight w:val="none"/>
          <w:lang w:eastAsia="zh-CN"/>
        </w:rPr>
        <w:t>，有效应对风险挑战，为实现经济社会发展目标提供有力支撑。</w:t>
      </w:r>
    </w:p>
    <w:p w14:paraId="38BBFF7A">
      <w:pPr>
        <w:keepNext w:val="0"/>
        <w:keepLines w:val="0"/>
        <w:pageBreakBefore w:val="0"/>
        <w:widowControl w:val="0"/>
        <w:kinsoku/>
        <w:wordWrap/>
        <w:overflowPunct/>
        <w:topLinePunct w:val="0"/>
        <w:autoSpaceDE/>
        <w:autoSpaceDN/>
        <w:bidi w:val="0"/>
        <w:adjustRightInd/>
        <w:spacing w:line="520" w:lineRule="exact"/>
        <w:ind w:firstLine="643" w:firstLineChars="200"/>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lang w:eastAsia="zh-CN"/>
        </w:rPr>
        <w:t>三是坚持人民至上的发展导向</w:t>
      </w:r>
      <w:r>
        <w:rPr>
          <w:rFonts w:hint="default" w:ascii="Times New Roman" w:hAnsi="Times New Roman" w:eastAsia="方正仿宋_GBK" w:cs="Times New Roman"/>
          <w:b/>
          <w:bCs/>
          <w:color w:val="auto"/>
          <w:kern w:val="0"/>
          <w:sz w:val="32"/>
          <w:szCs w:val="32"/>
          <w:highlight w:val="none"/>
        </w:rPr>
        <w:t>。</w:t>
      </w:r>
      <w:r>
        <w:rPr>
          <w:rFonts w:hint="default" w:ascii="Times New Roman" w:hAnsi="Times New Roman" w:eastAsia="方正仿宋_GBK" w:cs="Times New Roman"/>
          <w:b w:val="0"/>
          <w:bCs w:val="0"/>
          <w:color w:val="auto"/>
          <w:kern w:val="0"/>
          <w:sz w:val="32"/>
          <w:szCs w:val="32"/>
          <w:highlight w:val="none"/>
          <w:lang w:eastAsia="zh-CN"/>
        </w:rPr>
        <w:t>始终</w:t>
      </w:r>
      <w:r>
        <w:rPr>
          <w:rFonts w:hint="default" w:ascii="Times New Roman" w:hAnsi="Times New Roman" w:eastAsia="方正仿宋_GBK" w:cs="Times New Roman"/>
          <w:b w:val="0"/>
          <w:bCs w:val="0"/>
          <w:color w:val="auto"/>
          <w:kern w:val="0"/>
          <w:sz w:val="32"/>
          <w:szCs w:val="32"/>
          <w:highlight w:val="none"/>
        </w:rPr>
        <w:t>以满足人民日益增长的美好生活需要为出发点和落脚点，</w:t>
      </w:r>
      <w:r>
        <w:rPr>
          <w:rFonts w:hint="default" w:ascii="Times New Roman" w:hAnsi="Times New Roman" w:eastAsia="方正仿宋_GBK" w:cs="Times New Roman"/>
          <w:color w:val="auto"/>
          <w:kern w:val="0"/>
          <w:sz w:val="32"/>
          <w:szCs w:val="32"/>
          <w:highlight w:val="none"/>
          <w:lang w:val="en-US" w:eastAsia="zh-CN"/>
        </w:rPr>
        <w:t>着力解决好群众的急难愁盼问题。</w:t>
      </w:r>
      <w:r>
        <w:rPr>
          <w:rFonts w:hint="default" w:ascii="Times New Roman" w:hAnsi="Times New Roman" w:eastAsia="方正仿宋_GBK" w:cs="Times New Roman"/>
          <w:b w:val="0"/>
          <w:bCs w:val="0"/>
          <w:color w:val="auto"/>
          <w:kern w:val="0"/>
          <w:sz w:val="32"/>
          <w:szCs w:val="32"/>
          <w:highlight w:val="none"/>
          <w:lang w:eastAsia="zh-CN"/>
        </w:rPr>
        <w:t>进一步</w:t>
      </w:r>
      <w:r>
        <w:rPr>
          <w:rFonts w:hint="default" w:ascii="Times New Roman" w:hAnsi="Times New Roman" w:eastAsia="方正仿宋_GBK" w:cs="Times New Roman"/>
          <w:b w:val="0"/>
          <w:bCs w:val="0"/>
          <w:color w:val="auto"/>
          <w:kern w:val="0"/>
          <w:sz w:val="32"/>
          <w:szCs w:val="32"/>
          <w:highlight w:val="none"/>
        </w:rPr>
        <w:t>健全社会保障体系，强化基本公共服务，</w:t>
      </w:r>
      <w:r>
        <w:rPr>
          <w:rFonts w:hint="default" w:ascii="Times New Roman" w:hAnsi="Times New Roman" w:eastAsia="方正仿宋_GBK" w:cs="Times New Roman"/>
          <w:b w:val="0"/>
          <w:bCs w:val="0"/>
          <w:color w:val="auto"/>
          <w:kern w:val="0"/>
          <w:sz w:val="32"/>
          <w:szCs w:val="32"/>
          <w:highlight w:val="none"/>
          <w:lang w:eastAsia="zh-CN"/>
        </w:rPr>
        <w:t>打造优质人居环境，守牢安全稳定底线，</w:t>
      </w:r>
      <w:r>
        <w:rPr>
          <w:rFonts w:hint="default" w:ascii="Times New Roman" w:hAnsi="Times New Roman" w:eastAsia="方正仿宋_GBK" w:cs="Times New Roman"/>
          <w:b w:val="0"/>
          <w:bCs w:val="0"/>
          <w:color w:val="auto"/>
          <w:kern w:val="0"/>
          <w:sz w:val="32"/>
          <w:szCs w:val="32"/>
          <w:highlight w:val="none"/>
        </w:rPr>
        <w:t>让</w:t>
      </w:r>
      <w:r>
        <w:rPr>
          <w:rFonts w:hint="default" w:ascii="Times New Roman" w:hAnsi="Times New Roman" w:eastAsia="方正仿宋_GBK" w:cs="Times New Roman"/>
          <w:b w:val="0"/>
          <w:bCs w:val="0"/>
          <w:color w:val="auto"/>
          <w:kern w:val="0"/>
          <w:sz w:val="32"/>
          <w:szCs w:val="32"/>
          <w:highlight w:val="none"/>
          <w:lang w:eastAsia="zh-CN"/>
        </w:rPr>
        <w:t>高质量发展</w:t>
      </w:r>
      <w:r>
        <w:rPr>
          <w:rFonts w:hint="default" w:ascii="Times New Roman" w:hAnsi="Times New Roman" w:eastAsia="方正仿宋_GBK" w:cs="Times New Roman"/>
          <w:b w:val="0"/>
          <w:bCs w:val="0"/>
          <w:color w:val="auto"/>
          <w:kern w:val="0"/>
          <w:sz w:val="32"/>
          <w:szCs w:val="32"/>
          <w:highlight w:val="none"/>
        </w:rPr>
        <w:t>成果更多更公平惠及</w:t>
      </w:r>
      <w:r>
        <w:rPr>
          <w:rFonts w:hint="default" w:ascii="Times New Roman" w:hAnsi="Times New Roman" w:eastAsia="方正仿宋_GBK" w:cs="Times New Roman"/>
          <w:b w:val="0"/>
          <w:bCs w:val="0"/>
          <w:color w:val="auto"/>
          <w:kern w:val="0"/>
          <w:sz w:val="32"/>
          <w:szCs w:val="32"/>
          <w:highlight w:val="none"/>
          <w:lang w:eastAsia="zh-CN"/>
        </w:rPr>
        <w:t>全区群众</w:t>
      </w:r>
      <w:r>
        <w:rPr>
          <w:rFonts w:hint="default" w:ascii="Times New Roman" w:hAnsi="Times New Roman" w:eastAsia="方正仿宋_GBK" w:cs="Times New Roman"/>
          <w:b w:val="0"/>
          <w:bCs w:val="0"/>
          <w:color w:val="auto"/>
          <w:kern w:val="0"/>
          <w:sz w:val="32"/>
          <w:szCs w:val="32"/>
          <w:highlight w:val="none"/>
        </w:rPr>
        <w:t>，在推进</w:t>
      </w:r>
      <w:r>
        <w:rPr>
          <w:rFonts w:hint="default" w:ascii="Times New Roman" w:hAnsi="Times New Roman" w:eastAsia="方正仿宋_GBK" w:cs="Times New Roman"/>
          <w:b w:val="0"/>
          <w:bCs w:val="0"/>
          <w:color w:val="auto"/>
          <w:kern w:val="0"/>
          <w:sz w:val="32"/>
          <w:szCs w:val="32"/>
          <w:highlight w:val="none"/>
          <w:lang w:eastAsia="zh-CN"/>
        </w:rPr>
        <w:t>秦淮</w:t>
      </w:r>
      <w:r>
        <w:rPr>
          <w:rFonts w:hint="default" w:ascii="Times New Roman" w:hAnsi="Times New Roman" w:eastAsia="方正仿宋_GBK" w:cs="Times New Roman"/>
          <w:b w:val="0"/>
          <w:bCs w:val="0"/>
          <w:color w:val="auto"/>
          <w:kern w:val="0"/>
          <w:sz w:val="32"/>
          <w:szCs w:val="32"/>
          <w:highlight w:val="none"/>
        </w:rPr>
        <w:t>人民共同富裕上不断取得更为明显的实质性进展。</w:t>
      </w:r>
    </w:p>
    <w:p w14:paraId="48C09CC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val="0"/>
          <w:bCs w:val="0"/>
          <w:color w:val="auto"/>
          <w:kern w:val="0"/>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eastAsia="zh-CN"/>
        </w:rPr>
        <w:t>四</w:t>
      </w:r>
      <w:r>
        <w:rPr>
          <w:rFonts w:hint="default" w:ascii="Times New Roman" w:hAnsi="Times New Roman" w:eastAsia="方正仿宋_GBK" w:cs="Times New Roman"/>
          <w:b/>
          <w:bCs/>
          <w:color w:val="auto"/>
          <w:kern w:val="0"/>
          <w:sz w:val="32"/>
          <w:szCs w:val="32"/>
          <w:highlight w:val="none"/>
        </w:rPr>
        <w:t>是</w:t>
      </w:r>
      <w:r>
        <w:rPr>
          <w:rFonts w:hint="default" w:ascii="Times New Roman" w:hAnsi="Times New Roman" w:eastAsia="方正仿宋_GBK" w:cs="Times New Roman"/>
          <w:b/>
          <w:bCs/>
          <w:color w:val="auto"/>
          <w:kern w:val="0"/>
          <w:sz w:val="32"/>
          <w:szCs w:val="32"/>
          <w:highlight w:val="none"/>
          <w:lang w:eastAsia="zh-CN"/>
        </w:rPr>
        <w:t>探索改革创新的发展路径</w:t>
      </w:r>
      <w:r>
        <w:rPr>
          <w:rFonts w:hint="default" w:ascii="Times New Roman" w:hAnsi="Times New Roman" w:eastAsia="方正仿宋_GBK" w:cs="Times New Roman"/>
          <w:b/>
          <w:bCs/>
          <w:color w:val="auto"/>
          <w:kern w:val="0"/>
          <w:sz w:val="32"/>
          <w:szCs w:val="32"/>
          <w:highlight w:val="none"/>
        </w:rPr>
        <w:t>。</w:t>
      </w:r>
      <w:r>
        <w:rPr>
          <w:rFonts w:hint="default" w:ascii="Times New Roman" w:hAnsi="Times New Roman" w:eastAsia="方正仿宋_GBK" w:cs="Times New Roman"/>
          <w:b w:val="0"/>
          <w:bCs w:val="0"/>
          <w:color w:val="auto"/>
          <w:kern w:val="0"/>
          <w:sz w:val="32"/>
          <w:szCs w:val="32"/>
          <w:highlight w:val="none"/>
          <w:lang w:eastAsia="zh-CN"/>
        </w:rPr>
        <w:t>有机衔接、有序推进党政机构改革，持续深化综合执法、城市更新、国企改革、行政效能、区城一体化等方面的基层改革，着力破除体制机制障碍，探索优化方法路径，</w:t>
      </w:r>
      <w:r>
        <w:rPr>
          <w:rFonts w:hint="default" w:ascii="Times New Roman" w:hAnsi="Times New Roman" w:eastAsia="方正仿宋_GBK" w:cs="Times New Roman"/>
          <w:color w:val="auto"/>
          <w:kern w:val="0"/>
          <w:sz w:val="32"/>
          <w:szCs w:val="32"/>
          <w:highlight w:val="none"/>
        </w:rPr>
        <w:t>形成有利于整合各路资源、调动各方力量、推动高效落实的路径举措，</w:t>
      </w:r>
      <w:r>
        <w:rPr>
          <w:rFonts w:hint="default" w:ascii="Times New Roman" w:hAnsi="Times New Roman" w:eastAsia="方正仿宋_GBK" w:cs="Times New Roman"/>
          <w:b w:val="0"/>
          <w:bCs w:val="0"/>
          <w:color w:val="auto"/>
          <w:kern w:val="0"/>
          <w:sz w:val="32"/>
          <w:szCs w:val="32"/>
          <w:highlight w:val="none"/>
          <w:lang w:val="en-US" w:eastAsia="zh-CN" w:bidi="ar-SA"/>
        </w:rPr>
        <w:t>努力创造更多可复制、可推广的秦淮经验。</w:t>
      </w:r>
    </w:p>
    <w:p w14:paraId="67E42AF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Cs/>
          <w:color w:val="auto"/>
          <w:kern w:val="0"/>
          <w:sz w:val="32"/>
          <w:szCs w:val="32"/>
          <w:highlight w:val="none"/>
        </w:rPr>
        <w:t>根据上述基本思路和原则，</w:t>
      </w:r>
      <w:r>
        <w:rPr>
          <w:rFonts w:hint="default" w:ascii="Times New Roman" w:hAnsi="Times New Roman" w:eastAsia="方正仿宋_GBK" w:cs="Times New Roman"/>
          <w:color w:val="auto"/>
          <w:kern w:val="0"/>
          <w:sz w:val="32"/>
          <w:szCs w:val="32"/>
          <w:highlight w:val="none"/>
        </w:rPr>
        <w:t>202</w:t>
      </w:r>
      <w:r>
        <w:rPr>
          <w:rFonts w:hint="default" w:ascii="Times New Roman" w:hAnsi="Times New Roman" w:eastAsia="方正仿宋_GBK" w:cs="Times New Roman"/>
          <w:color w:val="auto"/>
          <w:kern w:val="0"/>
          <w:sz w:val="32"/>
          <w:szCs w:val="32"/>
          <w:highlight w:val="none"/>
          <w:lang w:val="en-US" w:eastAsia="zh-CN"/>
        </w:rPr>
        <w:t>4</w:t>
      </w:r>
      <w:r>
        <w:rPr>
          <w:rFonts w:hint="default" w:ascii="Times New Roman" w:hAnsi="Times New Roman" w:eastAsia="方正仿宋_GBK" w:cs="Times New Roman"/>
          <w:color w:val="auto"/>
          <w:kern w:val="0"/>
          <w:sz w:val="32"/>
          <w:szCs w:val="32"/>
          <w:highlight w:val="none"/>
        </w:rPr>
        <w:t>年</w:t>
      </w:r>
      <w:r>
        <w:rPr>
          <w:rFonts w:hint="default" w:ascii="Times New Roman" w:hAnsi="Times New Roman" w:eastAsia="方正仿宋_GBK" w:cs="Times New Roman"/>
          <w:bCs/>
          <w:color w:val="auto"/>
          <w:kern w:val="0"/>
          <w:sz w:val="32"/>
          <w:szCs w:val="32"/>
          <w:highlight w:val="none"/>
        </w:rPr>
        <w:t>全区经济社会发展计划初步排定五类主要指标、六类重点任务、重大项目及非城建类政府投资计划安排。</w:t>
      </w:r>
    </w:p>
    <w:p w14:paraId="033A711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outlineLvl w:val="1"/>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一、主要指标</w:t>
      </w:r>
    </w:p>
    <w:p w14:paraId="2D9B2D2C">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宋体" w:cs="Times New Roman"/>
          <w:color w:val="auto"/>
          <w:kern w:val="0"/>
          <w:sz w:val="32"/>
          <w:szCs w:val="32"/>
          <w:highlight w:val="none"/>
        </w:rPr>
        <w:t>——</w:t>
      </w:r>
      <w:r>
        <w:rPr>
          <w:rFonts w:hint="default" w:ascii="Times New Roman" w:hAnsi="Times New Roman" w:eastAsia="方正楷体_GBK" w:cs="Times New Roman"/>
          <w:color w:val="auto"/>
          <w:kern w:val="0"/>
          <w:sz w:val="32"/>
          <w:szCs w:val="32"/>
          <w:highlight w:val="none"/>
        </w:rPr>
        <w:t>经济发展</w:t>
      </w:r>
      <w:r>
        <w:rPr>
          <w:rFonts w:hint="default" w:ascii="Times New Roman" w:hAnsi="Times New Roman" w:eastAsia="方正仿宋_GBK" w:cs="Times New Roman"/>
          <w:color w:val="auto"/>
          <w:kern w:val="0"/>
          <w:sz w:val="32"/>
          <w:szCs w:val="32"/>
          <w:highlight w:val="none"/>
        </w:rPr>
        <w:t>。地区生产总值增长</w:t>
      </w:r>
      <w:r>
        <w:rPr>
          <w:rFonts w:hint="default"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rPr>
        <w:t>；一般公共预算收入</w:t>
      </w:r>
      <w:r>
        <w:rPr>
          <w:rFonts w:hint="default" w:ascii="Times New Roman" w:hAnsi="Times New Roman" w:eastAsia="方正仿宋_GBK" w:cs="Times New Roman"/>
          <w:color w:val="auto"/>
          <w:kern w:val="0"/>
          <w:sz w:val="32"/>
          <w:szCs w:val="32"/>
          <w:highlight w:val="none"/>
          <w:lang w:eastAsia="zh-CN"/>
        </w:rPr>
        <w:t>增长</w:t>
      </w:r>
      <w:r>
        <w:rPr>
          <w:rFonts w:hint="eastAsia"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；固定资产投资增长</w:t>
      </w:r>
      <w:r>
        <w:rPr>
          <w:rFonts w:hint="default" w:ascii="Times New Roman" w:hAnsi="Times New Roman" w:eastAsia="方正仿宋_GBK" w:cs="Times New Roman"/>
          <w:color w:val="auto"/>
          <w:kern w:val="0"/>
          <w:sz w:val="32"/>
          <w:szCs w:val="32"/>
          <w:highlight w:val="none"/>
          <w:lang w:val="en-US" w:eastAsia="zh-CN"/>
        </w:rPr>
        <w:t>4</w:t>
      </w:r>
      <w:r>
        <w:rPr>
          <w:rFonts w:hint="default" w:ascii="Times New Roman" w:hAnsi="Times New Roman" w:eastAsia="方正仿宋_GBK" w:cs="Times New Roman"/>
          <w:color w:val="auto"/>
          <w:kern w:val="0"/>
          <w:sz w:val="32"/>
          <w:szCs w:val="32"/>
          <w:highlight w:val="none"/>
        </w:rPr>
        <w:t>%；社会消费品零售总额增长</w:t>
      </w:r>
      <w:r>
        <w:rPr>
          <w:rFonts w:hint="default" w:ascii="Times New Roman" w:hAnsi="Times New Roman" w:eastAsia="方正仿宋_GBK" w:cs="Times New Roman"/>
          <w:color w:val="auto"/>
          <w:kern w:val="0"/>
          <w:sz w:val="32"/>
          <w:szCs w:val="32"/>
          <w:highlight w:val="none"/>
          <w:lang w:val="en-US" w:eastAsia="zh-CN"/>
        </w:rPr>
        <w:t>5.5</w:t>
      </w:r>
      <w:r>
        <w:rPr>
          <w:rFonts w:hint="default" w:ascii="Times New Roman" w:hAnsi="Times New Roman" w:eastAsia="方正仿宋_GBK" w:cs="Times New Roman"/>
          <w:color w:val="auto"/>
          <w:kern w:val="0"/>
          <w:sz w:val="32"/>
          <w:szCs w:val="32"/>
          <w:highlight w:val="none"/>
        </w:rPr>
        <w:t>%；外贸进出口总额</w:t>
      </w:r>
      <w:r>
        <w:rPr>
          <w:rFonts w:hint="default" w:ascii="Times New Roman" w:hAnsi="Times New Roman" w:eastAsia="方正仿宋_GBK" w:cs="Times New Roman"/>
          <w:color w:val="auto"/>
          <w:kern w:val="0"/>
          <w:sz w:val="32"/>
          <w:szCs w:val="32"/>
          <w:highlight w:val="none"/>
          <w:lang w:eastAsia="zh-CN"/>
        </w:rPr>
        <w:t>力争实现正</w:t>
      </w:r>
      <w:r>
        <w:rPr>
          <w:rFonts w:hint="default" w:ascii="Times New Roman" w:hAnsi="Times New Roman" w:eastAsia="方正仿宋_GBK" w:cs="Times New Roman"/>
          <w:color w:val="auto"/>
          <w:kern w:val="0"/>
          <w:sz w:val="32"/>
          <w:szCs w:val="32"/>
          <w:highlight w:val="none"/>
        </w:rPr>
        <w:t>增长；实际使用外资</w:t>
      </w:r>
      <w:r>
        <w:rPr>
          <w:rFonts w:hint="default" w:ascii="Times New Roman" w:hAnsi="Times New Roman" w:eastAsia="方正仿宋_GBK" w:cs="Times New Roman"/>
          <w:color w:val="auto"/>
          <w:kern w:val="0"/>
          <w:sz w:val="32"/>
          <w:szCs w:val="32"/>
          <w:highlight w:val="none"/>
          <w:lang w:val="en-US" w:eastAsia="zh-CN"/>
        </w:rPr>
        <w:t>2.8</w:t>
      </w:r>
      <w:r>
        <w:rPr>
          <w:rFonts w:hint="default" w:ascii="Times New Roman" w:hAnsi="Times New Roman" w:eastAsia="方正仿宋_GBK" w:cs="Times New Roman"/>
          <w:color w:val="auto"/>
          <w:kern w:val="0"/>
          <w:sz w:val="32"/>
          <w:szCs w:val="32"/>
          <w:highlight w:val="none"/>
        </w:rPr>
        <w:t>亿美元</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全年新增规上企业150家。</w:t>
      </w:r>
    </w:p>
    <w:p w14:paraId="232AE570">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楷体_GBK" w:cs="Times New Roman"/>
          <w:color w:val="auto"/>
          <w:kern w:val="0"/>
          <w:sz w:val="32"/>
          <w:szCs w:val="32"/>
          <w:highlight w:val="none"/>
        </w:rPr>
        <w:t>——创新驱动。</w:t>
      </w:r>
      <w:r>
        <w:rPr>
          <w:rFonts w:hint="default" w:ascii="Times New Roman" w:hAnsi="Times New Roman" w:eastAsia="方正仿宋_GBK" w:cs="Times New Roman"/>
          <w:color w:val="auto"/>
          <w:kern w:val="0"/>
          <w:sz w:val="32"/>
          <w:szCs w:val="32"/>
          <w:highlight w:val="none"/>
        </w:rPr>
        <w:t>高企总数达</w:t>
      </w:r>
      <w:r>
        <w:rPr>
          <w:rFonts w:hint="default" w:ascii="Times New Roman" w:hAnsi="Times New Roman" w:eastAsia="方正仿宋_GBK" w:cs="Times New Roman"/>
          <w:color w:val="auto"/>
          <w:kern w:val="0"/>
          <w:sz w:val="32"/>
          <w:szCs w:val="32"/>
          <w:highlight w:val="none"/>
          <w:lang w:val="en-US" w:eastAsia="zh-CN"/>
        </w:rPr>
        <w:t>630</w:t>
      </w:r>
      <w:r>
        <w:rPr>
          <w:rFonts w:hint="default" w:ascii="Times New Roman" w:hAnsi="Times New Roman" w:eastAsia="方正仿宋_GBK" w:cs="Times New Roman"/>
          <w:color w:val="auto"/>
          <w:kern w:val="0"/>
          <w:sz w:val="32"/>
          <w:szCs w:val="32"/>
          <w:highlight w:val="none"/>
        </w:rPr>
        <w:t>家；</w:t>
      </w:r>
      <w:r>
        <w:rPr>
          <w:rFonts w:hint="default" w:ascii="Times New Roman" w:hAnsi="Times New Roman" w:eastAsia="方正仿宋_GBK" w:cs="Times New Roman"/>
          <w:color w:val="auto"/>
          <w:kern w:val="0"/>
          <w:sz w:val="32"/>
          <w:szCs w:val="32"/>
          <w:highlight w:val="none"/>
          <w:lang w:val="en-US" w:eastAsia="zh-CN"/>
        </w:rPr>
        <w:t>技术合同成交额达91亿元；新研机构及孵化引进企业营收达25亿元；新增省级以上专精特新企业15家；</w:t>
      </w:r>
      <w:r>
        <w:rPr>
          <w:rFonts w:hint="default" w:ascii="Times New Roman" w:hAnsi="Times New Roman" w:eastAsia="方正仿宋_GBK" w:cs="Times New Roman"/>
          <w:color w:val="auto"/>
          <w:kern w:val="0"/>
          <w:sz w:val="32"/>
          <w:szCs w:val="32"/>
          <w:highlight w:val="none"/>
          <w:lang w:eastAsia="zh-CN"/>
        </w:rPr>
        <w:t>新增省级以上重点人才20人</w:t>
      </w:r>
      <w:r>
        <w:rPr>
          <w:rFonts w:hint="default" w:ascii="Times New Roman" w:hAnsi="Times New Roman" w:eastAsia="方正仿宋_GBK" w:cs="Times New Roman"/>
          <w:color w:val="auto"/>
          <w:kern w:val="0"/>
          <w:sz w:val="32"/>
          <w:szCs w:val="32"/>
          <w:highlight w:val="none"/>
        </w:rPr>
        <w:t>；工业战略性新兴产业总产值占工业总产值比重</w:t>
      </w:r>
      <w:r>
        <w:rPr>
          <w:rFonts w:hint="default" w:ascii="Times New Roman" w:hAnsi="Times New Roman" w:eastAsia="方正仿宋_GBK" w:cs="Times New Roman"/>
          <w:color w:val="auto"/>
          <w:kern w:val="0"/>
          <w:sz w:val="32"/>
          <w:szCs w:val="32"/>
          <w:highlight w:val="none"/>
          <w:lang w:eastAsia="zh-CN"/>
        </w:rPr>
        <w:t>达</w:t>
      </w:r>
      <w:r>
        <w:rPr>
          <w:rFonts w:hint="default" w:ascii="Times New Roman" w:hAnsi="Times New Roman" w:eastAsia="方正仿宋_GBK" w:cs="Times New Roman"/>
          <w:color w:val="auto"/>
          <w:kern w:val="0"/>
          <w:sz w:val="32"/>
          <w:szCs w:val="32"/>
          <w:highlight w:val="none"/>
          <w:lang w:val="en-US" w:eastAsia="zh-CN"/>
        </w:rPr>
        <w:t>60</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w:t>
      </w:r>
    </w:p>
    <w:p w14:paraId="764ACF0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楷体_GBK" w:cs="Times New Roman"/>
          <w:color w:val="auto"/>
          <w:kern w:val="0"/>
          <w:sz w:val="32"/>
          <w:szCs w:val="32"/>
          <w:highlight w:val="none"/>
        </w:rPr>
        <w:t>——民生保障。</w:t>
      </w:r>
      <w:r>
        <w:rPr>
          <w:rFonts w:hint="default" w:ascii="Times New Roman" w:hAnsi="Times New Roman" w:eastAsia="方正仿宋_GBK" w:cs="Times New Roman"/>
          <w:color w:val="auto"/>
          <w:kern w:val="0"/>
          <w:sz w:val="32"/>
          <w:szCs w:val="32"/>
          <w:highlight w:val="none"/>
        </w:rPr>
        <w:t>居民人均可支配收入与经济增长基本同步。城镇新增就业人数2.</w:t>
      </w:r>
      <w:r>
        <w:rPr>
          <w:rFonts w:hint="default" w:ascii="Times New Roman" w:hAnsi="Times New Roman" w:eastAsia="方正仿宋_GBK" w:cs="Times New Roman"/>
          <w:color w:val="auto"/>
          <w:kern w:val="0"/>
          <w:sz w:val="32"/>
          <w:szCs w:val="32"/>
          <w:highlight w:val="none"/>
          <w:lang w:val="en-US" w:eastAsia="zh-CN"/>
        </w:rPr>
        <w:t>33</w:t>
      </w:r>
      <w:r>
        <w:rPr>
          <w:rFonts w:hint="default" w:ascii="Times New Roman" w:hAnsi="Times New Roman" w:eastAsia="方正仿宋_GBK" w:cs="Times New Roman"/>
          <w:color w:val="auto"/>
          <w:kern w:val="0"/>
          <w:sz w:val="32"/>
          <w:szCs w:val="32"/>
          <w:highlight w:val="none"/>
        </w:rPr>
        <w:t>万人</w:t>
      </w:r>
      <w:r>
        <w:rPr>
          <w:rFonts w:hint="default" w:ascii="Times New Roman" w:hAnsi="Times New Roman" w:eastAsia="方正仿宋_GBK" w:cs="Times New Roman"/>
          <w:color w:val="auto"/>
          <w:kern w:val="0"/>
          <w:sz w:val="32"/>
          <w:szCs w:val="32"/>
          <w:highlight w:val="none"/>
          <w:lang w:val="en-US" w:eastAsia="zh-CN"/>
        </w:rPr>
        <w:t>。文化产业增加值占GDP比重</w:t>
      </w:r>
      <w:r>
        <w:rPr>
          <w:rFonts w:hint="eastAsia" w:ascii="Times New Roman" w:hAnsi="Times New Roman" w:eastAsia="方正仿宋_GBK" w:cs="Times New Roman"/>
          <w:color w:val="auto"/>
          <w:kern w:val="0"/>
          <w:sz w:val="32"/>
          <w:szCs w:val="32"/>
          <w:highlight w:val="none"/>
          <w:lang w:val="en-US" w:eastAsia="zh-CN"/>
        </w:rPr>
        <w:t>达</w:t>
      </w:r>
      <w:r>
        <w:rPr>
          <w:rFonts w:hint="default" w:ascii="Times New Roman" w:hAnsi="Times New Roman" w:eastAsia="方正仿宋_GBK" w:cs="Times New Roman"/>
          <w:color w:val="auto"/>
          <w:kern w:val="0"/>
          <w:sz w:val="32"/>
          <w:szCs w:val="32"/>
          <w:highlight w:val="none"/>
          <w:lang w:val="en-US" w:eastAsia="zh-CN"/>
        </w:rPr>
        <w:t>10%</w:t>
      </w:r>
      <w:r>
        <w:rPr>
          <w:rFonts w:hint="eastAsia" w:ascii="Times New Roman" w:hAnsi="Times New Roman" w:eastAsia="方正仿宋_GBK" w:cs="Times New Roman"/>
          <w:color w:val="auto"/>
          <w:kern w:val="0"/>
          <w:sz w:val="32"/>
          <w:szCs w:val="32"/>
          <w:highlight w:val="none"/>
          <w:lang w:val="en-US" w:eastAsia="zh-CN"/>
        </w:rPr>
        <w:t>以上</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社会文明程度指数位于主城第一方阵。</w:t>
      </w:r>
      <w:r>
        <w:rPr>
          <w:rFonts w:hint="eastAsia" w:ascii="Times New Roman" w:hAnsi="Times New Roman" w:eastAsia="方正仿宋_GBK" w:cs="Times New Roman"/>
          <w:color w:val="auto"/>
          <w:kern w:val="0"/>
          <w:sz w:val="32"/>
          <w:szCs w:val="32"/>
          <w:highlight w:val="none"/>
          <w:lang w:val="en-US" w:eastAsia="zh-CN"/>
        </w:rPr>
        <w:t>60岁以上</w:t>
      </w:r>
      <w:r>
        <w:rPr>
          <w:rFonts w:hint="eastAsia" w:ascii="Times New Roman" w:hAnsi="Times New Roman" w:eastAsia="方正仿宋_GBK" w:cs="Times New Roman"/>
          <w:color w:val="auto"/>
          <w:kern w:val="0"/>
          <w:sz w:val="32"/>
          <w:szCs w:val="32"/>
          <w:highlight w:val="none"/>
          <w:lang w:eastAsia="zh-CN"/>
        </w:rPr>
        <w:t>户籍老年人口</w:t>
      </w:r>
      <w:r>
        <w:rPr>
          <w:rFonts w:hint="default" w:ascii="Times New Roman" w:hAnsi="Times New Roman" w:eastAsia="方正仿宋_GBK" w:cs="Times New Roman"/>
          <w:color w:val="auto"/>
          <w:kern w:val="0"/>
          <w:sz w:val="32"/>
          <w:szCs w:val="32"/>
          <w:highlight w:val="none"/>
        </w:rPr>
        <w:t>基本养老服务体系</w:t>
      </w:r>
      <w:r>
        <w:rPr>
          <w:rFonts w:hint="eastAsia" w:ascii="Times New Roman" w:hAnsi="Times New Roman" w:eastAsia="方正仿宋_GBK" w:cs="Times New Roman"/>
          <w:color w:val="auto"/>
          <w:kern w:val="0"/>
          <w:sz w:val="32"/>
          <w:szCs w:val="32"/>
          <w:highlight w:val="none"/>
          <w:lang w:eastAsia="zh-CN"/>
        </w:rPr>
        <w:t>全</w:t>
      </w:r>
      <w:r>
        <w:rPr>
          <w:rFonts w:hint="default" w:ascii="Times New Roman" w:hAnsi="Times New Roman" w:eastAsia="方正仿宋_GBK" w:cs="Times New Roman"/>
          <w:color w:val="auto"/>
          <w:kern w:val="0"/>
          <w:sz w:val="32"/>
          <w:szCs w:val="32"/>
          <w:highlight w:val="none"/>
        </w:rPr>
        <w:t>覆盖</w:t>
      </w:r>
      <w:r>
        <w:rPr>
          <w:rFonts w:hint="eastAsia" w:ascii="Times New Roman" w:hAnsi="Times New Roman" w:eastAsia="方正仿宋_GBK" w:cs="Times New Roman"/>
          <w:color w:val="auto"/>
          <w:kern w:val="0"/>
          <w:sz w:val="32"/>
          <w:szCs w:val="32"/>
          <w:highlight w:val="none"/>
          <w:lang w:eastAsia="zh-CN"/>
        </w:rPr>
        <w:t>。</w:t>
      </w:r>
    </w:p>
    <w:p w14:paraId="013A9204">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——生态环境。</w:t>
      </w:r>
      <w:r>
        <w:rPr>
          <w:rFonts w:hint="default" w:ascii="Times New Roman" w:hAnsi="Times New Roman" w:eastAsia="方正仿宋_GBK" w:cs="Times New Roman"/>
          <w:color w:val="auto"/>
          <w:kern w:val="0"/>
          <w:sz w:val="32"/>
          <w:szCs w:val="32"/>
          <w:highlight w:val="none"/>
        </w:rPr>
        <w:t>地表水国考断面水质达到或好于Ⅲ类水体，空气质量优良天数</w:t>
      </w:r>
      <w:r>
        <w:rPr>
          <w:rFonts w:hint="eastAsia" w:ascii="Times New Roman" w:hAnsi="Times New Roman" w:eastAsia="方正仿宋_GBK" w:cs="Times New Roman"/>
          <w:color w:val="auto"/>
          <w:kern w:val="0"/>
          <w:sz w:val="32"/>
          <w:szCs w:val="32"/>
          <w:highlight w:val="none"/>
          <w:lang w:eastAsia="zh-CN"/>
        </w:rPr>
        <w:t>比率</w:t>
      </w:r>
      <w:r>
        <w:rPr>
          <w:rFonts w:hint="default" w:ascii="Times New Roman" w:hAnsi="Times New Roman" w:eastAsia="方正仿宋_GBK" w:cs="Times New Roman"/>
          <w:color w:val="auto"/>
          <w:kern w:val="0"/>
          <w:sz w:val="32"/>
          <w:szCs w:val="32"/>
          <w:highlight w:val="none"/>
        </w:rPr>
        <w:t>与PM2.5年均浓度达省定目标。</w:t>
      </w:r>
    </w:p>
    <w:p w14:paraId="2B65096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——安全稳定。</w:t>
      </w:r>
      <w:r>
        <w:rPr>
          <w:rFonts w:hint="default" w:ascii="Times New Roman" w:hAnsi="Times New Roman" w:eastAsia="方正仿宋_GBK" w:cs="Times New Roman"/>
          <w:color w:val="auto"/>
          <w:kern w:val="0"/>
          <w:sz w:val="32"/>
          <w:szCs w:val="32"/>
          <w:highlight w:val="none"/>
        </w:rPr>
        <w:t>安全生产形势持续稳定向好，加强风险管控和隐患</w:t>
      </w:r>
      <w:r>
        <w:rPr>
          <w:rFonts w:hint="default" w:ascii="Times New Roman" w:hAnsi="Times New Roman" w:eastAsia="方正仿宋_GBK" w:cs="Times New Roman"/>
          <w:color w:val="auto"/>
          <w:kern w:val="0"/>
          <w:sz w:val="32"/>
          <w:szCs w:val="32"/>
          <w:highlight w:val="none"/>
          <w:lang w:val="en-US" w:eastAsia="zh-CN"/>
        </w:rPr>
        <w:t>治理，确保不发生较大以上生产安全事故和火灾事故。</w:t>
      </w:r>
    </w:p>
    <w:p w14:paraId="71F0AFA3">
      <w:pPr>
        <w:keepNext w:val="0"/>
        <w:keepLines w:val="0"/>
        <w:pageBreakBefore w:val="0"/>
        <w:widowControl w:val="0"/>
        <w:numPr>
          <w:ilvl w:val="0"/>
          <w:numId w:val="4"/>
        </w:numPr>
        <w:kinsoku/>
        <w:wordWrap/>
        <w:overflowPunct w:val="0"/>
        <w:topLinePunct w:val="0"/>
        <w:autoSpaceDE/>
        <w:autoSpaceDN/>
        <w:bidi w:val="0"/>
        <w:adjustRightInd/>
        <w:snapToGrid/>
        <w:spacing w:line="520" w:lineRule="exact"/>
        <w:ind w:firstLine="640" w:firstLineChars="200"/>
        <w:textAlignment w:val="auto"/>
        <w:outlineLvl w:val="1"/>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重点任务</w:t>
      </w:r>
    </w:p>
    <w:p w14:paraId="5D54AD65">
      <w:pPr>
        <w:keepNext w:val="0"/>
        <w:keepLines w:val="0"/>
        <w:pageBreakBefore w:val="0"/>
        <w:widowControl w:val="0"/>
        <w:kinsoku/>
        <w:wordWrap/>
        <w:topLinePunct w:val="0"/>
        <w:autoSpaceDE/>
        <w:autoSpaceDN/>
        <w:bidi w:val="0"/>
        <w:adjustRightInd/>
        <w:snapToGrid/>
        <w:spacing w:line="520" w:lineRule="exact"/>
        <w:ind w:firstLine="640" w:firstLineChars="200"/>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（一）聚焦稳进提质，巩固经济回升向好态势</w:t>
      </w:r>
    </w:p>
    <w:p w14:paraId="16C07C5A">
      <w:pPr>
        <w:keepNext w:val="0"/>
        <w:keepLines w:val="0"/>
        <w:pageBreakBefore w:val="0"/>
        <w:widowControl w:val="0"/>
        <w:numPr>
          <w:ilvl w:val="0"/>
          <w:numId w:val="0"/>
        </w:numPr>
        <w:kinsoku/>
        <w:wordWrap/>
        <w:overflowPunct w:val="0"/>
        <w:topLinePunct w:val="0"/>
        <w:autoSpaceDE/>
        <w:autoSpaceDN/>
        <w:bidi w:val="0"/>
        <w:adjustRightInd/>
        <w:snapToGrid/>
        <w:spacing w:line="520" w:lineRule="exact"/>
        <w:ind w:firstLine="640" w:firstLineChars="200"/>
        <w:textAlignment w:val="auto"/>
        <w:outlineLvl w:val="2"/>
        <w:rPr>
          <w:rFonts w:hint="default" w:ascii="Times New Roman" w:hAnsi="Times New Roman" w:eastAsia="方正楷体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sz w:val="32"/>
          <w:szCs w:val="32"/>
          <w:highlight w:val="none"/>
          <w:lang w:val="en-US" w:eastAsia="zh-CN"/>
        </w:rPr>
        <w:t>坚持精准施策，扩大有效投资，加快推动经济实现质的有效提升和量的合理增长。持续优化经济一体化统筹调度机制，进一步增设大健康、人力资源、交通运输等产业工作专班。提高重大项目支撑力，推动新华社地块挂牌出让，天安数码城三期等项目开工建设，</w:t>
      </w:r>
      <w:r>
        <w:rPr>
          <w:rFonts w:ascii="Times New Roman" w:hAnsi="Times New Roman" w:eastAsia="方正仿宋_GBK" w:cs="Times New Roman"/>
          <w:color w:val="auto"/>
          <w:sz w:val="32"/>
          <w:szCs w:val="32"/>
          <w:highlight w:val="none"/>
        </w:rPr>
        <w:t>力争万锦汇、省中医院科教大楼、银城国际医疗健康城、首建中心等项目</w:t>
      </w:r>
      <w:r>
        <w:rPr>
          <w:rFonts w:hint="eastAsia" w:ascii="Times New Roman" w:hAnsi="Times New Roman" w:eastAsia="方正仿宋_GBK" w:cs="Times New Roman"/>
          <w:color w:val="auto"/>
          <w:sz w:val="32"/>
          <w:szCs w:val="32"/>
          <w:highlight w:val="none"/>
        </w:rPr>
        <w:t>开</w:t>
      </w:r>
      <w:r>
        <w:rPr>
          <w:rFonts w:ascii="Times New Roman" w:hAnsi="Times New Roman" w:eastAsia="方正仿宋_GBK" w:cs="Times New Roman"/>
          <w:color w:val="auto"/>
          <w:sz w:val="32"/>
          <w:szCs w:val="32"/>
          <w:highlight w:val="none"/>
        </w:rPr>
        <w:t>复工</w:t>
      </w:r>
      <w:r>
        <w:rPr>
          <w:rFonts w:hint="default" w:ascii="Times New Roman" w:hAnsi="Times New Roman" w:eastAsia="方正仿宋_GBK" w:cs="Times New Roman"/>
          <w:color w:val="auto"/>
          <w:sz w:val="32"/>
          <w:szCs w:val="32"/>
          <w:highlight w:val="none"/>
          <w:lang w:val="en-US" w:eastAsia="zh-CN"/>
        </w:rPr>
        <w:t>，确保门西数字生活街区、金陵中环等项目按时完工。提高招商引资含金量，出台区城招商引资一体化实施办法，深入推进区城资源聚合、力量整合、政策融合。</w:t>
      </w:r>
      <w:r>
        <w:rPr>
          <w:rFonts w:hint="default" w:ascii="Times New Roman" w:hAnsi="Times New Roman" w:eastAsia="方正仿宋_GBK" w:cs="Times New Roman"/>
          <w:b w:val="0"/>
          <w:bCs/>
          <w:color w:val="auto"/>
          <w:kern w:val="2"/>
          <w:sz w:val="32"/>
          <w:szCs w:val="32"/>
          <w:highlight w:val="none"/>
          <w:lang w:val="en-US" w:eastAsia="zh-CN" w:bidi="ar-SA"/>
        </w:rPr>
        <w:t>加快推进10个楼宇（园区）改造项目，提升商务载体品质。</w:t>
      </w:r>
      <w:r>
        <w:rPr>
          <w:rFonts w:hint="default" w:ascii="Times New Roman" w:hAnsi="Times New Roman" w:eastAsia="方正仿宋_GBK" w:cs="Times New Roman"/>
          <w:color w:val="auto"/>
          <w:sz w:val="32"/>
          <w:szCs w:val="32"/>
          <w:highlight w:val="none"/>
          <w:lang w:val="en-US" w:eastAsia="zh-CN"/>
        </w:rPr>
        <w:t>聚焦主导产业开展精准招商、合作招商，全年举办招商推介活动40场，引进有质量项目不少于100个，</w:t>
      </w:r>
      <w:r>
        <w:rPr>
          <w:rFonts w:hint="default" w:ascii="Times New Roman" w:hAnsi="Times New Roman" w:eastAsia="方正仿宋_GBK" w:cs="Times New Roman"/>
          <w:color w:val="auto"/>
          <w:sz w:val="32"/>
          <w:szCs w:val="32"/>
          <w:highlight w:val="none"/>
        </w:rPr>
        <w:t>实际利用内资</w:t>
      </w:r>
      <w:r>
        <w:rPr>
          <w:rFonts w:hint="default" w:ascii="Times New Roman" w:hAnsi="Times New Roman" w:eastAsia="方正仿宋_GBK" w:cs="Times New Roman"/>
          <w:color w:val="auto"/>
          <w:sz w:val="32"/>
          <w:szCs w:val="32"/>
          <w:highlight w:val="none"/>
          <w:lang w:val="en-US" w:eastAsia="zh-CN"/>
        </w:rPr>
        <w:t>100</w:t>
      </w:r>
      <w:r>
        <w:rPr>
          <w:rFonts w:hint="default" w:ascii="Times New Roman" w:hAnsi="Times New Roman" w:eastAsia="方正仿宋_GBK" w:cs="Times New Roman"/>
          <w:color w:val="auto"/>
          <w:sz w:val="32"/>
          <w:szCs w:val="32"/>
          <w:highlight w:val="none"/>
        </w:rPr>
        <w:t>亿元。</w:t>
      </w:r>
    </w:p>
    <w:p w14:paraId="5D3C34A2">
      <w:pPr>
        <w:keepNext w:val="0"/>
        <w:keepLines w:val="0"/>
        <w:pageBreakBefore w:val="0"/>
        <w:widowControl w:val="0"/>
        <w:numPr>
          <w:ilvl w:val="0"/>
          <w:numId w:val="0"/>
        </w:numPr>
        <w:kinsoku/>
        <w:wordWrap/>
        <w:overflowPunct w:val="0"/>
        <w:topLinePunct w:val="0"/>
        <w:autoSpaceDE/>
        <w:autoSpaceDN/>
        <w:bidi w:val="0"/>
        <w:adjustRightInd/>
        <w:snapToGrid/>
        <w:spacing w:line="520" w:lineRule="exact"/>
        <w:ind w:firstLine="640" w:firstLineChars="200"/>
        <w:textAlignment w:val="auto"/>
        <w:outlineLvl w:val="2"/>
        <w:rPr>
          <w:rFonts w:hint="default" w:ascii="Times New Roman" w:hAnsi="Times New Roman" w:eastAsia="方正楷体_GBK" w:cs="Times New Roman"/>
          <w:color w:val="auto"/>
          <w:sz w:val="32"/>
          <w:szCs w:val="32"/>
          <w:highlight w:val="none"/>
          <w:lang w:eastAsia="zh-CN"/>
        </w:rPr>
      </w:pPr>
      <w:r>
        <w:rPr>
          <w:rFonts w:hint="default" w:ascii="Times New Roman" w:hAnsi="Times New Roman" w:eastAsia="方正楷体_GBK" w:cs="Times New Roman"/>
          <w:color w:val="auto"/>
          <w:kern w:val="2"/>
          <w:sz w:val="32"/>
          <w:szCs w:val="32"/>
          <w:highlight w:val="none"/>
          <w:lang w:val="en-US" w:eastAsia="zh-CN" w:bidi="ar-SA"/>
        </w:rPr>
        <w:t>（二）聚焦实体经济，加快构建现代化产业体系</w:t>
      </w:r>
    </w:p>
    <w:p w14:paraId="591B406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outlineLvl w:val="2"/>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细化落实“4+3+4”现代服务业强区行动计划，不断提升区域实体经济实力。做强优势产业规模，加快内外贸一体化发展，新增品牌首店等60家，年均新增出口企业150家，限上贸易额增长5%。推进知识产权金融服务，</w:t>
      </w:r>
      <w:r>
        <w:rPr>
          <w:rFonts w:hint="default" w:ascii="Times New Roman" w:hAnsi="Times New Roman" w:eastAsia="方正仿宋_GBK" w:cs="Times New Roman"/>
          <w:b w:val="0"/>
          <w:bCs w:val="0"/>
          <w:color w:val="auto"/>
          <w:sz w:val="32"/>
          <w:szCs w:val="32"/>
          <w:highlight w:val="none"/>
          <w:lang w:val="en-US" w:eastAsia="zh-CN"/>
        </w:rPr>
        <w:t>支持</w:t>
      </w:r>
      <w:r>
        <w:rPr>
          <w:rFonts w:hint="default" w:ascii="Times New Roman" w:hAnsi="Times New Roman" w:eastAsia="方正仿宋_GBK" w:cs="Times New Roman"/>
          <w:b w:val="0"/>
          <w:bCs w:val="0"/>
          <w:color w:val="auto"/>
          <w:sz w:val="32"/>
          <w:szCs w:val="32"/>
          <w:highlight w:val="none"/>
        </w:rPr>
        <w:t>南银法</w:t>
      </w:r>
      <w:r>
        <w:rPr>
          <w:rFonts w:hint="default" w:ascii="Times New Roman" w:hAnsi="Times New Roman" w:eastAsia="方正仿宋_GBK" w:cs="Times New Roman"/>
          <w:b w:val="0"/>
          <w:bCs w:val="0"/>
          <w:color w:val="auto"/>
          <w:sz w:val="32"/>
          <w:szCs w:val="32"/>
          <w:highlight w:val="none"/>
          <w:lang w:eastAsia="zh-CN"/>
        </w:rPr>
        <w:t>巴</w:t>
      </w:r>
      <w:r>
        <w:rPr>
          <w:rFonts w:hint="default" w:ascii="Times New Roman" w:hAnsi="Times New Roman" w:eastAsia="方正仿宋_GBK" w:cs="Times New Roman"/>
          <w:b w:val="0"/>
          <w:bCs w:val="0"/>
          <w:color w:val="auto"/>
          <w:sz w:val="32"/>
          <w:szCs w:val="32"/>
          <w:highlight w:val="none"/>
        </w:rPr>
        <w:t>发展，消费金融规模突破</w:t>
      </w:r>
      <w:r>
        <w:rPr>
          <w:rFonts w:hint="default" w:ascii="Times New Roman" w:hAnsi="Times New Roman" w:eastAsia="方正仿宋_GBK" w:cs="Times New Roman"/>
          <w:b w:val="0"/>
          <w:bCs w:val="0"/>
          <w:color w:val="auto"/>
          <w:sz w:val="32"/>
          <w:szCs w:val="32"/>
          <w:highlight w:val="none"/>
          <w:lang w:val="en-US" w:eastAsia="zh-CN"/>
        </w:rPr>
        <w:t>500亿元，</w:t>
      </w:r>
      <w:r>
        <w:rPr>
          <w:rFonts w:hint="default" w:ascii="Times New Roman" w:hAnsi="Times New Roman" w:eastAsia="方正仿宋_GBK" w:cs="Times New Roman"/>
          <w:color w:val="auto"/>
          <w:sz w:val="32"/>
          <w:szCs w:val="32"/>
          <w:highlight w:val="none"/>
        </w:rPr>
        <w:t>新增各类金融机构15家。</w:t>
      </w:r>
      <w:r>
        <w:rPr>
          <w:rFonts w:hint="default" w:ascii="Times New Roman" w:hAnsi="Times New Roman" w:eastAsia="方正仿宋_GBK" w:cs="Times New Roman"/>
          <w:color w:val="auto"/>
          <w:sz w:val="32"/>
          <w:szCs w:val="32"/>
          <w:highlight w:val="none"/>
          <w:lang w:val="en-US" w:eastAsia="zh-CN"/>
        </w:rPr>
        <w:t>发挥国家级文化产业示范园区带动作用，加快科举博物馆二期等文旅项目建设，全年旅游总收入力争突破800亿元。</w:t>
      </w:r>
      <w:r>
        <w:rPr>
          <w:rFonts w:hint="default" w:ascii="Times New Roman" w:hAnsi="Times New Roman" w:eastAsia="方正仿宋_GBK" w:cs="Times New Roman"/>
          <w:b w:val="0"/>
          <w:bCs w:val="0"/>
          <w:color w:val="auto"/>
          <w:kern w:val="0"/>
          <w:sz w:val="32"/>
          <w:szCs w:val="32"/>
          <w:highlight w:val="none"/>
          <w:lang w:val="en-US" w:eastAsia="zh-CN"/>
        </w:rPr>
        <w:t>巩固扩大通信、智能交通等行业应用软件领先优势，</w:t>
      </w:r>
      <w:r>
        <w:rPr>
          <w:rFonts w:hint="default" w:ascii="Times New Roman" w:hAnsi="Times New Roman" w:eastAsia="方正仿宋_GBK" w:cs="Times New Roman"/>
          <w:color w:val="auto"/>
          <w:sz w:val="32"/>
          <w:szCs w:val="32"/>
          <w:highlight w:val="none"/>
        </w:rPr>
        <w:t>软件和信息服务业</w:t>
      </w:r>
      <w:r>
        <w:rPr>
          <w:rFonts w:hint="default" w:ascii="Times New Roman" w:hAnsi="Times New Roman" w:eastAsia="方正仿宋_GBK" w:cs="Times New Roman"/>
          <w:color w:val="auto"/>
          <w:sz w:val="32"/>
          <w:szCs w:val="32"/>
          <w:highlight w:val="none"/>
          <w:lang w:eastAsia="zh-CN"/>
        </w:rPr>
        <w:t>营收达</w:t>
      </w:r>
      <w:r>
        <w:rPr>
          <w:rFonts w:hint="default" w:ascii="Times New Roman" w:hAnsi="Times New Roman" w:eastAsia="方正仿宋_GBK" w:cs="Times New Roman"/>
          <w:color w:val="auto"/>
          <w:sz w:val="32"/>
          <w:szCs w:val="32"/>
          <w:highlight w:val="none"/>
          <w:lang w:val="en-US" w:eastAsia="zh-CN"/>
        </w:rPr>
        <w:t>610亿元。做优新兴产业能级，</w:t>
      </w:r>
      <w:r>
        <w:rPr>
          <w:rFonts w:hint="default" w:ascii="Times New Roman" w:hAnsi="Times New Roman" w:eastAsia="方正仿宋_GBK" w:cs="Times New Roman"/>
          <w:color w:val="auto"/>
          <w:sz w:val="32"/>
          <w:szCs w:val="32"/>
          <w:highlight w:val="none"/>
          <w:lang w:eastAsia="zh-CN"/>
        </w:rPr>
        <w:t>发挥联通物联、天翼物联两大物联网龙头效应，产业规模达</w:t>
      </w:r>
      <w:r>
        <w:rPr>
          <w:rFonts w:hint="default" w:ascii="Times New Roman" w:hAnsi="Times New Roman" w:eastAsia="方正仿宋_GBK" w:cs="Times New Roman"/>
          <w:color w:val="auto"/>
          <w:sz w:val="32"/>
          <w:szCs w:val="32"/>
          <w:highlight w:val="none"/>
          <w:lang w:val="en-US" w:eastAsia="zh-CN"/>
        </w:rPr>
        <w:t>260亿元。</w:t>
      </w:r>
      <w:r>
        <w:rPr>
          <w:rFonts w:hint="default" w:ascii="Times New Roman" w:hAnsi="Times New Roman" w:eastAsia="方正仿宋_GBK" w:cs="Times New Roman"/>
          <w:color w:val="auto"/>
          <w:kern w:val="0"/>
          <w:sz w:val="32"/>
          <w:szCs w:val="32"/>
          <w:highlight w:val="none"/>
          <w:lang w:val="en-US" w:eastAsia="zh-CN"/>
        </w:rPr>
        <w:t>依托省级车联网先导区建设基础，</w:t>
      </w:r>
      <w:r>
        <w:rPr>
          <w:rFonts w:hint="default" w:ascii="Times New Roman" w:hAnsi="Times New Roman" w:eastAsia="方正仿宋_GBK" w:cs="Times New Roman"/>
          <w:b w:val="0"/>
          <w:bCs w:val="0"/>
          <w:color w:val="auto"/>
          <w:kern w:val="2"/>
          <w:sz w:val="32"/>
          <w:szCs w:val="32"/>
          <w:highlight w:val="none"/>
          <w:lang w:val="en-US" w:eastAsia="zh-CN"/>
        </w:rPr>
        <w:t>打造南部新城高级别自动驾驶示范区</w:t>
      </w:r>
      <w:r>
        <w:rPr>
          <w:rFonts w:hint="default" w:ascii="Times New Roman" w:hAnsi="Times New Roman" w:eastAsia="方正仿宋_GBK" w:cs="Times New Roman"/>
          <w:color w:val="auto"/>
          <w:kern w:val="2"/>
          <w:sz w:val="32"/>
          <w:szCs w:val="32"/>
          <w:highlight w:val="none"/>
          <w:lang w:val="en-US" w:eastAsia="zh-CN"/>
        </w:rPr>
        <w:t>。大力发展航空航天产业，全年产业收入达195亿元。提前谋划人工智能、大健康、元宇宙、新型储能等未来产业布局。</w:t>
      </w:r>
    </w:p>
    <w:p w14:paraId="5A705F7B">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outlineLvl w:val="2"/>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lang w:eastAsia="zh-CN"/>
        </w:rPr>
        <w:t>三</w:t>
      </w: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lang w:eastAsia="zh-CN"/>
        </w:rPr>
        <w:t>聚焦创新为胜，夯实科技自立自强根基</w:t>
      </w:r>
    </w:p>
    <w:p w14:paraId="63968CEA">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outlineLvl w:val="2"/>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始终把科技创新作为主动力，加强区域创新链深度融合，不断塑造发展新动能新优势。深化科技体制综合改革，优化搭建企业、高校、科研院所等创新主体有效协同平台，</w:t>
      </w:r>
      <w:r>
        <w:rPr>
          <w:rFonts w:hint="default" w:ascii="Times New Roman" w:hAnsi="Times New Roman" w:eastAsia="方正仿宋_GBK" w:cs="Times New Roman"/>
          <w:color w:val="auto"/>
          <w:sz w:val="32"/>
          <w:szCs w:val="32"/>
          <w:highlight w:val="none"/>
          <w:lang w:eastAsia="zh-CN"/>
        </w:rPr>
        <w:t>加快白下高新区新一轮跨越发展</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bidi="ar-SA"/>
        </w:rPr>
        <w:t>依托东南大学国家技术转移秦淮分中心，推动重点产业关键核心技术突破，</w:t>
      </w:r>
      <w:r>
        <w:rPr>
          <w:rFonts w:hint="default" w:ascii="Times New Roman" w:hAnsi="Times New Roman" w:eastAsia="方正仿宋_GBK" w:cs="Times New Roman"/>
          <w:color w:val="auto"/>
          <w:sz w:val="32"/>
          <w:szCs w:val="32"/>
          <w:highlight w:val="none"/>
          <w:lang w:val="en-US" w:eastAsia="zh-CN"/>
        </w:rPr>
        <w:t>促进重大科技成果转移转化。推进省级知识产权示范区建设，有效发明专利拥有量达13500件。</w:t>
      </w:r>
      <w:r>
        <w:rPr>
          <w:rFonts w:hint="default" w:ascii="Times New Roman" w:hAnsi="Times New Roman" w:eastAsia="方正仿宋_GBK" w:cs="Times New Roman"/>
          <w:b w:val="0"/>
          <w:bCs w:val="0"/>
          <w:color w:val="auto"/>
          <w:kern w:val="2"/>
          <w:sz w:val="32"/>
          <w:szCs w:val="32"/>
          <w:highlight w:val="none"/>
          <w:lang w:val="en-US" w:eastAsia="zh-CN" w:bidi="ar-SA"/>
        </w:rPr>
        <w:t>完善企业梯度培育机制，科技型中小企业达1400家，</w:t>
      </w:r>
      <w:r>
        <w:rPr>
          <w:rFonts w:hint="default" w:ascii="Times New Roman" w:hAnsi="Times New Roman" w:eastAsia="方正仿宋_GBK" w:cs="Times New Roman"/>
          <w:color w:val="auto"/>
          <w:sz w:val="32"/>
          <w:szCs w:val="32"/>
          <w:highlight w:val="none"/>
        </w:rPr>
        <w:t>新增市级以上工程技术研究中心、企业技术中心、工程研究中心5家。</w:t>
      </w:r>
      <w:r>
        <w:rPr>
          <w:rFonts w:hint="default" w:ascii="Times New Roman" w:hAnsi="Times New Roman" w:eastAsia="方正仿宋_GBK" w:cs="Times New Roman"/>
          <w:color w:val="auto"/>
          <w:sz w:val="32"/>
          <w:szCs w:val="32"/>
          <w:highlight w:val="none"/>
          <w:lang w:val="en-US" w:eastAsia="zh-CN"/>
        </w:rPr>
        <w:t>持续</w:t>
      </w:r>
      <w:r>
        <w:rPr>
          <w:rFonts w:hint="default" w:ascii="Times New Roman" w:hAnsi="Times New Roman" w:eastAsia="方正仿宋_GBK" w:cs="Times New Roman"/>
          <w:color w:val="auto"/>
          <w:sz w:val="32"/>
          <w:szCs w:val="32"/>
          <w:highlight w:val="none"/>
          <w:lang w:eastAsia="zh-CN"/>
        </w:rPr>
        <w:t>加大创新要素保障，进一步做实</w:t>
      </w:r>
      <w:r>
        <w:rPr>
          <w:rFonts w:hint="default" w:ascii="Times New Roman" w:hAnsi="Times New Roman" w:eastAsia="方正仿宋_GBK" w:cs="Times New Roman"/>
          <w:color w:val="auto"/>
          <w:sz w:val="32"/>
          <w:szCs w:val="32"/>
          <w:highlight w:val="none"/>
        </w:rPr>
        <w:t>“巷港湾园”</w:t>
      </w:r>
      <w:r>
        <w:rPr>
          <w:rFonts w:hint="default" w:ascii="Times New Roman" w:hAnsi="Times New Roman" w:eastAsia="方正仿宋_GBK" w:cs="Times New Roman"/>
          <w:color w:val="auto"/>
          <w:sz w:val="32"/>
          <w:szCs w:val="32"/>
          <w:highlight w:val="none"/>
          <w:lang w:eastAsia="zh-CN"/>
        </w:rPr>
        <w:t>模式</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新增硅巷载体</w:t>
      </w:r>
      <w:r>
        <w:rPr>
          <w:rFonts w:hint="default" w:ascii="Times New Roman" w:hAnsi="Times New Roman" w:eastAsia="方正仿宋_GBK" w:cs="Times New Roman"/>
          <w:color w:val="auto"/>
          <w:sz w:val="32"/>
          <w:szCs w:val="32"/>
          <w:highlight w:val="none"/>
          <w:lang w:val="en-US" w:eastAsia="zh-CN"/>
        </w:rPr>
        <w:t>10万平方米，新增市级以上科创载体2家、孵化器在孵企业180家</w:t>
      </w:r>
      <w:r>
        <w:rPr>
          <w:rFonts w:hint="default" w:ascii="Times New Roman" w:hAnsi="Times New Roman" w:eastAsia="方正仿宋_GBK" w:cs="Times New Roman"/>
          <w:color w:val="auto"/>
          <w:sz w:val="32"/>
          <w:szCs w:val="32"/>
          <w:highlight w:val="none"/>
          <w:lang w:eastAsia="zh-CN"/>
        </w:rPr>
        <w:t>。提升科技金融服务水平，</w:t>
      </w:r>
      <w:r>
        <w:rPr>
          <w:rFonts w:hint="default" w:ascii="Times New Roman" w:hAnsi="Times New Roman" w:eastAsia="方正仿宋_GBK" w:cs="Times New Roman"/>
          <w:color w:val="auto"/>
          <w:sz w:val="32"/>
          <w:szCs w:val="32"/>
          <w:highlight w:val="none"/>
          <w:lang w:val="en-US" w:eastAsia="zh-CN"/>
        </w:rPr>
        <w:t>落实科创金融驿站平台建设</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sz w:val="32"/>
          <w:szCs w:val="32"/>
          <w:highlight w:val="none"/>
          <w:lang w:eastAsia="zh-CN"/>
        </w:rPr>
        <w:t>推动科技信贷精准滴灌、增量扩面。</w:t>
      </w:r>
      <w:r>
        <w:rPr>
          <w:rFonts w:hint="default" w:ascii="Times New Roman" w:hAnsi="Times New Roman" w:eastAsia="方正仿宋_GBK" w:cs="Times New Roman"/>
          <w:color w:val="auto"/>
          <w:kern w:val="2"/>
          <w:sz w:val="32"/>
          <w:szCs w:val="32"/>
          <w:highlight w:val="none"/>
          <w:lang w:val="en-US" w:eastAsia="zh-CN" w:bidi="ar-SA"/>
        </w:rPr>
        <w:t>积极融入全球创新网络，与日本、芬兰海外协同创新中心共同开展、参与双边创新活动，培育打造国际合作基地。</w:t>
      </w:r>
    </w:p>
    <w:p w14:paraId="7AF48054">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outlineLvl w:val="2"/>
        <w:rPr>
          <w:rFonts w:hint="default" w:ascii="Times New Roman" w:hAnsi="Times New Roman" w:eastAsia="方正楷体_GBK" w:cs="Times New Roman"/>
          <w:color w:val="auto"/>
          <w:sz w:val="32"/>
          <w:szCs w:val="32"/>
          <w:highlight w:val="none"/>
          <w:lang w:eastAsia="zh-CN"/>
        </w:rPr>
      </w:pP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lang w:eastAsia="zh-CN"/>
        </w:rPr>
        <w:t>四</w:t>
      </w: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lang w:eastAsia="zh-CN"/>
        </w:rPr>
        <w:t>聚焦功能品质，打造生态宜居美丽城区</w:t>
      </w:r>
    </w:p>
    <w:p w14:paraId="38194127">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加快推进新城建设，</w:t>
      </w:r>
      <w:r>
        <w:rPr>
          <w:rFonts w:hint="default" w:ascii="Times New Roman" w:hAnsi="Times New Roman" w:eastAsia="方正仿宋_GBK" w:cs="Times New Roman"/>
          <w:color w:val="auto"/>
          <w:sz w:val="32"/>
          <w:szCs w:val="32"/>
          <w:highlight w:val="none"/>
          <w:lang w:eastAsia="zh-CN"/>
        </w:rPr>
        <w:t>力争启动</w:t>
      </w:r>
      <w:r>
        <w:rPr>
          <w:rFonts w:hint="default" w:ascii="Times New Roman" w:hAnsi="Times New Roman" w:eastAsia="方正仿宋_GBK" w:cs="Times New Roman"/>
          <w:b w:val="0"/>
          <w:bCs/>
          <w:color w:val="auto"/>
          <w:kern w:val="2"/>
          <w:sz w:val="32"/>
          <w:szCs w:val="32"/>
          <w:highlight w:val="none"/>
          <w:lang w:val="en-US" w:eastAsia="zh-CN" w:bidi="ar-SA"/>
        </w:rPr>
        <w:t>跑道公园示范段</w:t>
      </w:r>
      <w:r>
        <w:rPr>
          <w:rFonts w:hint="default" w:ascii="Times New Roman" w:hAnsi="Times New Roman" w:eastAsia="方正仿宋_GBK" w:cs="Times New Roman"/>
          <w:color w:val="auto"/>
          <w:sz w:val="32"/>
          <w:szCs w:val="32"/>
          <w:highlight w:val="none"/>
          <w:lang w:eastAsia="zh-CN"/>
        </w:rPr>
        <w:t>等项目</w:t>
      </w:r>
      <w:r>
        <w:rPr>
          <w:rFonts w:hint="default" w:ascii="Times New Roman" w:hAnsi="Times New Roman" w:eastAsia="方正仿宋_GBK" w:cs="Times New Roman"/>
          <w:b w:val="0"/>
          <w:bCs/>
          <w:color w:val="auto"/>
          <w:kern w:val="2"/>
          <w:sz w:val="32"/>
          <w:szCs w:val="32"/>
          <w:highlight w:val="none"/>
          <w:lang w:val="en-US" w:eastAsia="zh-CN" w:bidi="ar-SA"/>
        </w:rPr>
        <w:t>，</w:t>
      </w:r>
      <w:r>
        <w:rPr>
          <w:rFonts w:hint="default" w:ascii="Times New Roman" w:hAnsi="Times New Roman" w:eastAsia="方正仿宋_GBK" w:cs="Times New Roman"/>
          <w:color w:val="auto"/>
          <w:sz w:val="32"/>
          <w:szCs w:val="32"/>
          <w:highlight w:val="none"/>
        </w:rPr>
        <w:t>中芬合作交流中心</w:t>
      </w:r>
      <w:r>
        <w:rPr>
          <w:rFonts w:hint="default" w:ascii="Times New Roman" w:hAnsi="Times New Roman" w:eastAsia="方正仿宋_GBK" w:cs="Times New Roman"/>
          <w:color w:val="auto"/>
          <w:sz w:val="32"/>
          <w:szCs w:val="32"/>
          <w:highlight w:val="none"/>
          <w:lang w:eastAsia="zh-CN"/>
        </w:rPr>
        <w:t>全面完工，</w:t>
      </w:r>
      <w:r>
        <w:rPr>
          <w:rFonts w:hint="default" w:ascii="Times New Roman" w:hAnsi="Times New Roman" w:eastAsia="方正仿宋_GBK" w:cs="Times New Roman"/>
          <w:b w:val="0"/>
          <w:bCs/>
          <w:color w:val="auto"/>
          <w:kern w:val="2"/>
          <w:sz w:val="32"/>
          <w:szCs w:val="32"/>
          <w:highlight w:val="none"/>
          <w:lang w:val="en-US" w:eastAsia="zh-CN" w:bidi="ar-SA"/>
        </w:rPr>
        <w:t>南京博物院南院加速落地；</w:t>
      </w:r>
      <w:r>
        <w:rPr>
          <w:rFonts w:hint="default" w:ascii="Times New Roman" w:hAnsi="Times New Roman" w:eastAsia="方正仿宋_GBK" w:cs="Times New Roman"/>
          <w:b w:val="0"/>
          <w:bCs/>
          <w:color w:val="auto"/>
          <w:kern w:val="2"/>
          <w:sz w:val="32"/>
          <w:szCs w:val="32"/>
          <w:highlight w:val="none"/>
          <w:lang w:eastAsia="zh-Hans" w:bidi="ar-SA"/>
        </w:rPr>
        <w:t>逐步推进贤文路等特色街巷建设</w:t>
      </w:r>
      <w:r>
        <w:rPr>
          <w:rFonts w:hint="default" w:ascii="Times New Roman" w:hAnsi="Times New Roman" w:eastAsia="方正仿宋_GBK" w:cs="Times New Roman"/>
          <w:b w:val="0"/>
          <w:bCs/>
          <w:color w:val="auto"/>
          <w:kern w:val="2"/>
          <w:sz w:val="32"/>
          <w:szCs w:val="32"/>
          <w:highlight w:val="none"/>
          <w:lang w:eastAsia="zh-CN" w:bidi="ar-SA"/>
        </w:rPr>
        <w:t>，</w:t>
      </w:r>
      <w:r>
        <w:rPr>
          <w:rFonts w:hint="default" w:ascii="Times New Roman" w:hAnsi="Times New Roman" w:eastAsia="方正仿宋_GBK" w:cs="Times New Roman"/>
          <w:b w:val="0"/>
          <w:bCs/>
          <w:color w:val="auto"/>
          <w:kern w:val="2"/>
          <w:sz w:val="32"/>
          <w:szCs w:val="32"/>
          <w:highlight w:val="none"/>
          <w:lang w:val="en-US" w:eastAsia="zh-Hans" w:bidi="ar-SA"/>
        </w:rPr>
        <w:t>塑造功能完善的产城融合新标杆。</w:t>
      </w:r>
      <w:r>
        <w:rPr>
          <w:rFonts w:hint="default" w:ascii="Times New Roman" w:hAnsi="Times New Roman" w:eastAsia="方正仿宋_GBK" w:cs="Times New Roman"/>
          <w:color w:val="auto"/>
          <w:sz w:val="32"/>
          <w:szCs w:val="32"/>
          <w:highlight w:val="none"/>
        </w:rPr>
        <w:t>重点推进“零碳未来城”建设，探索创建碳中和示范区</w:t>
      </w:r>
      <w:r>
        <w:rPr>
          <w:rFonts w:hint="default" w:ascii="Times New Roman" w:hAnsi="Times New Roman" w:eastAsia="方正仿宋_GBK" w:cs="Times New Roman"/>
          <w:color w:val="auto"/>
          <w:sz w:val="32"/>
          <w:szCs w:val="32"/>
          <w:highlight w:val="none"/>
          <w:lang w:eastAsia="zh-CN"/>
        </w:rPr>
        <w:t>。实施老城更新保护，稳妥推进</w:t>
      </w:r>
      <w:r>
        <w:rPr>
          <w:rFonts w:hint="default" w:ascii="Times New Roman" w:hAnsi="Times New Roman" w:eastAsia="方正仿宋_GBK" w:cs="Times New Roman"/>
          <w:color w:val="auto"/>
          <w:sz w:val="32"/>
          <w:szCs w:val="32"/>
          <w:highlight w:val="none"/>
        </w:rPr>
        <w:t>征收安置</w:t>
      </w:r>
      <w:r>
        <w:rPr>
          <w:rStyle w:val="16"/>
          <w:rFonts w:hint="default" w:ascii="Times New Roman" w:hAnsi="Times New Roman" w:eastAsia="方正仿宋_GBK" w:cs="Times New Roman"/>
          <w:color w:val="auto"/>
          <w:sz w:val="32"/>
          <w:szCs w:val="32"/>
          <w:highlight w:val="none"/>
        </w:rPr>
        <w:footnoteReference w:id="4"/>
      </w:r>
      <w:r>
        <w:rPr>
          <w:rFonts w:hint="default" w:ascii="Times New Roman" w:hAnsi="Times New Roman" w:eastAsia="方正仿宋_GBK" w:cs="Times New Roman"/>
          <w:color w:val="auto"/>
          <w:sz w:val="32"/>
          <w:szCs w:val="32"/>
          <w:highlight w:val="none"/>
        </w:rPr>
        <w:t>，实施</w:t>
      </w:r>
      <w:r>
        <w:rPr>
          <w:rFonts w:hint="default" w:ascii="Times New Roman" w:hAnsi="Times New Roman" w:eastAsia="方正仿宋_GBK" w:cs="Times New Roman"/>
          <w:color w:val="auto"/>
          <w:sz w:val="32"/>
          <w:szCs w:val="32"/>
          <w:highlight w:val="none"/>
          <w:lang w:eastAsia="zh-CN"/>
        </w:rPr>
        <w:t>城中村</w:t>
      </w:r>
      <w:r>
        <w:rPr>
          <w:rFonts w:hint="default" w:ascii="Times New Roman" w:hAnsi="Times New Roman" w:eastAsia="方正仿宋_GBK" w:cs="Times New Roman"/>
          <w:color w:val="auto"/>
          <w:sz w:val="32"/>
          <w:szCs w:val="32"/>
          <w:highlight w:val="none"/>
        </w:rPr>
        <w:t>和危旧房改造，</w:t>
      </w:r>
      <w:r>
        <w:rPr>
          <w:rFonts w:hint="default" w:ascii="Times New Roman" w:hAnsi="Times New Roman" w:eastAsia="方正仿宋_GBK" w:cs="Times New Roman"/>
          <w:b w:val="0"/>
          <w:bCs/>
          <w:color w:val="auto"/>
          <w:kern w:val="2"/>
          <w:sz w:val="32"/>
          <w:szCs w:val="32"/>
          <w:highlight w:val="none"/>
          <w:lang w:val="en-US" w:eastAsia="zh-Hans" w:bidi="ar-SA"/>
        </w:rPr>
        <w:t>全力推进小松涛巷等一批</w:t>
      </w:r>
      <w:r>
        <w:rPr>
          <w:rFonts w:hint="default" w:ascii="Times New Roman" w:hAnsi="Times New Roman" w:eastAsia="方正仿宋_GBK" w:cs="Times New Roman"/>
          <w:b w:val="0"/>
          <w:bCs/>
          <w:color w:val="auto"/>
          <w:kern w:val="2"/>
          <w:sz w:val="32"/>
          <w:szCs w:val="32"/>
          <w:highlight w:val="none"/>
          <w:lang w:val="en-US" w:eastAsia="zh-CN" w:bidi="ar-SA"/>
        </w:rPr>
        <w:t>城市更新项目</w:t>
      </w:r>
      <w:r>
        <w:rPr>
          <w:rFonts w:hint="default" w:ascii="Times New Roman" w:hAnsi="Times New Roman" w:eastAsia="方正仿宋_GBK" w:cs="Times New Roman"/>
          <w:b w:val="0"/>
          <w:bCs/>
          <w:color w:val="auto"/>
          <w:kern w:val="2"/>
          <w:sz w:val="32"/>
          <w:szCs w:val="32"/>
          <w:highlight w:val="none"/>
          <w:lang w:val="en-US" w:eastAsia="zh-Hans" w:bidi="ar-SA"/>
        </w:rPr>
        <w:t>，</w:t>
      </w:r>
      <w:r>
        <w:rPr>
          <w:rFonts w:hint="default" w:ascii="Times New Roman" w:hAnsi="Times New Roman" w:eastAsia="方正仿宋_GBK" w:cs="Times New Roman"/>
          <w:color w:val="auto"/>
          <w:sz w:val="32"/>
          <w:szCs w:val="32"/>
          <w:highlight w:val="none"/>
          <w:lang w:eastAsia="zh-CN"/>
        </w:rPr>
        <w:t>建成保障房</w:t>
      </w:r>
      <w:r>
        <w:rPr>
          <w:rFonts w:hint="default" w:ascii="Times New Roman" w:hAnsi="Times New Roman" w:eastAsia="方正仿宋_GBK" w:cs="Times New Roman"/>
          <w:color w:val="auto"/>
          <w:sz w:val="32"/>
          <w:szCs w:val="32"/>
          <w:highlight w:val="none"/>
          <w:lang w:val="en-US" w:eastAsia="zh-CN"/>
        </w:rPr>
        <w:t>31万平方米。提升精细建管水平，</w:t>
      </w:r>
      <w:r>
        <w:rPr>
          <w:rFonts w:hint="default" w:ascii="Times New Roman" w:hAnsi="Times New Roman" w:eastAsia="方正仿宋_GBK" w:cs="Times New Roman"/>
          <w:color w:val="auto"/>
          <w:sz w:val="32"/>
          <w:szCs w:val="32"/>
          <w:highlight w:val="none"/>
          <w:lang w:eastAsia="zh-CN"/>
        </w:rPr>
        <w:t>推进</w:t>
      </w:r>
      <w:r>
        <w:rPr>
          <w:rFonts w:hint="default" w:ascii="Times New Roman" w:hAnsi="Times New Roman" w:eastAsia="方正仿宋_GBK" w:cs="Times New Roman"/>
          <w:color w:val="auto"/>
          <w:sz w:val="32"/>
          <w:szCs w:val="32"/>
          <w:highlight w:val="none"/>
        </w:rPr>
        <w:t>停车便利化工程</w:t>
      </w:r>
      <w:r>
        <w:rPr>
          <w:rFonts w:hint="default" w:ascii="Times New Roman" w:hAnsi="Times New Roman" w:eastAsia="方正仿宋_GBK" w:cs="Times New Roman"/>
          <w:color w:val="auto"/>
          <w:sz w:val="32"/>
          <w:szCs w:val="32"/>
          <w:highlight w:val="none"/>
          <w:lang w:eastAsia="zh-CN"/>
        </w:rPr>
        <w:t>，全年</w:t>
      </w:r>
      <w:r>
        <w:rPr>
          <w:rFonts w:hint="default" w:ascii="Times New Roman" w:hAnsi="Times New Roman" w:eastAsia="方正仿宋_GBK" w:cs="Times New Roman"/>
          <w:color w:val="auto"/>
          <w:sz w:val="32"/>
          <w:szCs w:val="32"/>
          <w:highlight w:val="none"/>
        </w:rPr>
        <w:t>新增泊位</w:t>
      </w:r>
      <w:r>
        <w:rPr>
          <w:rFonts w:hint="default" w:ascii="Times New Roman" w:hAnsi="Times New Roman" w:eastAsia="方正仿宋_GBK" w:cs="Times New Roman"/>
          <w:color w:val="auto"/>
          <w:sz w:val="32"/>
          <w:szCs w:val="32"/>
          <w:highlight w:val="none"/>
          <w:lang w:val="en-US" w:eastAsia="zh-CN"/>
        </w:rPr>
        <w:t>1500</w:t>
      </w:r>
      <w:r>
        <w:rPr>
          <w:rFonts w:hint="default" w:ascii="Times New Roman" w:hAnsi="Times New Roman" w:eastAsia="方正仿宋_GBK" w:cs="Times New Roman"/>
          <w:color w:val="auto"/>
          <w:sz w:val="32"/>
          <w:szCs w:val="32"/>
          <w:highlight w:val="none"/>
        </w:rPr>
        <w:t>个</w:t>
      </w:r>
      <w:r>
        <w:rPr>
          <w:rFonts w:hint="default" w:ascii="Times New Roman" w:hAnsi="Times New Roman" w:eastAsia="方正仿宋_GBK" w:cs="Times New Roman"/>
          <w:color w:val="auto"/>
          <w:sz w:val="32"/>
          <w:szCs w:val="32"/>
          <w:highlight w:val="none"/>
          <w:lang w:eastAsia="zh-CN"/>
        </w:rPr>
        <w:t>，完成</w:t>
      </w:r>
      <w:r>
        <w:rPr>
          <w:rFonts w:hint="default" w:ascii="Times New Roman" w:hAnsi="Times New Roman" w:eastAsia="方正仿宋_GBK" w:cs="Times New Roman"/>
          <w:color w:val="auto"/>
          <w:kern w:val="0"/>
          <w:sz w:val="32"/>
          <w:szCs w:val="32"/>
          <w:highlight w:val="none"/>
          <w:lang w:val="en-US" w:eastAsia="zh-CN"/>
        </w:rPr>
        <w:t>30条</w:t>
      </w:r>
      <w:r>
        <w:rPr>
          <w:rFonts w:hint="default" w:ascii="Times New Roman" w:hAnsi="Times New Roman" w:eastAsia="方正仿宋_GBK" w:cs="Times New Roman"/>
          <w:color w:val="auto"/>
          <w:kern w:val="0"/>
          <w:sz w:val="32"/>
          <w:szCs w:val="32"/>
          <w:highlight w:val="none"/>
        </w:rPr>
        <w:t>背街小巷</w:t>
      </w:r>
      <w:r>
        <w:rPr>
          <w:rFonts w:hint="default" w:ascii="Times New Roman" w:hAnsi="Times New Roman" w:eastAsia="方正仿宋_GBK" w:cs="Times New Roman"/>
          <w:color w:val="auto"/>
          <w:kern w:val="0"/>
          <w:sz w:val="32"/>
          <w:szCs w:val="32"/>
          <w:highlight w:val="none"/>
          <w:lang w:eastAsia="zh-CN"/>
        </w:rPr>
        <w:t>整体面貌提升</w:t>
      </w:r>
      <w:r>
        <w:rPr>
          <w:rFonts w:hint="default" w:ascii="Times New Roman" w:hAnsi="Times New Roman" w:eastAsia="方正仿宋_GBK" w:cs="Times New Roman"/>
          <w:b w:val="0"/>
          <w:bCs/>
          <w:color w:val="auto"/>
          <w:kern w:val="2"/>
          <w:sz w:val="32"/>
          <w:szCs w:val="32"/>
          <w:highlight w:val="none"/>
          <w:lang w:val="en-US" w:eastAsia="zh-CN" w:bidi="ar-SA"/>
        </w:rPr>
        <w:t>。扎实推进垃圾分类各项工作，实施富丽山庄垃圾中转站出新改造，垃圾分类综合排名继续保持主城前列。</w:t>
      </w:r>
      <w:r>
        <w:rPr>
          <w:rFonts w:hint="default" w:ascii="Times New Roman" w:hAnsi="Times New Roman" w:eastAsia="方正仿宋_GBK" w:cs="Times New Roman"/>
          <w:color w:val="auto"/>
          <w:kern w:val="0"/>
          <w:sz w:val="32"/>
          <w:szCs w:val="32"/>
          <w:highlight w:val="none"/>
          <w:lang w:eastAsia="zh-CN"/>
        </w:rPr>
        <w:t>守牢生态环保底线，</w:t>
      </w:r>
      <w:r>
        <w:rPr>
          <w:rFonts w:hint="default" w:ascii="Times New Roman" w:hAnsi="Times New Roman" w:eastAsia="方正仿宋_GBK" w:cs="Times New Roman"/>
          <w:color w:val="auto"/>
          <w:sz w:val="32"/>
          <w:szCs w:val="32"/>
          <w:highlight w:val="none"/>
          <w:lang w:val="en-US" w:eastAsia="zh-CN"/>
        </w:rPr>
        <w:t>深化餐饮油烟治理提升行动，持续开展“以克论净”，深入排查危废固废环境安全风险隐患，实现全链条监管。</w:t>
      </w:r>
      <w:r>
        <w:rPr>
          <w:rFonts w:hint="eastAsia" w:ascii="Times New Roman" w:hAnsi="Times New Roman" w:eastAsia="方正仿宋_GBK" w:cs="Times New Roman"/>
          <w:color w:val="auto"/>
          <w:sz w:val="32"/>
          <w:szCs w:val="32"/>
          <w:highlight w:val="none"/>
          <w:lang w:val="en-US" w:eastAsia="zh-CN"/>
        </w:rPr>
        <w:t>实施南卫巷</w:t>
      </w:r>
      <w:r>
        <w:rPr>
          <w:rFonts w:hint="default" w:ascii="Times New Roman" w:hAnsi="Times New Roman" w:eastAsia="方正仿宋_GBK" w:cs="Times New Roman"/>
          <w:color w:val="auto"/>
          <w:sz w:val="32"/>
          <w:szCs w:val="32"/>
          <w:highlight w:val="none"/>
          <w:lang w:val="en-US" w:eastAsia="zh-CN"/>
        </w:rPr>
        <w:t>等积淹水</w:t>
      </w:r>
      <w:r>
        <w:rPr>
          <w:rFonts w:hint="eastAsia" w:ascii="Times New Roman" w:hAnsi="Times New Roman" w:eastAsia="方正仿宋_GBK" w:cs="Times New Roman"/>
          <w:color w:val="auto"/>
          <w:sz w:val="32"/>
          <w:szCs w:val="32"/>
          <w:highlight w:val="none"/>
          <w:lang w:val="en-US" w:eastAsia="zh-CN"/>
        </w:rPr>
        <w:t>点</w:t>
      </w:r>
      <w:r>
        <w:rPr>
          <w:rFonts w:hint="default" w:ascii="Times New Roman" w:hAnsi="Times New Roman" w:eastAsia="方正仿宋_GBK" w:cs="Times New Roman"/>
          <w:color w:val="auto"/>
          <w:sz w:val="32"/>
          <w:szCs w:val="32"/>
          <w:highlight w:val="none"/>
          <w:lang w:val="en-US" w:eastAsia="zh-CN"/>
        </w:rPr>
        <w:t>整治，推进25个片区雨污水管网清疏修缮，</w:t>
      </w:r>
      <w:r>
        <w:rPr>
          <w:rFonts w:hint="eastAsia" w:ascii="Times New Roman" w:hAnsi="Times New Roman" w:eastAsia="方正仿宋_GBK" w:cs="Times New Roman"/>
          <w:color w:val="auto"/>
          <w:sz w:val="32"/>
          <w:szCs w:val="32"/>
          <w:highlight w:val="none"/>
          <w:lang w:val="en-US" w:eastAsia="zh-CN"/>
        </w:rPr>
        <w:t>不断</w:t>
      </w:r>
      <w:r>
        <w:rPr>
          <w:rFonts w:hint="default" w:ascii="Times New Roman" w:hAnsi="Times New Roman" w:eastAsia="方正仿宋_GBK" w:cs="Times New Roman"/>
          <w:color w:val="auto"/>
          <w:sz w:val="32"/>
          <w:szCs w:val="32"/>
          <w:highlight w:val="none"/>
          <w:lang w:val="en-US" w:eastAsia="zh-CN"/>
        </w:rPr>
        <w:t>巩固污水处理提质增效成果。</w:t>
      </w:r>
    </w:p>
    <w:p w14:paraId="062E33AB">
      <w:pPr>
        <w:keepNext w:val="0"/>
        <w:keepLines w:val="0"/>
        <w:pageBreakBefore w:val="0"/>
        <w:widowControl w:val="0"/>
        <w:numPr>
          <w:ilvl w:val="0"/>
          <w:numId w:val="5"/>
        </w:numPr>
        <w:kinsoku/>
        <w:wordWrap/>
        <w:overflowPunct w:val="0"/>
        <w:topLinePunct w:val="0"/>
        <w:autoSpaceDE/>
        <w:autoSpaceDN/>
        <w:bidi w:val="0"/>
        <w:adjustRightInd/>
        <w:snapToGrid/>
        <w:spacing w:line="520" w:lineRule="exact"/>
        <w:ind w:firstLine="640" w:firstLineChars="200"/>
        <w:textAlignment w:val="auto"/>
        <w:outlineLvl w:val="2"/>
        <w:rPr>
          <w:rFonts w:hint="default" w:ascii="Times New Roman" w:hAnsi="Times New Roman" w:eastAsia="方正楷体_GBK" w:cs="Times New Roman"/>
          <w:color w:val="auto"/>
          <w:sz w:val="32"/>
          <w:szCs w:val="32"/>
          <w:highlight w:val="none"/>
          <w:lang w:eastAsia="zh-CN"/>
        </w:rPr>
      </w:pPr>
      <w:r>
        <w:rPr>
          <w:rFonts w:hint="default" w:ascii="Times New Roman" w:hAnsi="Times New Roman" w:eastAsia="方正楷体_GBK" w:cs="Times New Roman"/>
          <w:color w:val="auto"/>
          <w:sz w:val="32"/>
          <w:szCs w:val="32"/>
          <w:highlight w:val="none"/>
          <w:lang w:eastAsia="zh-CN"/>
        </w:rPr>
        <w:t>聚焦群众期盼，切实办好惠民利民工程</w:t>
      </w:r>
    </w:p>
    <w:p w14:paraId="165C896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坚持尽力而为、量力而行，兜住、兜准、兜牢民生底线。更加突出就业优先导向</w:t>
      </w:r>
      <w:r>
        <w:rPr>
          <w:rFonts w:hint="default" w:ascii="Times New Roman" w:hAnsi="Times New Roman" w:eastAsia="方正仿宋_GBK" w:cs="Times New Roman"/>
          <w:color w:val="auto"/>
          <w:kern w:val="0"/>
          <w:sz w:val="32"/>
          <w:szCs w:val="32"/>
          <w:highlight w:val="none"/>
        </w:rPr>
        <w:t>，开展</w:t>
      </w:r>
      <w:r>
        <w:rPr>
          <w:rFonts w:hint="default" w:ascii="Times New Roman" w:hAnsi="Times New Roman" w:eastAsia="方正仿宋_GBK" w:cs="Times New Roman"/>
          <w:color w:val="auto"/>
          <w:kern w:val="0"/>
          <w:sz w:val="32"/>
          <w:szCs w:val="32"/>
          <w:highlight w:val="none"/>
          <w:lang w:eastAsia="zh-CN"/>
        </w:rPr>
        <w:t>各类</w:t>
      </w:r>
      <w:r>
        <w:rPr>
          <w:rFonts w:hint="default" w:ascii="Times New Roman" w:hAnsi="Times New Roman" w:eastAsia="方正仿宋_GBK" w:cs="Times New Roman"/>
          <w:color w:val="auto"/>
          <w:kern w:val="0"/>
          <w:sz w:val="32"/>
          <w:szCs w:val="32"/>
          <w:highlight w:val="none"/>
        </w:rPr>
        <w:t>招聘活动</w:t>
      </w:r>
      <w:r>
        <w:rPr>
          <w:rFonts w:hint="default" w:ascii="Times New Roman" w:hAnsi="Times New Roman" w:eastAsia="方正仿宋_GBK" w:cs="Times New Roman"/>
          <w:color w:val="auto"/>
          <w:kern w:val="0"/>
          <w:sz w:val="32"/>
          <w:szCs w:val="32"/>
          <w:highlight w:val="none"/>
          <w:lang w:val="en-US" w:eastAsia="zh-CN"/>
        </w:rPr>
        <w:t>260</w:t>
      </w:r>
      <w:r>
        <w:rPr>
          <w:rFonts w:hint="default" w:ascii="Times New Roman" w:hAnsi="Times New Roman" w:eastAsia="方正仿宋_GBK" w:cs="Times New Roman"/>
          <w:color w:val="auto"/>
          <w:kern w:val="0"/>
          <w:sz w:val="32"/>
          <w:szCs w:val="32"/>
          <w:highlight w:val="none"/>
        </w:rPr>
        <w:t>场，</w:t>
      </w:r>
      <w:r>
        <w:rPr>
          <w:rFonts w:hint="default" w:ascii="Times New Roman" w:hAnsi="Times New Roman" w:eastAsia="方正仿宋_GBK" w:cs="Times New Roman"/>
          <w:color w:val="auto"/>
          <w:sz w:val="32"/>
          <w:szCs w:val="32"/>
          <w:highlight w:val="none"/>
        </w:rPr>
        <w:t>支持高校毕业生创业640人</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优化公共服务</w:t>
      </w:r>
      <w:r>
        <w:rPr>
          <w:rFonts w:hint="default" w:ascii="Times New Roman" w:hAnsi="Times New Roman" w:eastAsia="方正仿宋_GBK" w:cs="Times New Roman"/>
          <w:color w:val="auto"/>
          <w:kern w:val="0"/>
          <w:sz w:val="32"/>
          <w:szCs w:val="32"/>
          <w:highlight w:val="none"/>
          <w:lang w:val="en-US" w:eastAsia="zh-CN"/>
        </w:rPr>
        <w:t>资源</w:t>
      </w:r>
      <w:r>
        <w:rPr>
          <w:rFonts w:hint="default" w:ascii="Times New Roman" w:hAnsi="Times New Roman" w:eastAsia="方正仿宋_GBK" w:cs="Times New Roman"/>
          <w:color w:val="auto"/>
          <w:kern w:val="0"/>
          <w:sz w:val="32"/>
          <w:szCs w:val="32"/>
          <w:highlight w:val="none"/>
          <w:lang w:eastAsia="zh-CN"/>
        </w:rPr>
        <w:t>配置</w:t>
      </w:r>
      <w:r>
        <w:rPr>
          <w:rFonts w:hint="default" w:ascii="Times New Roman" w:hAnsi="Times New Roman" w:eastAsia="方正仿宋_GBK" w:cs="Times New Roman"/>
          <w:color w:val="auto"/>
          <w:spacing w:val="10"/>
          <w:sz w:val="32"/>
          <w:szCs w:val="32"/>
          <w:highlight w:val="none"/>
        </w:rPr>
        <w:t>，推进</w:t>
      </w:r>
      <w:r>
        <w:rPr>
          <w:rFonts w:hint="eastAsia" w:ascii="Times New Roman" w:hAnsi="Times New Roman" w:eastAsia="方正仿宋_GBK" w:cs="Times New Roman"/>
          <w:color w:val="auto"/>
          <w:spacing w:val="10"/>
          <w:sz w:val="32"/>
          <w:szCs w:val="32"/>
          <w:highlight w:val="none"/>
          <w:lang w:val="en-US" w:eastAsia="zh-CN"/>
        </w:rPr>
        <w:t>7</w:t>
      </w:r>
      <w:r>
        <w:rPr>
          <w:rFonts w:hint="default" w:ascii="Times New Roman" w:hAnsi="Times New Roman" w:eastAsia="方正仿宋_GBK" w:cs="Times New Roman"/>
          <w:color w:val="auto"/>
          <w:spacing w:val="10"/>
          <w:sz w:val="32"/>
          <w:szCs w:val="32"/>
          <w:highlight w:val="none"/>
        </w:rPr>
        <w:t>所教育配套项目建设</w:t>
      </w:r>
      <w:r>
        <w:rPr>
          <w:rFonts w:hint="default" w:ascii="Times New Roman" w:hAnsi="Times New Roman" w:eastAsia="方正仿宋_GBK" w:cs="Times New Roman"/>
          <w:color w:val="auto"/>
          <w:spacing w:val="10"/>
          <w:sz w:val="32"/>
          <w:szCs w:val="32"/>
          <w:highlight w:val="none"/>
          <w:lang w:eastAsia="zh-CN"/>
        </w:rPr>
        <w:t>，创成“国家学前教育普及普惠示范区”“江苏省义务教育优质均衡发展区”</w:t>
      </w:r>
      <w:r>
        <w:rPr>
          <w:rFonts w:hint="default" w:ascii="Times New Roman" w:hAnsi="Times New Roman" w:eastAsia="方正仿宋_GBK" w:cs="Times New Roman"/>
          <w:color w:val="auto"/>
          <w:spacing w:val="10"/>
          <w:sz w:val="32"/>
          <w:szCs w:val="32"/>
          <w:highlight w:val="none"/>
        </w:rPr>
        <w:t>。</w:t>
      </w:r>
      <w:r>
        <w:rPr>
          <w:rFonts w:hint="default" w:ascii="Times New Roman" w:hAnsi="Times New Roman" w:eastAsia="方正仿宋_GBK" w:cs="Times New Roman"/>
          <w:color w:val="auto"/>
          <w:sz w:val="32"/>
          <w:szCs w:val="32"/>
          <w:highlight w:val="none"/>
          <w:lang w:eastAsia="zh-Hans"/>
        </w:rPr>
        <w:t>加快推进南部新城</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Hans"/>
        </w:rPr>
        <w:t>处</w:t>
      </w:r>
      <w:r>
        <w:rPr>
          <w:rFonts w:hint="default" w:ascii="Times New Roman" w:hAnsi="Times New Roman" w:eastAsia="方正仿宋_GBK" w:cs="Times New Roman"/>
          <w:color w:val="auto"/>
          <w:sz w:val="32"/>
          <w:szCs w:val="32"/>
          <w:highlight w:val="none"/>
          <w:lang w:eastAsia="zh-CN"/>
        </w:rPr>
        <w:t>社区卫生服务设施建设，全力创建江苏省健康区。</w:t>
      </w:r>
      <w:r>
        <w:rPr>
          <w:rFonts w:hint="default" w:ascii="Times New Roman" w:hAnsi="Times New Roman" w:eastAsia="方正仿宋_GBK" w:cs="Times New Roman"/>
          <w:color w:val="auto"/>
          <w:sz w:val="32"/>
          <w:szCs w:val="32"/>
          <w:highlight w:val="none"/>
        </w:rPr>
        <w:t>开展第四次全国文物普查工作</w:t>
      </w:r>
      <w:r>
        <w:rPr>
          <w:rFonts w:hint="default" w:ascii="Times New Roman" w:hAnsi="Times New Roman" w:eastAsia="方正仿宋_GBK" w:cs="Times New Roman"/>
          <w:color w:val="auto"/>
          <w:sz w:val="32"/>
          <w:szCs w:val="32"/>
          <w:highlight w:val="none"/>
          <w:lang w:eastAsia="zh-CN"/>
        </w:rPr>
        <w:t>，争取</w:t>
      </w:r>
      <w:r>
        <w:rPr>
          <w:rFonts w:hint="default" w:ascii="Times New Roman" w:hAnsi="Times New Roman" w:eastAsia="方正仿宋_GBK" w:cs="Times New Roman"/>
          <w:color w:val="auto"/>
          <w:sz w:val="32"/>
          <w:szCs w:val="32"/>
          <w:highlight w:val="none"/>
          <w:lang w:val="en-US" w:eastAsia="zh-CN"/>
        </w:rPr>
        <w:t>射箭等全国性赛事落地秦淮，</w:t>
      </w:r>
      <w:r>
        <w:rPr>
          <w:rFonts w:hint="default" w:ascii="Times New Roman" w:hAnsi="Times New Roman" w:eastAsia="方正仿宋_GBK" w:cs="Times New Roman"/>
          <w:color w:val="auto"/>
          <w:sz w:val="32"/>
          <w:szCs w:val="32"/>
          <w:highlight w:val="none"/>
          <w:lang w:eastAsia="zh-CN"/>
        </w:rPr>
        <w:t>全年开展各类文化惠民活动不少于</w:t>
      </w:r>
      <w:r>
        <w:rPr>
          <w:rFonts w:hint="eastAsia" w:ascii="Times New Roman" w:hAnsi="Times New Roman" w:eastAsia="方正仿宋_GBK" w:cs="Times New Roman"/>
          <w:color w:val="auto"/>
          <w:sz w:val="32"/>
          <w:szCs w:val="32"/>
          <w:highlight w:val="none"/>
          <w:lang w:val="en-US" w:eastAsia="zh-CN"/>
        </w:rPr>
        <w:t>1800</w:t>
      </w:r>
      <w:r>
        <w:rPr>
          <w:rFonts w:hint="default" w:ascii="Times New Roman" w:hAnsi="Times New Roman" w:eastAsia="方正仿宋_GBK" w:cs="Times New Roman"/>
          <w:color w:val="auto"/>
          <w:sz w:val="32"/>
          <w:szCs w:val="32"/>
          <w:highlight w:val="none"/>
          <w:lang w:eastAsia="zh-CN"/>
        </w:rPr>
        <w:t>场。</w:t>
      </w:r>
      <w:r>
        <w:rPr>
          <w:rFonts w:hint="default" w:ascii="Times New Roman" w:hAnsi="Times New Roman" w:eastAsia="方正仿宋_GBK" w:cs="Times New Roman"/>
          <w:color w:val="auto"/>
          <w:sz w:val="32"/>
          <w:szCs w:val="32"/>
          <w:highlight w:val="none"/>
          <w:lang w:val="en-US" w:eastAsia="zh-CN"/>
        </w:rPr>
        <w:t>统筹推进社区嵌入式服务设施、一刻钟便民生活圈试点、完整社区等研究建设，推动社区服务资源共建共享。</w:t>
      </w:r>
      <w:r>
        <w:rPr>
          <w:rFonts w:hint="default" w:ascii="Times New Roman" w:hAnsi="Times New Roman" w:eastAsia="方正仿宋_GBK" w:cs="Times New Roman"/>
          <w:color w:val="auto"/>
          <w:sz w:val="32"/>
          <w:szCs w:val="32"/>
          <w:highlight w:val="none"/>
          <w:lang w:eastAsia="zh-CN"/>
        </w:rPr>
        <w:t>分层分类开展社会</w:t>
      </w:r>
      <w:r>
        <w:rPr>
          <w:rFonts w:hint="default" w:ascii="Times New Roman" w:hAnsi="Times New Roman" w:eastAsia="方正仿宋_GBK" w:cs="Times New Roman"/>
          <w:color w:val="auto"/>
          <w:sz w:val="32"/>
          <w:szCs w:val="32"/>
          <w:highlight w:val="none"/>
          <w:lang w:val="en-US" w:eastAsia="zh-CN"/>
        </w:rPr>
        <w:t>帮扶</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推进省级社会救助领域创新实践试点工作，</w:t>
      </w:r>
      <w:r>
        <w:rPr>
          <w:rFonts w:hint="eastAsia" w:ascii="Times New Roman" w:hAnsi="Times New Roman" w:eastAsia="方正仿宋_GBK" w:cs="Times New Roman"/>
          <w:color w:val="auto"/>
          <w:sz w:val="32"/>
          <w:szCs w:val="32"/>
          <w:highlight w:val="none"/>
          <w:lang w:val="en-US" w:eastAsia="zh-CN"/>
        </w:rPr>
        <w:t>新增养老床位300张</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低保</w:t>
      </w:r>
      <w:r>
        <w:rPr>
          <w:rFonts w:hint="default" w:ascii="Times New Roman" w:hAnsi="Times New Roman" w:eastAsia="方正仿宋_GBK" w:cs="Times New Roman"/>
          <w:color w:val="auto"/>
          <w:sz w:val="32"/>
          <w:szCs w:val="32"/>
          <w:highlight w:val="none"/>
          <w:lang w:eastAsia="zh-CN"/>
        </w:rPr>
        <w:t>对象</w:t>
      </w:r>
      <w:r>
        <w:rPr>
          <w:rFonts w:hint="default" w:ascii="Times New Roman" w:hAnsi="Times New Roman" w:eastAsia="方正仿宋_GBK" w:cs="Times New Roman"/>
          <w:color w:val="auto"/>
          <w:sz w:val="32"/>
          <w:szCs w:val="32"/>
          <w:highlight w:val="none"/>
        </w:rPr>
        <w:t>、困难残疾人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困境儿童</w:t>
      </w:r>
      <w:r>
        <w:rPr>
          <w:rFonts w:hint="default" w:ascii="Times New Roman" w:hAnsi="Times New Roman" w:eastAsia="方正仿宋_GBK" w:cs="Times New Roman"/>
          <w:color w:val="auto"/>
          <w:sz w:val="32"/>
          <w:szCs w:val="32"/>
          <w:highlight w:val="none"/>
          <w:lang w:eastAsia="zh-CN"/>
        </w:rPr>
        <w:t>等困难群体的服务保障覆盖率达</w:t>
      </w:r>
      <w:r>
        <w:rPr>
          <w:rFonts w:hint="default" w:ascii="Times New Roman" w:hAnsi="Times New Roman" w:eastAsia="方正仿宋_GBK" w:cs="Times New Roman"/>
          <w:color w:val="auto"/>
          <w:sz w:val="32"/>
          <w:szCs w:val="32"/>
          <w:highlight w:val="none"/>
          <w:lang w:val="en-US" w:eastAsia="zh-CN"/>
        </w:rPr>
        <w:t>100%。做好重要民生商品保供稳价工作，减轻物价上涨对困难群体基本生活影响。畅通重点人群法律援助“绿色通道”，为</w:t>
      </w:r>
      <w:r>
        <w:rPr>
          <w:rFonts w:hint="eastAsia" w:ascii="Times New Roman" w:hAnsi="Times New Roman" w:eastAsia="方正仿宋_GBK" w:cs="Times New Roman"/>
          <w:color w:val="auto"/>
          <w:sz w:val="32"/>
          <w:szCs w:val="32"/>
          <w:highlight w:val="none"/>
          <w:lang w:val="en-US" w:eastAsia="zh-CN"/>
        </w:rPr>
        <w:t>农民工等</w:t>
      </w:r>
      <w:r>
        <w:rPr>
          <w:rFonts w:hint="default" w:ascii="Times New Roman" w:hAnsi="Times New Roman" w:eastAsia="方正仿宋_GBK" w:cs="Times New Roman"/>
          <w:color w:val="auto"/>
          <w:sz w:val="32"/>
          <w:szCs w:val="32"/>
          <w:highlight w:val="none"/>
          <w:lang w:val="en-US" w:eastAsia="zh-CN"/>
        </w:rPr>
        <w:t>重点群体提供优质法律援助服务。</w:t>
      </w:r>
    </w:p>
    <w:p w14:paraId="197F17C6">
      <w:pPr>
        <w:keepNext w:val="0"/>
        <w:keepLines w:val="0"/>
        <w:pageBreakBefore w:val="0"/>
        <w:widowControl w:val="0"/>
        <w:numPr>
          <w:ilvl w:val="0"/>
          <w:numId w:val="5"/>
        </w:numPr>
        <w:kinsoku/>
        <w:wordWrap/>
        <w:overflowPunct w:val="0"/>
        <w:topLinePunct w:val="0"/>
        <w:autoSpaceDE/>
        <w:autoSpaceDN/>
        <w:bidi w:val="0"/>
        <w:adjustRightInd/>
        <w:snapToGrid/>
        <w:spacing w:line="520" w:lineRule="exact"/>
        <w:ind w:left="0" w:leftChars="0" w:firstLine="640" w:firstLineChars="200"/>
        <w:textAlignment w:val="auto"/>
        <w:outlineLvl w:val="2"/>
        <w:rPr>
          <w:rFonts w:hint="default" w:ascii="Times New Roman" w:hAnsi="Times New Roman" w:eastAsia="方正楷体_GBK" w:cs="Times New Roman"/>
          <w:color w:val="auto"/>
          <w:sz w:val="32"/>
          <w:szCs w:val="32"/>
          <w:highlight w:val="none"/>
          <w:lang w:eastAsia="zh-CN"/>
        </w:rPr>
      </w:pPr>
      <w:r>
        <w:rPr>
          <w:rFonts w:hint="default" w:ascii="Times New Roman" w:hAnsi="Times New Roman" w:eastAsia="方正楷体_GBK" w:cs="Times New Roman"/>
          <w:color w:val="auto"/>
          <w:sz w:val="32"/>
          <w:szCs w:val="32"/>
          <w:highlight w:val="none"/>
          <w:lang w:eastAsia="zh-CN"/>
        </w:rPr>
        <w:t>聚焦改革赋能，不断提升基层治理水平</w:t>
      </w:r>
    </w:p>
    <w:p w14:paraId="34AEF2DC">
      <w:pPr>
        <w:keepNext w:val="0"/>
        <w:keepLines w:val="0"/>
        <w:pageBreakBefore w:val="0"/>
        <w:widowControl w:val="0"/>
        <w:kinsoku/>
        <w:topLinePunct w:val="0"/>
        <w:autoSpaceDE/>
        <w:autoSpaceDN/>
        <w:bidi w:val="0"/>
        <w:adjustRightInd/>
        <w:spacing w:line="520" w:lineRule="exact"/>
        <w:ind w:firstLine="640" w:firstLineChars="200"/>
        <w:textAlignment w:val="auto"/>
        <w:outlineLvl w:val="1"/>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深化重点领域改革，稳步</w:t>
      </w:r>
      <w:r>
        <w:rPr>
          <w:rFonts w:hint="default" w:ascii="Times New Roman" w:hAnsi="Times New Roman" w:eastAsia="方正仿宋_GBK" w:cs="Times New Roman"/>
          <w:color w:val="auto"/>
          <w:sz w:val="32"/>
          <w:szCs w:val="32"/>
          <w:highlight w:val="none"/>
        </w:rPr>
        <w:t>推进党政机构改革</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 w:val="0"/>
          <w:bCs/>
          <w:color w:val="auto"/>
          <w:kern w:val="2"/>
          <w:sz w:val="32"/>
          <w:szCs w:val="32"/>
          <w:highlight w:val="none"/>
          <w:shd w:val="clear" w:color="auto" w:fill="FFFFFF"/>
          <w:lang w:val="en-US" w:eastAsia="zh-CN" w:bidi="ar-SA"/>
        </w:rPr>
        <w:t>纵深推进基层综合执法改革，</w:t>
      </w:r>
      <w:r>
        <w:rPr>
          <w:rFonts w:hint="default" w:ascii="Times New Roman" w:hAnsi="Times New Roman" w:eastAsia="方正仿宋_GBK" w:cs="Times New Roman"/>
          <w:color w:val="auto"/>
          <w:sz w:val="32"/>
          <w:szCs w:val="32"/>
          <w:highlight w:val="none"/>
          <w:lang w:eastAsia="zh-CN"/>
        </w:rPr>
        <w:t>编制赋权调整落实权责清单，真正</w:t>
      </w:r>
      <w:r>
        <w:rPr>
          <w:rFonts w:hint="default" w:ascii="Times New Roman" w:hAnsi="Times New Roman" w:eastAsia="方正仿宋_GBK" w:cs="Times New Roman"/>
          <w:b w:val="0"/>
          <w:bCs/>
          <w:color w:val="auto"/>
          <w:sz w:val="32"/>
          <w:szCs w:val="32"/>
          <w:highlight w:val="none"/>
          <w:lang w:eastAsia="zh-CN"/>
        </w:rPr>
        <w:t>实现管理、执法、服务一体化。</w:t>
      </w:r>
      <w:r>
        <w:rPr>
          <w:rFonts w:hint="default" w:ascii="Times New Roman" w:hAnsi="Times New Roman" w:eastAsia="方正仿宋_GBK" w:cs="Times New Roman"/>
          <w:color w:val="auto"/>
          <w:sz w:val="32"/>
          <w:szCs w:val="32"/>
          <w:highlight w:val="none"/>
        </w:rPr>
        <w:t>实施新一轮国企改革深化提升行动</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加快推进低效劣势企业清理处置</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实现国企</w:t>
      </w:r>
      <w:r>
        <w:rPr>
          <w:rFonts w:hint="default" w:ascii="Times New Roman" w:hAnsi="Times New Roman" w:eastAsia="方正仿宋_GBK" w:cs="Times New Roman"/>
          <w:color w:val="auto"/>
          <w:sz w:val="32"/>
          <w:szCs w:val="32"/>
          <w:highlight w:val="none"/>
          <w:lang w:eastAsia="zh-CN"/>
        </w:rPr>
        <w:t>净资产持续增长</w:t>
      </w:r>
      <w:r>
        <w:rPr>
          <w:rFonts w:hint="default" w:ascii="Times New Roman" w:hAnsi="Times New Roman" w:eastAsia="方正仿宋_GBK" w:cs="Times New Roman"/>
          <w:color w:val="auto"/>
          <w:sz w:val="32"/>
          <w:szCs w:val="32"/>
          <w:highlight w:val="none"/>
        </w:rPr>
        <w:t>。加强大型司法所建设，完善街道“一站式”矛盾纠纷多元化解中心</w:t>
      </w:r>
      <w:r>
        <w:rPr>
          <w:rFonts w:hint="default" w:ascii="Times New Roman" w:hAnsi="Times New Roman" w:eastAsia="方正仿宋_GBK" w:cs="Times New Roman"/>
          <w:color w:val="auto"/>
          <w:sz w:val="32"/>
          <w:szCs w:val="32"/>
          <w:highlight w:val="none"/>
          <w:lang w:eastAsia="zh-CN"/>
        </w:rPr>
        <w:t>职能</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实现</w:t>
      </w:r>
      <w:r>
        <w:rPr>
          <w:rFonts w:hint="default" w:ascii="Times New Roman" w:hAnsi="Times New Roman" w:eastAsia="方正仿宋_GBK" w:cs="Times New Roman"/>
          <w:color w:val="auto"/>
          <w:sz w:val="32"/>
          <w:szCs w:val="32"/>
          <w:highlight w:val="none"/>
        </w:rPr>
        <w:t>排查预警、分析研判、分流调度</w:t>
      </w:r>
      <w:r>
        <w:rPr>
          <w:rFonts w:hint="default" w:ascii="Times New Roman" w:hAnsi="Times New Roman" w:eastAsia="方正仿宋_GBK" w:cs="Times New Roman"/>
          <w:color w:val="auto"/>
          <w:sz w:val="32"/>
          <w:szCs w:val="32"/>
          <w:highlight w:val="none"/>
          <w:lang w:eastAsia="zh-CN"/>
        </w:rPr>
        <w:t>和</w:t>
      </w:r>
      <w:r>
        <w:rPr>
          <w:rFonts w:hint="default" w:ascii="Times New Roman" w:hAnsi="Times New Roman" w:eastAsia="方正仿宋_GBK" w:cs="Times New Roman"/>
          <w:color w:val="auto"/>
          <w:sz w:val="32"/>
          <w:szCs w:val="32"/>
          <w:highlight w:val="none"/>
        </w:rPr>
        <w:t>督办考核</w:t>
      </w:r>
      <w:r>
        <w:rPr>
          <w:rFonts w:hint="default" w:ascii="Times New Roman" w:hAnsi="Times New Roman" w:eastAsia="方正仿宋_GBK" w:cs="Times New Roman"/>
          <w:color w:val="auto"/>
          <w:sz w:val="32"/>
          <w:szCs w:val="32"/>
          <w:highlight w:val="none"/>
          <w:lang w:eastAsia="zh-CN"/>
        </w:rPr>
        <w:t>的流程闭环。打造</w:t>
      </w:r>
      <w:r>
        <w:rPr>
          <w:rFonts w:hint="default" w:ascii="Times New Roman" w:hAnsi="Times New Roman" w:eastAsia="方正仿宋_GBK" w:cs="Times New Roman"/>
          <w:color w:val="auto"/>
          <w:sz w:val="32"/>
          <w:szCs w:val="32"/>
          <w:highlight w:val="none"/>
        </w:rPr>
        <w:t>一流营商环境</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全面开展行政备案规范管理改革，梳理形成区级事项清单</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筑牢安全稳定屏障，</w:t>
      </w:r>
      <w:r>
        <w:rPr>
          <w:rFonts w:hint="default" w:ascii="Times New Roman" w:hAnsi="Times New Roman" w:eastAsia="方正仿宋_GBK" w:cs="Times New Roman"/>
          <w:color w:val="auto"/>
          <w:sz w:val="32"/>
          <w:szCs w:val="32"/>
          <w:highlight w:val="none"/>
          <w:lang w:eastAsia="zh-CN"/>
        </w:rPr>
        <w:t>持续</w:t>
      </w:r>
      <w:r>
        <w:rPr>
          <w:rFonts w:hint="default" w:ascii="Times New Roman" w:hAnsi="Times New Roman" w:eastAsia="方正仿宋_GBK" w:cs="Times New Roman"/>
          <w:color w:val="auto"/>
          <w:sz w:val="32"/>
          <w:szCs w:val="32"/>
          <w:highlight w:val="none"/>
        </w:rPr>
        <w:t>加强金融、房地产等</w:t>
      </w:r>
      <w:r>
        <w:rPr>
          <w:rFonts w:hint="default" w:ascii="Times New Roman" w:hAnsi="Times New Roman" w:eastAsia="方正仿宋_GBK" w:cs="Times New Roman"/>
          <w:color w:val="auto"/>
          <w:sz w:val="32"/>
          <w:szCs w:val="32"/>
          <w:highlight w:val="none"/>
          <w:lang w:eastAsia="zh-CN"/>
        </w:rPr>
        <w:t>社会面</w:t>
      </w:r>
      <w:r>
        <w:rPr>
          <w:rFonts w:hint="default" w:ascii="Times New Roman" w:hAnsi="Times New Roman" w:eastAsia="方正仿宋_GBK" w:cs="Times New Roman"/>
          <w:color w:val="auto"/>
          <w:sz w:val="32"/>
          <w:szCs w:val="32"/>
          <w:highlight w:val="none"/>
        </w:rPr>
        <w:t>风险防范，全面排查整治城镇燃气全链条风险隐患</w:t>
      </w:r>
      <w:r>
        <w:rPr>
          <w:rFonts w:hint="default" w:ascii="Times New Roman" w:hAnsi="Times New Roman" w:eastAsia="方正仿宋_GBK" w:cs="Times New Roman"/>
          <w:color w:val="auto"/>
          <w:sz w:val="32"/>
          <w:szCs w:val="32"/>
          <w:highlight w:val="none"/>
          <w:lang w:eastAsia="zh-CN"/>
        </w:rPr>
        <w:t>，持续</w:t>
      </w:r>
      <w:r>
        <w:rPr>
          <w:rFonts w:hint="default" w:ascii="Times New Roman" w:hAnsi="Times New Roman" w:eastAsia="方正仿宋_GBK" w:cs="Times New Roman"/>
          <w:color w:val="auto"/>
          <w:sz w:val="32"/>
          <w:szCs w:val="32"/>
          <w:highlight w:val="none"/>
        </w:rPr>
        <w:t>提升食品</w:t>
      </w:r>
      <w:r>
        <w:rPr>
          <w:rFonts w:hint="default" w:ascii="Times New Roman" w:hAnsi="Times New Roman" w:eastAsia="方正仿宋_GBK" w:cs="Times New Roman"/>
          <w:color w:val="auto"/>
          <w:sz w:val="32"/>
          <w:szCs w:val="32"/>
          <w:highlight w:val="none"/>
          <w:lang w:eastAsia="zh-CN"/>
        </w:rPr>
        <w:t>药品日常监管和</w:t>
      </w:r>
      <w:r>
        <w:rPr>
          <w:rFonts w:hint="default" w:ascii="Times New Roman" w:hAnsi="Times New Roman" w:eastAsia="方正仿宋_GBK" w:cs="Times New Roman"/>
          <w:color w:val="auto"/>
          <w:sz w:val="32"/>
          <w:szCs w:val="32"/>
          <w:highlight w:val="none"/>
        </w:rPr>
        <w:t>应急处置能力</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kern w:val="0"/>
          <w:sz w:val="32"/>
          <w:szCs w:val="32"/>
          <w:highlight w:val="none"/>
          <w:shd w:val="clear" w:color="auto" w:fill="FFFFFF"/>
          <w:lang w:bidi="ar"/>
        </w:rPr>
        <w:t>网格化治理达标率</w:t>
      </w:r>
      <w:r>
        <w:rPr>
          <w:rFonts w:hint="default" w:ascii="Times New Roman" w:hAnsi="Times New Roman" w:eastAsia="方正仿宋_GBK" w:cs="Times New Roman"/>
          <w:color w:val="auto"/>
          <w:kern w:val="0"/>
          <w:sz w:val="32"/>
          <w:szCs w:val="32"/>
          <w:highlight w:val="none"/>
          <w:shd w:val="clear" w:color="auto" w:fill="FFFFFF"/>
          <w:lang w:eastAsia="zh-CN" w:bidi="ar"/>
        </w:rPr>
        <w:t>继续保持</w:t>
      </w:r>
      <w:r>
        <w:rPr>
          <w:rFonts w:hint="default" w:ascii="Times New Roman" w:hAnsi="Times New Roman" w:eastAsia="方正仿宋_GBK" w:cs="Times New Roman"/>
          <w:color w:val="auto"/>
          <w:kern w:val="0"/>
          <w:sz w:val="32"/>
          <w:szCs w:val="32"/>
          <w:highlight w:val="none"/>
          <w:shd w:val="clear" w:color="auto" w:fill="FFFFFF"/>
          <w:lang w:bidi="ar"/>
        </w:rPr>
        <w:t>主城第一方阵</w:t>
      </w:r>
      <w:r>
        <w:rPr>
          <w:rFonts w:hint="default" w:ascii="Times New Roman" w:hAnsi="Times New Roman" w:eastAsia="方正仿宋_GBK" w:cs="Times New Roman"/>
          <w:color w:val="auto"/>
          <w:kern w:val="0"/>
          <w:sz w:val="32"/>
          <w:szCs w:val="32"/>
          <w:highlight w:val="none"/>
          <w:shd w:val="clear" w:color="auto" w:fill="FFFFFF"/>
          <w:lang w:eastAsia="zh-CN" w:bidi="ar"/>
        </w:rPr>
        <w:t>，</w:t>
      </w:r>
      <w:r>
        <w:rPr>
          <w:rFonts w:hint="default" w:ascii="Times New Roman" w:hAnsi="Times New Roman" w:eastAsia="方正仿宋_GBK" w:cs="Times New Roman"/>
          <w:color w:val="auto"/>
          <w:sz w:val="32"/>
          <w:szCs w:val="32"/>
          <w:highlight w:val="none"/>
        </w:rPr>
        <w:t>生产安全事故起数、死亡人数</w:t>
      </w:r>
      <w:r>
        <w:rPr>
          <w:rFonts w:hint="default" w:ascii="Times New Roman" w:hAnsi="Times New Roman" w:eastAsia="方正仿宋_GBK" w:cs="Times New Roman"/>
          <w:color w:val="auto"/>
          <w:sz w:val="32"/>
          <w:szCs w:val="32"/>
          <w:highlight w:val="none"/>
          <w:lang w:eastAsia="zh-CN"/>
        </w:rPr>
        <w:t>实现</w:t>
      </w:r>
      <w:r>
        <w:rPr>
          <w:rFonts w:hint="default" w:ascii="Times New Roman" w:hAnsi="Times New Roman" w:eastAsia="方正仿宋_GBK" w:cs="Times New Roman"/>
          <w:color w:val="auto"/>
          <w:sz w:val="32"/>
          <w:szCs w:val="32"/>
          <w:highlight w:val="none"/>
        </w:rPr>
        <w:t>“双下降”。12345政务服务便民热线问题解决率超82%，群众满意度超95%。</w:t>
      </w:r>
      <w:r>
        <w:rPr>
          <w:rFonts w:hint="default" w:ascii="Times New Roman" w:hAnsi="Times New Roman" w:eastAsia="方正仿宋_GBK" w:cs="Times New Roman"/>
          <w:color w:val="auto"/>
          <w:sz w:val="32"/>
          <w:szCs w:val="32"/>
          <w:highlight w:val="none"/>
          <w:lang w:eastAsia="zh-CN"/>
        </w:rPr>
        <w:t>强化数据治理能力，</w:t>
      </w:r>
      <w:r>
        <w:rPr>
          <w:rFonts w:hint="default" w:ascii="Times New Roman" w:hAnsi="Times New Roman" w:eastAsia="方正仿宋_GBK" w:cs="Times New Roman"/>
          <w:color w:val="auto"/>
          <w:sz w:val="32"/>
          <w:szCs w:val="32"/>
          <w:highlight w:val="none"/>
        </w:rPr>
        <w:t>系统推进</w:t>
      </w:r>
      <w:r>
        <w:rPr>
          <w:rFonts w:hint="default" w:ascii="Times New Roman" w:hAnsi="Times New Roman" w:eastAsia="方正仿宋_GBK" w:cs="Times New Roman"/>
          <w:color w:val="auto"/>
          <w:sz w:val="32"/>
          <w:szCs w:val="32"/>
          <w:highlight w:val="none"/>
          <w:lang w:eastAsia="zh-CN"/>
        </w:rPr>
        <w:t>区城一体信息化</w:t>
      </w:r>
      <w:r>
        <w:rPr>
          <w:rFonts w:hint="default" w:ascii="Times New Roman" w:hAnsi="Times New Roman" w:eastAsia="方正仿宋_GBK" w:cs="Times New Roman"/>
          <w:color w:val="auto"/>
          <w:sz w:val="32"/>
          <w:szCs w:val="32"/>
          <w:highlight w:val="none"/>
        </w:rPr>
        <w:t>平台建设，创新</w:t>
      </w:r>
      <w:r>
        <w:rPr>
          <w:rFonts w:hint="default" w:ascii="Times New Roman" w:hAnsi="Times New Roman" w:eastAsia="方正仿宋_GBK" w:cs="Times New Roman"/>
          <w:color w:val="auto"/>
          <w:sz w:val="32"/>
          <w:szCs w:val="32"/>
          <w:highlight w:val="none"/>
          <w:lang w:eastAsia="zh-CN"/>
        </w:rPr>
        <w:t>开发各类</w:t>
      </w:r>
      <w:r>
        <w:rPr>
          <w:rFonts w:hint="default" w:ascii="Times New Roman" w:hAnsi="Times New Roman" w:eastAsia="方正仿宋_GBK" w:cs="Times New Roman"/>
          <w:color w:val="auto"/>
          <w:sz w:val="32"/>
          <w:szCs w:val="32"/>
          <w:highlight w:val="none"/>
        </w:rPr>
        <w:t>服务场景</w:t>
      </w:r>
      <w:r>
        <w:rPr>
          <w:rFonts w:hint="default" w:ascii="Times New Roman" w:hAnsi="Times New Roman" w:eastAsia="方正仿宋_GBK" w:cs="Times New Roman"/>
          <w:color w:val="auto"/>
          <w:sz w:val="32"/>
          <w:szCs w:val="32"/>
          <w:highlight w:val="none"/>
          <w:lang w:eastAsia="zh-CN"/>
        </w:rPr>
        <w:t>，不断</w:t>
      </w:r>
      <w:r>
        <w:rPr>
          <w:rFonts w:hint="default" w:ascii="Times New Roman" w:hAnsi="Times New Roman" w:eastAsia="方正仿宋_GBK" w:cs="Times New Roman"/>
          <w:color w:val="auto"/>
          <w:sz w:val="32"/>
          <w:szCs w:val="32"/>
          <w:highlight w:val="none"/>
        </w:rPr>
        <w:t>提升</w:t>
      </w:r>
      <w:r>
        <w:rPr>
          <w:rFonts w:hint="default" w:ascii="Times New Roman" w:hAnsi="Times New Roman" w:eastAsia="方正仿宋_GBK" w:cs="Times New Roman"/>
          <w:color w:val="auto"/>
          <w:sz w:val="32"/>
          <w:szCs w:val="32"/>
          <w:highlight w:val="none"/>
          <w:lang w:eastAsia="zh-CN"/>
        </w:rPr>
        <w:t>城市治理的</w:t>
      </w:r>
      <w:r>
        <w:rPr>
          <w:rFonts w:hint="default" w:ascii="Times New Roman" w:hAnsi="Times New Roman" w:eastAsia="方正仿宋_GBK" w:cs="Times New Roman"/>
          <w:color w:val="auto"/>
          <w:sz w:val="32"/>
          <w:szCs w:val="32"/>
          <w:highlight w:val="none"/>
        </w:rPr>
        <w:t>感知</w:t>
      </w:r>
      <w:r>
        <w:rPr>
          <w:rFonts w:hint="default" w:ascii="Times New Roman" w:hAnsi="Times New Roman" w:eastAsia="方正仿宋_GBK" w:cs="Times New Roman"/>
          <w:color w:val="auto"/>
          <w:sz w:val="32"/>
          <w:szCs w:val="32"/>
          <w:highlight w:val="none"/>
          <w:lang w:eastAsia="zh-CN"/>
        </w:rPr>
        <w:t>预警和</w:t>
      </w:r>
      <w:r>
        <w:rPr>
          <w:rFonts w:hint="default" w:ascii="Times New Roman" w:hAnsi="Times New Roman" w:eastAsia="方正仿宋_GBK" w:cs="Times New Roman"/>
          <w:color w:val="auto"/>
          <w:sz w:val="32"/>
          <w:szCs w:val="32"/>
          <w:highlight w:val="none"/>
        </w:rPr>
        <w:t>快速反应能力</w:t>
      </w:r>
      <w:r>
        <w:rPr>
          <w:rFonts w:hint="default" w:ascii="Times New Roman" w:hAnsi="Times New Roman" w:eastAsia="方正仿宋_GBK" w:cs="Times New Roman"/>
          <w:color w:val="auto"/>
          <w:sz w:val="32"/>
          <w:szCs w:val="32"/>
          <w:highlight w:val="none"/>
          <w:lang w:eastAsia="zh-CN"/>
        </w:rPr>
        <w:t>。</w:t>
      </w:r>
    </w:p>
    <w:p w14:paraId="31A0CCD8">
      <w:pPr>
        <w:keepNext w:val="0"/>
        <w:keepLines w:val="0"/>
        <w:pageBreakBefore w:val="0"/>
        <w:widowControl w:val="0"/>
        <w:kinsoku/>
        <w:topLinePunct w:val="0"/>
        <w:autoSpaceDE/>
        <w:autoSpaceDN/>
        <w:bidi w:val="0"/>
        <w:adjustRightInd/>
        <w:spacing w:line="520" w:lineRule="exact"/>
        <w:ind w:firstLine="640" w:firstLineChars="200"/>
        <w:textAlignment w:val="auto"/>
        <w:outlineLvl w:val="1"/>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vertAlign w:val="baseline"/>
        </w:rPr>
        <w:t>三、项目投资</w:t>
      </w:r>
    </w:p>
    <w:p w14:paraId="782DCD71">
      <w:pPr>
        <w:spacing w:line="520" w:lineRule="exact"/>
        <w:ind w:firstLine="640" w:firstLineChars="200"/>
        <w:rPr>
          <w:rFonts w:hint="default"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rPr>
        <w:t>梳理编排重大项目123个，预计总投资约2530.52亿元，2024年度计划投资295.09亿元。其中新开工项目18个，在建项目69个，前期项目36个。申报省重大前期项目1个</w:t>
      </w:r>
      <w:r>
        <w:rPr>
          <w:rFonts w:ascii="Times New Roman" w:hAnsi="Times New Roman" w:eastAsia="方正仿宋_GBK" w:cs="Times New Roman"/>
          <w:color w:val="auto"/>
          <w:kern w:val="0"/>
          <w:sz w:val="32"/>
          <w:szCs w:val="32"/>
          <w:highlight w:val="none"/>
        </w:rPr>
        <w:t>，项目总投资</w:t>
      </w:r>
      <w:r>
        <w:rPr>
          <w:rFonts w:hint="eastAsia" w:ascii="Times New Roman" w:hAnsi="Times New Roman" w:eastAsia="方正仿宋_GBK" w:cs="Times New Roman"/>
          <w:color w:val="auto"/>
          <w:kern w:val="0"/>
          <w:sz w:val="32"/>
          <w:szCs w:val="32"/>
          <w:highlight w:val="none"/>
        </w:rPr>
        <w:t>16</w:t>
      </w:r>
      <w:r>
        <w:rPr>
          <w:rFonts w:ascii="Times New Roman" w:hAnsi="Times New Roman" w:eastAsia="方正仿宋_GBK" w:cs="Times New Roman"/>
          <w:color w:val="auto"/>
          <w:kern w:val="0"/>
          <w:sz w:val="32"/>
          <w:szCs w:val="32"/>
          <w:highlight w:val="none"/>
        </w:rPr>
        <w:t>.8亿元。</w:t>
      </w:r>
      <w:r>
        <w:rPr>
          <w:rFonts w:hint="eastAsia" w:ascii="Times New Roman" w:hAnsi="Times New Roman" w:eastAsia="方正仿宋_GBK" w:cs="Times New Roman"/>
          <w:color w:val="auto"/>
          <w:kern w:val="0"/>
          <w:sz w:val="32"/>
          <w:szCs w:val="32"/>
          <w:highlight w:val="none"/>
        </w:rPr>
        <w:t>申报市重大项目26个（含省重大项目），项目总投资982.18亿元，2024年计划投资89.2亿元。</w:t>
      </w:r>
    </w:p>
    <w:p w14:paraId="64FA6297">
      <w:pPr>
        <w:keepNext w:val="0"/>
        <w:keepLines w:val="0"/>
        <w:pageBreakBefore w:val="0"/>
        <w:widowControl w:val="0"/>
        <w:kinsoku/>
        <w:topLinePunct w:val="0"/>
        <w:autoSpaceDE/>
        <w:autoSpaceDN/>
        <w:bidi w:val="0"/>
        <w:adjustRightInd/>
        <w:spacing w:line="520" w:lineRule="exact"/>
        <w:ind w:firstLine="640" w:firstLineChars="200"/>
        <w:textAlignment w:val="auto"/>
        <w:rPr>
          <w:rFonts w:hint="default" w:ascii="Times New Roman" w:hAnsi="Times New Roman" w:eastAsia="方正仿宋_GBK" w:cs="Times New Roman"/>
          <w:color w:val="auto"/>
          <w:kern w:val="0"/>
          <w:sz w:val="32"/>
          <w:szCs w:val="32"/>
          <w:highlight w:val="none"/>
          <w:vertAlign w:val="baseline"/>
          <w:lang w:val="en-US" w:eastAsia="zh-CN" w:bidi="ar-SA"/>
        </w:rPr>
      </w:pPr>
      <w:r>
        <w:rPr>
          <w:rFonts w:hint="default" w:ascii="Times New Roman" w:hAnsi="Times New Roman" w:eastAsia="方正仿宋_GBK" w:cs="Times New Roman"/>
          <w:color w:val="auto"/>
          <w:kern w:val="0"/>
          <w:sz w:val="32"/>
          <w:szCs w:val="32"/>
          <w:highlight w:val="none"/>
          <w:vertAlign w:val="baseline"/>
        </w:rPr>
        <w:t>梳理编排非城建类政府投资计划项目</w:t>
      </w:r>
      <w:r>
        <w:rPr>
          <w:rFonts w:hint="default" w:ascii="Times New Roman" w:hAnsi="Times New Roman" w:eastAsia="方正仿宋_GBK" w:cs="Times New Roman"/>
          <w:color w:val="auto"/>
          <w:kern w:val="0"/>
          <w:sz w:val="32"/>
          <w:szCs w:val="32"/>
          <w:highlight w:val="none"/>
          <w:vertAlign w:val="baseline"/>
          <w:lang w:val="en-US" w:eastAsia="zh-CN"/>
        </w:rPr>
        <w:t>27</w:t>
      </w:r>
      <w:r>
        <w:rPr>
          <w:rFonts w:hint="default" w:ascii="Times New Roman" w:hAnsi="Times New Roman" w:eastAsia="方正仿宋_GBK" w:cs="Times New Roman"/>
          <w:color w:val="auto"/>
          <w:kern w:val="0"/>
          <w:sz w:val="32"/>
          <w:szCs w:val="32"/>
          <w:highlight w:val="none"/>
          <w:vertAlign w:val="baseline"/>
        </w:rPr>
        <w:t>个</w:t>
      </w:r>
      <w:r>
        <w:rPr>
          <w:rFonts w:hint="default" w:ascii="Times New Roman" w:hAnsi="Times New Roman" w:eastAsia="方正仿宋_GBK" w:cs="Times New Roman"/>
          <w:color w:val="auto"/>
          <w:kern w:val="0"/>
          <w:sz w:val="32"/>
          <w:szCs w:val="32"/>
          <w:highlight w:val="none"/>
          <w:vertAlign w:val="baseline"/>
          <w:lang w:eastAsia="zh-CN"/>
        </w:rPr>
        <w:t>（含</w:t>
      </w:r>
      <w:r>
        <w:rPr>
          <w:rFonts w:hint="default" w:ascii="Times New Roman" w:hAnsi="Times New Roman" w:eastAsia="方正仿宋_GBK" w:cs="Times New Roman"/>
          <w:color w:val="auto"/>
          <w:kern w:val="0"/>
          <w:sz w:val="32"/>
          <w:szCs w:val="32"/>
          <w:highlight w:val="none"/>
          <w:vertAlign w:val="baseline"/>
          <w:lang w:val="en-US" w:eastAsia="zh-CN"/>
        </w:rPr>
        <w:t>2个保密项目</w:t>
      </w:r>
      <w:r>
        <w:rPr>
          <w:rFonts w:hint="default" w:ascii="Times New Roman" w:hAnsi="Times New Roman" w:eastAsia="方正仿宋_GBK" w:cs="Times New Roman"/>
          <w:color w:val="auto"/>
          <w:kern w:val="0"/>
          <w:sz w:val="32"/>
          <w:szCs w:val="32"/>
          <w:highlight w:val="none"/>
          <w:vertAlign w:val="baseline"/>
          <w:lang w:eastAsia="zh-CN"/>
        </w:rPr>
        <w:t>）</w:t>
      </w:r>
      <w:r>
        <w:rPr>
          <w:rFonts w:hint="default" w:ascii="Times New Roman" w:hAnsi="Times New Roman" w:eastAsia="方正仿宋_GBK" w:cs="Times New Roman"/>
          <w:color w:val="auto"/>
          <w:kern w:val="0"/>
          <w:sz w:val="32"/>
          <w:szCs w:val="32"/>
          <w:highlight w:val="none"/>
          <w:vertAlign w:val="baseline"/>
        </w:rPr>
        <w:t>，预计总投资</w:t>
      </w:r>
      <w:r>
        <w:rPr>
          <w:rFonts w:hint="default" w:ascii="Times New Roman" w:hAnsi="Times New Roman" w:eastAsia="方正仿宋_GBK" w:cs="Times New Roman"/>
          <w:color w:val="auto"/>
          <w:kern w:val="0"/>
          <w:sz w:val="32"/>
          <w:szCs w:val="32"/>
          <w:highlight w:val="none"/>
          <w:vertAlign w:val="baseline"/>
          <w:lang w:val="en-US" w:eastAsia="zh-CN"/>
        </w:rPr>
        <w:t>2.07</w:t>
      </w:r>
      <w:r>
        <w:rPr>
          <w:rFonts w:hint="default" w:ascii="Times New Roman" w:hAnsi="Times New Roman" w:eastAsia="方正仿宋_GBK" w:cs="Times New Roman"/>
          <w:color w:val="auto"/>
          <w:kern w:val="0"/>
          <w:sz w:val="32"/>
          <w:szCs w:val="32"/>
          <w:highlight w:val="none"/>
          <w:vertAlign w:val="baseline"/>
          <w:lang w:eastAsia="zh-CN"/>
        </w:rPr>
        <w:t>亿</w:t>
      </w:r>
      <w:r>
        <w:rPr>
          <w:rFonts w:hint="default" w:ascii="Times New Roman" w:hAnsi="Times New Roman" w:eastAsia="方正仿宋_GBK" w:cs="Times New Roman"/>
          <w:color w:val="auto"/>
          <w:kern w:val="0"/>
          <w:sz w:val="32"/>
          <w:szCs w:val="32"/>
          <w:highlight w:val="none"/>
          <w:vertAlign w:val="baseline"/>
        </w:rPr>
        <w:t>元。其中，A类项目25个</w:t>
      </w:r>
      <w:r>
        <w:rPr>
          <w:rFonts w:hint="default" w:ascii="Times New Roman" w:hAnsi="Times New Roman" w:eastAsia="方正仿宋_GBK" w:cs="Times New Roman"/>
          <w:color w:val="auto"/>
          <w:kern w:val="0"/>
          <w:sz w:val="32"/>
          <w:szCs w:val="32"/>
          <w:highlight w:val="none"/>
          <w:vertAlign w:val="baseline"/>
          <w:lang w:eastAsia="zh-CN"/>
        </w:rPr>
        <w:t>（</w:t>
      </w:r>
      <w:r>
        <w:rPr>
          <w:rFonts w:hint="default" w:ascii="Times New Roman" w:hAnsi="Times New Roman" w:eastAsia="方正仿宋_GBK" w:cs="Times New Roman"/>
          <w:color w:val="auto"/>
          <w:kern w:val="0"/>
          <w:sz w:val="32"/>
          <w:szCs w:val="32"/>
          <w:highlight w:val="none"/>
          <w:vertAlign w:val="baseline"/>
        </w:rPr>
        <w:t>含2个涉密项目</w:t>
      </w:r>
      <w:r>
        <w:rPr>
          <w:rFonts w:hint="default" w:ascii="Times New Roman" w:hAnsi="Times New Roman" w:eastAsia="方正仿宋_GBK" w:cs="Times New Roman"/>
          <w:color w:val="auto"/>
          <w:kern w:val="0"/>
          <w:sz w:val="32"/>
          <w:szCs w:val="32"/>
          <w:highlight w:val="none"/>
          <w:vertAlign w:val="baseline"/>
          <w:lang w:eastAsia="zh-CN"/>
        </w:rPr>
        <w:t>）</w:t>
      </w:r>
      <w:r>
        <w:rPr>
          <w:rFonts w:hint="default" w:ascii="Times New Roman" w:hAnsi="Times New Roman" w:eastAsia="方正仿宋_GBK" w:cs="Times New Roman"/>
          <w:color w:val="auto"/>
          <w:kern w:val="0"/>
          <w:sz w:val="32"/>
          <w:szCs w:val="32"/>
          <w:highlight w:val="none"/>
          <w:vertAlign w:val="baseline"/>
        </w:rPr>
        <w:t>，总投资2亿元；B类项目2个，总投资0.07亿元。</w:t>
      </w:r>
    </w:p>
    <w:p w14:paraId="0A9BEEF6">
      <w:pPr>
        <w:pStyle w:val="6"/>
        <w:keepNext w:val="0"/>
        <w:keepLines w:val="0"/>
        <w:pageBreakBefore w:val="0"/>
        <w:widowControl w:val="0"/>
        <w:kinsoku/>
        <w:topLinePunct w:val="0"/>
        <w:autoSpaceDE/>
        <w:autoSpaceDN/>
        <w:bidi w:val="0"/>
        <w:adjustRightInd/>
        <w:spacing w:line="520" w:lineRule="exact"/>
        <w:textAlignment w:val="auto"/>
        <w:rPr>
          <w:rFonts w:hint="default" w:ascii="Times New Roman" w:hAnsi="Times New Roman" w:cs="Times New Roman"/>
          <w:color w:val="auto"/>
          <w:highlight w:val="none"/>
          <w:lang w:val="en-US" w:eastAsia="zh-CN"/>
        </w:rPr>
      </w:pPr>
    </w:p>
    <w:p w14:paraId="4712912E">
      <w:pPr>
        <w:rPr>
          <w:rFonts w:hint="default" w:ascii="Times New Roman" w:hAnsi="Times New Roman" w:cs="Times New Roman"/>
          <w:color w:val="auto"/>
          <w:highlight w:val="none"/>
          <w:lang w:val="en-US" w:eastAsia="zh-CN"/>
        </w:rPr>
      </w:pPr>
    </w:p>
    <w:p w14:paraId="28BF5FA6">
      <w:pPr>
        <w:pStyle w:val="9"/>
        <w:keepNext w:val="0"/>
        <w:keepLines w:val="0"/>
        <w:pageBreakBefore w:val="0"/>
        <w:widowControl w:val="0"/>
        <w:kinsoku/>
        <w:topLinePunct w:val="0"/>
        <w:autoSpaceDE/>
        <w:autoSpaceDN/>
        <w:bidi w:val="0"/>
        <w:adjustRightInd/>
        <w:spacing w:line="520" w:lineRule="exact"/>
        <w:ind w:firstLine="640" w:firstLineChars="20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附件：1、秦淮区202</w:t>
      </w:r>
      <w:r>
        <w:rPr>
          <w:rFonts w:hint="default" w:ascii="Times New Roman" w:hAnsi="Times New Roman" w:eastAsia="方正仿宋_GBK" w:cs="Times New Roman"/>
          <w:color w:val="auto"/>
          <w:kern w:val="0"/>
          <w:sz w:val="32"/>
          <w:szCs w:val="32"/>
          <w:highlight w:val="none"/>
          <w:lang w:val="en-US" w:eastAsia="zh-CN"/>
        </w:rPr>
        <w:t>4</w:t>
      </w:r>
      <w:r>
        <w:rPr>
          <w:rFonts w:hint="default" w:ascii="Times New Roman" w:hAnsi="Times New Roman" w:eastAsia="方正仿宋_GBK" w:cs="Times New Roman"/>
          <w:color w:val="auto"/>
          <w:kern w:val="0"/>
          <w:sz w:val="32"/>
          <w:szCs w:val="32"/>
          <w:highlight w:val="none"/>
        </w:rPr>
        <w:t>年度国民经济和社会发展计划</w:t>
      </w:r>
    </w:p>
    <w:p w14:paraId="51096095">
      <w:pPr>
        <w:pStyle w:val="9"/>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 xml:space="preserve">     </w:t>
      </w:r>
      <w:r>
        <w:rPr>
          <w:rFonts w:hint="default"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rPr>
        <w:t xml:space="preserve"> </w:t>
      </w:r>
      <w:r>
        <w:rPr>
          <w:rFonts w:hint="default"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rPr>
        <w:t>2、</w:t>
      </w:r>
      <w:r>
        <w:rPr>
          <w:rFonts w:hint="default" w:ascii="Times New Roman" w:hAnsi="Times New Roman" w:eastAsia="方正仿宋_GBK" w:cs="Times New Roman"/>
          <w:color w:val="auto"/>
          <w:kern w:val="0"/>
          <w:sz w:val="32"/>
          <w:szCs w:val="32"/>
          <w:highlight w:val="none"/>
          <w:vertAlign w:val="baseline"/>
        </w:rPr>
        <w:t>秦淮区202</w:t>
      </w:r>
      <w:r>
        <w:rPr>
          <w:rFonts w:hint="default" w:ascii="Times New Roman" w:hAnsi="Times New Roman" w:eastAsia="方正仿宋_GBK" w:cs="Times New Roman"/>
          <w:color w:val="auto"/>
          <w:kern w:val="0"/>
          <w:sz w:val="32"/>
          <w:szCs w:val="32"/>
          <w:highlight w:val="none"/>
          <w:lang w:val="en-US" w:eastAsia="zh-CN"/>
        </w:rPr>
        <w:t>4</w:t>
      </w:r>
      <w:r>
        <w:rPr>
          <w:rFonts w:hint="default" w:ascii="Times New Roman" w:hAnsi="Times New Roman" w:eastAsia="方正仿宋_GBK" w:cs="Times New Roman"/>
          <w:color w:val="auto"/>
          <w:kern w:val="0"/>
          <w:sz w:val="32"/>
          <w:szCs w:val="32"/>
          <w:highlight w:val="none"/>
          <w:vertAlign w:val="baseline"/>
        </w:rPr>
        <w:t>年</w:t>
      </w:r>
      <w:r>
        <w:rPr>
          <w:rFonts w:hint="default" w:ascii="Times New Roman" w:hAnsi="Times New Roman" w:eastAsia="方正仿宋_GBK" w:cs="Times New Roman"/>
          <w:color w:val="auto"/>
          <w:kern w:val="0"/>
          <w:sz w:val="32"/>
          <w:szCs w:val="32"/>
          <w:highlight w:val="none"/>
        </w:rPr>
        <w:t>度</w:t>
      </w:r>
      <w:r>
        <w:rPr>
          <w:rFonts w:hint="default" w:ascii="Times New Roman" w:hAnsi="Times New Roman" w:eastAsia="方正仿宋_GBK" w:cs="Times New Roman"/>
          <w:color w:val="auto"/>
          <w:kern w:val="0"/>
          <w:sz w:val="32"/>
          <w:szCs w:val="32"/>
          <w:highlight w:val="none"/>
          <w:vertAlign w:val="baseline"/>
        </w:rPr>
        <w:t>重大项目一览表</w:t>
      </w:r>
    </w:p>
    <w:p w14:paraId="13899296">
      <w:pPr>
        <w:pStyle w:val="2"/>
        <w:rPr>
          <w:rFonts w:hint="default" w:ascii="Times New Roman" w:hAnsi="Times New Roman" w:cs="Times New Roman"/>
          <w:color w:val="auto"/>
          <w:highlight w:val="none"/>
          <w:lang w:eastAsia="zh-CN"/>
        </w:rPr>
      </w:pPr>
      <w:r>
        <w:rPr>
          <w:rFonts w:hint="default" w:ascii="Times New Roman" w:hAnsi="Times New Roman" w:eastAsia="方正仿宋_GBK" w:cs="Times New Roman"/>
          <w:color w:val="auto"/>
          <w:kern w:val="0"/>
          <w:sz w:val="32"/>
          <w:szCs w:val="32"/>
          <w:highlight w:val="none"/>
        </w:rPr>
        <w:t xml:space="preserve">      </w:t>
      </w:r>
      <w:r>
        <w:rPr>
          <w:rFonts w:hint="default"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rPr>
        <w:t>3、秦淮区202</w:t>
      </w:r>
      <w:r>
        <w:rPr>
          <w:rFonts w:hint="default" w:ascii="Times New Roman" w:hAnsi="Times New Roman" w:eastAsia="方正仿宋_GBK" w:cs="Times New Roman"/>
          <w:color w:val="auto"/>
          <w:kern w:val="0"/>
          <w:sz w:val="32"/>
          <w:szCs w:val="32"/>
          <w:highlight w:val="none"/>
          <w:lang w:val="en-US" w:eastAsia="zh-CN"/>
        </w:rPr>
        <w:t>4</w:t>
      </w:r>
      <w:r>
        <w:rPr>
          <w:rFonts w:hint="default" w:ascii="Times New Roman" w:hAnsi="Times New Roman" w:eastAsia="方正仿宋_GBK" w:cs="Times New Roman"/>
          <w:color w:val="auto"/>
          <w:kern w:val="0"/>
          <w:sz w:val="32"/>
          <w:szCs w:val="32"/>
          <w:highlight w:val="none"/>
        </w:rPr>
        <w:t>年度政府投资计划表（非城建类）</w:t>
      </w:r>
    </w:p>
    <w:p w14:paraId="4653BC91">
      <w:pPr>
        <w:pStyle w:val="6"/>
        <w:keepNext w:val="0"/>
        <w:keepLines w:val="0"/>
        <w:pageBreakBefore w:val="0"/>
        <w:widowControl w:val="0"/>
        <w:kinsoku/>
        <w:topLinePunct w:val="0"/>
        <w:autoSpaceDE/>
        <w:autoSpaceDN/>
        <w:bidi w:val="0"/>
        <w:adjustRightInd/>
        <w:spacing w:line="520" w:lineRule="exact"/>
        <w:textAlignment w:val="auto"/>
        <w:rPr>
          <w:rFonts w:hint="default" w:ascii="Times New Roman" w:hAnsi="Times New Roman" w:cs="Times New Roman"/>
          <w:color w:val="auto"/>
          <w:highlight w:val="none"/>
          <w:lang w:val="en-US" w:eastAsia="zh-CN"/>
        </w:rPr>
      </w:pPr>
    </w:p>
    <w:p w14:paraId="484C23EE">
      <w:pPr>
        <w:rPr>
          <w:rFonts w:hint="default" w:ascii="Times New Roman" w:hAnsi="Times New Roman" w:cs="Times New Roman"/>
          <w:color w:val="auto"/>
          <w:highlight w:val="none"/>
          <w:lang w:val="en-US" w:eastAsia="zh-CN"/>
        </w:rPr>
      </w:pPr>
    </w:p>
    <w:p w14:paraId="1C847CFE">
      <w:pPr>
        <w:pStyle w:val="9"/>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 xml:space="preserve">     </w:t>
      </w:r>
      <w:r>
        <w:rPr>
          <w:rFonts w:hint="default"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rPr>
        <w:t xml:space="preserve"> </w:t>
      </w:r>
      <w:r>
        <w:rPr>
          <w:rFonts w:hint="default" w:ascii="Times New Roman" w:hAnsi="Times New Roman" w:eastAsia="方正仿宋_GBK" w:cs="Times New Roman"/>
          <w:color w:val="auto"/>
          <w:kern w:val="0"/>
          <w:sz w:val="32"/>
          <w:szCs w:val="32"/>
          <w:highlight w:val="none"/>
          <w:lang w:val="en-US" w:eastAsia="zh-CN"/>
        </w:rPr>
        <w:t xml:space="preserve">  </w:t>
      </w:r>
    </w:p>
    <w:p w14:paraId="5597AB8F">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附件1：</w:t>
      </w:r>
    </w:p>
    <w:p w14:paraId="562ECBB0">
      <w:pPr>
        <w:jc w:val="center"/>
        <w:outlineLvl w:val="2"/>
        <w:rPr>
          <w:rFonts w:hint="default" w:ascii="Times New Roman" w:hAnsi="Times New Roman" w:eastAsia="方正黑体_GBK" w:cs="Times New Roman"/>
          <w:color w:val="auto"/>
          <w:kern w:val="0"/>
          <w:sz w:val="36"/>
          <w:szCs w:val="36"/>
          <w:highlight w:val="none"/>
        </w:rPr>
      </w:pPr>
      <w:r>
        <w:rPr>
          <w:rFonts w:hint="default" w:ascii="Times New Roman" w:hAnsi="Times New Roman" w:eastAsia="方正黑体_GBK" w:cs="Times New Roman"/>
          <w:color w:val="auto"/>
          <w:kern w:val="0"/>
          <w:sz w:val="36"/>
          <w:szCs w:val="36"/>
          <w:highlight w:val="none"/>
        </w:rPr>
        <w:t>秦淮区202</w:t>
      </w:r>
      <w:r>
        <w:rPr>
          <w:rFonts w:hint="default" w:ascii="Times New Roman" w:hAnsi="Times New Roman" w:eastAsia="方正黑体_GBK" w:cs="Times New Roman"/>
          <w:color w:val="auto"/>
          <w:kern w:val="0"/>
          <w:sz w:val="36"/>
          <w:szCs w:val="36"/>
          <w:highlight w:val="none"/>
          <w:lang w:val="en-US" w:eastAsia="zh-CN"/>
        </w:rPr>
        <w:t>4</w:t>
      </w:r>
      <w:r>
        <w:rPr>
          <w:rFonts w:hint="default" w:ascii="Times New Roman" w:hAnsi="Times New Roman" w:eastAsia="方正黑体_GBK" w:cs="Times New Roman"/>
          <w:color w:val="auto"/>
          <w:kern w:val="0"/>
          <w:sz w:val="36"/>
          <w:szCs w:val="36"/>
          <w:highlight w:val="none"/>
        </w:rPr>
        <w:t>年</w:t>
      </w:r>
      <w:r>
        <w:rPr>
          <w:rFonts w:hint="default" w:ascii="Times New Roman" w:hAnsi="Times New Roman" w:eastAsia="方正黑体_GBK" w:cs="Times New Roman"/>
          <w:color w:val="auto"/>
          <w:kern w:val="0"/>
          <w:sz w:val="36"/>
          <w:szCs w:val="36"/>
          <w:highlight w:val="none"/>
          <w:lang w:val="en-US" w:eastAsia="zh-CN"/>
        </w:rPr>
        <w:t>度</w:t>
      </w:r>
      <w:r>
        <w:rPr>
          <w:rFonts w:hint="default" w:ascii="Times New Roman" w:hAnsi="Times New Roman" w:eastAsia="方正黑体_GBK" w:cs="Times New Roman"/>
          <w:color w:val="auto"/>
          <w:kern w:val="0"/>
          <w:sz w:val="36"/>
          <w:szCs w:val="36"/>
          <w:highlight w:val="none"/>
        </w:rPr>
        <w:t>国民经济和社会发展计划</w:t>
      </w:r>
    </w:p>
    <w:p w14:paraId="11491349">
      <w:pPr>
        <w:pStyle w:val="17"/>
        <w:rPr>
          <w:rFonts w:hint="default" w:ascii="Times New Roman" w:hAnsi="Times New Roman" w:cs="Times New Roman"/>
          <w:color w:val="auto"/>
          <w:highlight w:val="none"/>
          <w:lang w:val="en-US" w:eastAsia="zh-CN"/>
        </w:rPr>
      </w:pPr>
    </w:p>
    <w:tbl>
      <w:tblPr>
        <w:tblStyle w:val="13"/>
        <w:tblW w:w="92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8449"/>
      </w:tblGrid>
      <w:tr w14:paraId="2BC5E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38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auto"/>
                <w:sz w:val="24"/>
                <w:szCs w:val="24"/>
                <w:highlight w:val="none"/>
                <w:u w:val="none"/>
              </w:rPr>
            </w:pPr>
            <w:r>
              <w:rPr>
                <w:rFonts w:hint="default" w:ascii="Times New Roman" w:hAnsi="Times New Roman" w:eastAsia="方正黑体_GBK" w:cs="Times New Roman"/>
                <w:i w:val="0"/>
                <w:iCs w:val="0"/>
                <w:color w:val="auto"/>
                <w:kern w:val="0"/>
                <w:sz w:val="24"/>
                <w:szCs w:val="24"/>
                <w:highlight w:val="none"/>
                <w:u w:val="none"/>
                <w:lang w:val="en-US" w:eastAsia="zh-CN" w:bidi="ar"/>
              </w:rPr>
              <w:t>序号</w:t>
            </w:r>
          </w:p>
        </w:tc>
        <w:tc>
          <w:tcPr>
            <w:tcW w:w="8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73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auto"/>
                <w:sz w:val="24"/>
                <w:szCs w:val="24"/>
                <w:highlight w:val="none"/>
                <w:u w:val="none"/>
              </w:rPr>
            </w:pPr>
            <w:r>
              <w:rPr>
                <w:rFonts w:hint="default" w:ascii="Times New Roman" w:hAnsi="Times New Roman" w:eastAsia="方正黑体_GBK" w:cs="Times New Roman"/>
                <w:i w:val="0"/>
                <w:iCs w:val="0"/>
                <w:color w:val="auto"/>
                <w:kern w:val="0"/>
                <w:sz w:val="24"/>
                <w:szCs w:val="24"/>
                <w:highlight w:val="none"/>
                <w:u w:val="none"/>
                <w:lang w:val="en-US" w:eastAsia="zh-CN" w:bidi="ar"/>
              </w:rPr>
              <w:t>目标</w:t>
            </w:r>
          </w:p>
        </w:tc>
      </w:tr>
      <w:tr w14:paraId="04A7F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97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黑体_GBK" w:cs="Times New Roman"/>
                <w:i w:val="0"/>
                <w:iCs w:val="0"/>
                <w:color w:val="auto"/>
                <w:sz w:val="24"/>
                <w:szCs w:val="24"/>
                <w:highlight w:val="none"/>
                <w:u w:val="none"/>
              </w:rPr>
            </w:pPr>
            <w:r>
              <w:rPr>
                <w:rFonts w:hint="default" w:ascii="Times New Roman" w:hAnsi="Times New Roman" w:eastAsia="方正黑体_GBK" w:cs="Times New Roman"/>
                <w:i w:val="0"/>
                <w:iCs w:val="0"/>
                <w:color w:val="auto"/>
                <w:kern w:val="0"/>
                <w:sz w:val="24"/>
                <w:szCs w:val="24"/>
                <w:highlight w:val="none"/>
                <w:u w:val="none"/>
                <w:lang w:val="en-US" w:eastAsia="zh-CN" w:bidi="ar"/>
              </w:rPr>
              <w:t>一、主要指标</w:t>
            </w:r>
          </w:p>
        </w:tc>
      </w:tr>
      <w:tr w14:paraId="24650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2B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w:t>
            </w:r>
          </w:p>
        </w:tc>
        <w:tc>
          <w:tcPr>
            <w:tcW w:w="8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CD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lang w:val="en-US"/>
              </w:rPr>
            </w:pPr>
            <w:r>
              <w:rPr>
                <w:rStyle w:val="21"/>
                <w:rFonts w:hint="default" w:ascii="Times New Roman" w:hAnsi="Times New Roman" w:cs="Times New Roman"/>
                <w:color w:val="auto"/>
                <w:highlight w:val="none"/>
                <w:lang w:val="en-US" w:eastAsia="zh-CN" w:bidi="ar"/>
              </w:rPr>
              <w:t>地区生产总值增</w:t>
            </w:r>
            <w:r>
              <w:rPr>
                <w:rStyle w:val="21"/>
                <w:rFonts w:hint="default" w:ascii="Times New Roman" w:hAnsi="Times New Roman" w:eastAsia="方正仿宋_GBK" w:cs="Times New Roman"/>
                <w:color w:val="auto"/>
                <w:highlight w:val="none"/>
                <w:lang w:val="en-US" w:eastAsia="zh-CN" w:bidi="ar"/>
              </w:rPr>
              <w:t>长</w:t>
            </w:r>
            <w:r>
              <w:rPr>
                <w:rStyle w:val="21"/>
                <w:rFonts w:hint="default" w:ascii="Times New Roman" w:hAnsi="Times New Roman" w:cs="Times New Roman"/>
                <w:color w:val="auto"/>
                <w:highlight w:val="none"/>
                <w:lang w:val="en-US" w:eastAsia="zh-CN" w:bidi="ar"/>
              </w:rPr>
              <w:t>5%</w:t>
            </w:r>
          </w:p>
        </w:tc>
      </w:tr>
      <w:tr w14:paraId="77986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F7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2</w:t>
            </w:r>
          </w:p>
        </w:tc>
        <w:tc>
          <w:tcPr>
            <w:tcW w:w="8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54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lang w:val="en-US"/>
              </w:rPr>
            </w:pPr>
            <w:r>
              <w:rPr>
                <w:rFonts w:hint="default" w:ascii="Times New Roman" w:hAnsi="Times New Roman" w:eastAsia="方正仿宋_GBK" w:cs="Times New Roman"/>
                <w:i w:val="0"/>
                <w:iCs w:val="0"/>
                <w:color w:val="auto"/>
                <w:sz w:val="24"/>
                <w:szCs w:val="24"/>
                <w:highlight w:val="none"/>
                <w:u w:val="none"/>
              </w:rPr>
              <w:t>一般公共预算收入</w:t>
            </w:r>
            <w:r>
              <w:rPr>
                <w:rFonts w:hint="default" w:ascii="Times New Roman" w:hAnsi="Times New Roman" w:eastAsia="方正仿宋_GBK" w:cs="Times New Roman"/>
                <w:i w:val="0"/>
                <w:iCs w:val="0"/>
                <w:color w:val="auto"/>
                <w:sz w:val="24"/>
                <w:szCs w:val="24"/>
                <w:highlight w:val="none"/>
                <w:u w:val="none"/>
                <w:lang w:eastAsia="zh-CN"/>
              </w:rPr>
              <w:t>增长</w:t>
            </w:r>
            <w:r>
              <w:rPr>
                <w:rFonts w:hint="eastAsia" w:ascii="Times New Roman" w:hAnsi="Times New Roman" w:eastAsia="方正仿宋_GBK" w:cs="Times New Roman"/>
                <w:i w:val="0"/>
                <w:iCs w:val="0"/>
                <w:color w:val="auto"/>
                <w:sz w:val="24"/>
                <w:szCs w:val="24"/>
                <w:highlight w:val="none"/>
                <w:u w:val="none"/>
                <w:lang w:val="en-US" w:eastAsia="zh-CN"/>
              </w:rPr>
              <w:t>5</w:t>
            </w:r>
            <w:r>
              <w:rPr>
                <w:rFonts w:hint="default" w:ascii="Times New Roman" w:hAnsi="Times New Roman" w:eastAsia="方正仿宋_GBK" w:cs="Times New Roman"/>
                <w:i w:val="0"/>
                <w:iCs w:val="0"/>
                <w:color w:val="auto"/>
                <w:sz w:val="24"/>
                <w:szCs w:val="24"/>
                <w:highlight w:val="none"/>
                <w:u w:val="none"/>
                <w:lang w:val="en-US" w:eastAsia="zh-CN"/>
              </w:rPr>
              <w:t>%</w:t>
            </w:r>
          </w:p>
        </w:tc>
      </w:tr>
      <w:tr w14:paraId="6FF5F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E2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3</w:t>
            </w:r>
          </w:p>
        </w:tc>
        <w:tc>
          <w:tcPr>
            <w:tcW w:w="8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6F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Style w:val="21"/>
                <w:rFonts w:hint="default" w:ascii="Times New Roman" w:hAnsi="Times New Roman" w:cs="Times New Roman"/>
                <w:color w:val="auto"/>
                <w:highlight w:val="none"/>
                <w:lang w:val="en-US" w:eastAsia="zh-CN" w:bidi="ar"/>
              </w:rPr>
              <w:t>固定资产投资增长4</w:t>
            </w:r>
            <w:r>
              <w:rPr>
                <w:rStyle w:val="22"/>
                <w:rFonts w:hint="default" w:ascii="Times New Roman" w:hAnsi="Times New Roman" w:eastAsia="方正仿宋_GBK" w:cs="Times New Roman"/>
                <w:color w:val="auto"/>
                <w:highlight w:val="none"/>
                <w:lang w:val="en-US" w:eastAsia="zh-CN" w:bidi="ar"/>
              </w:rPr>
              <w:t>%</w:t>
            </w:r>
          </w:p>
        </w:tc>
      </w:tr>
      <w:tr w14:paraId="5ECAE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E7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4</w:t>
            </w:r>
          </w:p>
        </w:tc>
        <w:tc>
          <w:tcPr>
            <w:tcW w:w="8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54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lang w:val="en-US" w:eastAsia="zh-CN"/>
              </w:rPr>
            </w:pPr>
            <w:r>
              <w:rPr>
                <w:rStyle w:val="21"/>
                <w:rFonts w:hint="default" w:ascii="Times New Roman" w:hAnsi="Times New Roman" w:cs="Times New Roman"/>
                <w:color w:val="auto"/>
                <w:highlight w:val="none"/>
                <w:lang w:val="en-US" w:eastAsia="zh-CN" w:bidi="ar"/>
              </w:rPr>
              <w:t>社会消费品零售总额增长5.5%</w:t>
            </w:r>
          </w:p>
        </w:tc>
      </w:tr>
      <w:tr w14:paraId="292D8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8D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5</w:t>
            </w:r>
          </w:p>
        </w:tc>
        <w:tc>
          <w:tcPr>
            <w:tcW w:w="8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E6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lang w:val="en-US" w:eastAsia="zh-CN"/>
              </w:rPr>
            </w:pPr>
            <w:r>
              <w:rPr>
                <w:rStyle w:val="21"/>
                <w:rFonts w:hint="default" w:ascii="Times New Roman" w:hAnsi="Times New Roman" w:cs="Times New Roman"/>
                <w:color w:val="auto"/>
                <w:highlight w:val="none"/>
                <w:lang w:val="en-US" w:eastAsia="zh-CN" w:bidi="ar"/>
              </w:rPr>
              <w:t>外贸进出口总额</w:t>
            </w:r>
            <w:r>
              <w:rPr>
                <w:rStyle w:val="21"/>
                <w:rFonts w:hint="default" w:ascii="Times New Roman" w:hAnsi="Times New Roman" w:eastAsia="方正仿宋_GBK" w:cs="Times New Roman"/>
                <w:color w:val="auto"/>
                <w:highlight w:val="none"/>
                <w:lang w:val="en-US" w:eastAsia="zh-CN" w:bidi="ar"/>
              </w:rPr>
              <w:t>力争实现正增长</w:t>
            </w:r>
          </w:p>
        </w:tc>
      </w:tr>
      <w:tr w14:paraId="39794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F5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6</w:t>
            </w:r>
          </w:p>
        </w:tc>
        <w:tc>
          <w:tcPr>
            <w:tcW w:w="8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D5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Style w:val="21"/>
                <w:rFonts w:hint="default" w:ascii="Times New Roman" w:hAnsi="Times New Roman" w:cs="Times New Roman"/>
                <w:color w:val="auto"/>
                <w:highlight w:val="none"/>
                <w:lang w:val="en-US" w:eastAsia="zh-CN" w:bidi="ar"/>
              </w:rPr>
              <w:t>实际使用外资2.8亿美元</w:t>
            </w:r>
          </w:p>
        </w:tc>
      </w:tr>
      <w:tr w14:paraId="1DCD3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7C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7</w:t>
            </w:r>
          </w:p>
        </w:tc>
        <w:tc>
          <w:tcPr>
            <w:tcW w:w="8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90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1"/>
                <w:rFonts w:hint="default" w:ascii="Times New Roman" w:hAnsi="Times New Roman" w:cs="Times New Roman"/>
                <w:color w:val="auto"/>
                <w:highlight w:val="none"/>
                <w:lang w:val="en-US" w:eastAsia="zh-CN" w:bidi="ar"/>
              </w:rPr>
            </w:pPr>
            <w:r>
              <w:rPr>
                <w:rStyle w:val="21"/>
                <w:rFonts w:hint="default" w:ascii="Times New Roman" w:hAnsi="Times New Roman" w:cs="Times New Roman"/>
                <w:color w:val="auto"/>
                <w:highlight w:val="none"/>
                <w:lang w:val="en-US" w:eastAsia="zh-CN" w:bidi="ar"/>
              </w:rPr>
              <w:t>全年新增规上企业150家</w:t>
            </w:r>
          </w:p>
        </w:tc>
      </w:tr>
      <w:tr w14:paraId="6D2EE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E3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8</w:t>
            </w:r>
          </w:p>
        </w:tc>
        <w:tc>
          <w:tcPr>
            <w:tcW w:w="8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6E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高企总数达</w:t>
            </w:r>
            <w:r>
              <w:rPr>
                <w:rStyle w:val="22"/>
                <w:rFonts w:hint="default" w:ascii="Times New Roman" w:hAnsi="Times New Roman" w:eastAsia="方正仿宋_GBK" w:cs="Times New Roman"/>
                <w:color w:val="auto"/>
                <w:highlight w:val="none"/>
                <w:lang w:val="en-US" w:eastAsia="zh-CN" w:bidi="ar"/>
              </w:rPr>
              <w:t>630</w:t>
            </w:r>
            <w:r>
              <w:rPr>
                <w:rStyle w:val="21"/>
                <w:rFonts w:hint="default" w:ascii="Times New Roman" w:hAnsi="Times New Roman" w:cs="Times New Roman"/>
                <w:color w:val="auto"/>
                <w:highlight w:val="none"/>
                <w:lang w:val="en-US" w:eastAsia="zh-CN" w:bidi="ar"/>
              </w:rPr>
              <w:t>家</w:t>
            </w:r>
          </w:p>
        </w:tc>
      </w:tr>
      <w:tr w14:paraId="37666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FF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9</w:t>
            </w:r>
          </w:p>
        </w:tc>
        <w:tc>
          <w:tcPr>
            <w:tcW w:w="8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10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技术合同成交额达91亿元</w:t>
            </w:r>
          </w:p>
        </w:tc>
      </w:tr>
      <w:tr w14:paraId="7CE13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25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10</w:t>
            </w:r>
          </w:p>
        </w:tc>
        <w:tc>
          <w:tcPr>
            <w:tcW w:w="8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E9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1"/>
                <w:rFonts w:hint="default" w:ascii="Times New Roman" w:hAnsi="Times New Roman" w:cs="Times New Roman"/>
                <w:color w:val="auto"/>
                <w:highlight w:val="none"/>
                <w:lang w:val="en-US" w:eastAsia="zh-CN" w:bidi="ar"/>
              </w:rPr>
            </w:pPr>
            <w:r>
              <w:rPr>
                <w:rStyle w:val="21"/>
                <w:rFonts w:hint="default" w:ascii="Times New Roman" w:hAnsi="Times New Roman" w:cs="Times New Roman"/>
                <w:color w:val="auto"/>
                <w:highlight w:val="none"/>
                <w:lang w:val="en-US" w:eastAsia="zh-CN" w:bidi="ar"/>
              </w:rPr>
              <w:t>新研机构及孵化引进企业营收达25亿元</w:t>
            </w:r>
          </w:p>
        </w:tc>
      </w:tr>
      <w:tr w14:paraId="383C8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DF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11</w:t>
            </w:r>
          </w:p>
        </w:tc>
        <w:tc>
          <w:tcPr>
            <w:tcW w:w="8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19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1"/>
                <w:rFonts w:hint="default" w:ascii="Times New Roman" w:hAnsi="Times New Roman" w:cs="Times New Roman"/>
                <w:color w:val="auto"/>
                <w:highlight w:val="none"/>
                <w:lang w:val="en-US" w:eastAsia="zh-CN" w:bidi="ar"/>
              </w:rPr>
            </w:pPr>
            <w:r>
              <w:rPr>
                <w:rStyle w:val="21"/>
                <w:rFonts w:hint="default" w:ascii="Times New Roman" w:hAnsi="Times New Roman" w:cs="Times New Roman"/>
                <w:color w:val="auto"/>
                <w:highlight w:val="none"/>
                <w:lang w:val="en-US" w:eastAsia="zh-CN" w:bidi="ar"/>
              </w:rPr>
              <w:t>新增省级以上专精特新企业15家</w:t>
            </w:r>
          </w:p>
        </w:tc>
      </w:tr>
      <w:tr w14:paraId="19484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22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12</w:t>
            </w:r>
          </w:p>
        </w:tc>
        <w:tc>
          <w:tcPr>
            <w:tcW w:w="8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20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新增省级以上重点人才</w:t>
            </w:r>
            <w:r>
              <w:rPr>
                <w:rStyle w:val="22"/>
                <w:rFonts w:hint="default" w:ascii="Times New Roman" w:hAnsi="Times New Roman" w:eastAsia="方正仿宋_GBK" w:cs="Times New Roman"/>
                <w:color w:val="auto"/>
                <w:highlight w:val="none"/>
                <w:lang w:val="en-US" w:eastAsia="zh-CN" w:bidi="ar"/>
              </w:rPr>
              <w:t>20</w:t>
            </w:r>
            <w:r>
              <w:rPr>
                <w:rStyle w:val="21"/>
                <w:rFonts w:hint="default" w:ascii="Times New Roman" w:hAnsi="Times New Roman" w:cs="Times New Roman"/>
                <w:color w:val="auto"/>
                <w:highlight w:val="none"/>
                <w:lang w:val="en-US" w:eastAsia="zh-CN" w:bidi="ar"/>
              </w:rPr>
              <w:t>人</w:t>
            </w:r>
          </w:p>
        </w:tc>
      </w:tr>
      <w:tr w14:paraId="5329A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67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13</w:t>
            </w:r>
          </w:p>
        </w:tc>
        <w:tc>
          <w:tcPr>
            <w:tcW w:w="8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00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2"/>
                <w:sz w:val="24"/>
                <w:szCs w:val="24"/>
                <w:highlight w:val="none"/>
                <w:u w:val="none"/>
                <w:lang w:val="en-US" w:eastAsia="zh-CN" w:bidi="ar-SA"/>
              </w:rPr>
              <w:t>工业战略性新兴产业总产值占工业总产值比重达60%</w:t>
            </w:r>
          </w:p>
        </w:tc>
      </w:tr>
      <w:tr w14:paraId="4CB8F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FC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14</w:t>
            </w:r>
          </w:p>
        </w:tc>
        <w:tc>
          <w:tcPr>
            <w:tcW w:w="8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99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居民人均可支配收入与经济增长基本同步</w:t>
            </w:r>
          </w:p>
        </w:tc>
      </w:tr>
      <w:tr w14:paraId="1D32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9B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15</w:t>
            </w:r>
          </w:p>
        </w:tc>
        <w:tc>
          <w:tcPr>
            <w:tcW w:w="8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A7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城镇新增就业人数</w:t>
            </w:r>
            <w:r>
              <w:rPr>
                <w:rStyle w:val="22"/>
                <w:rFonts w:hint="default" w:ascii="Times New Roman" w:hAnsi="Times New Roman" w:eastAsia="方正仿宋_GBK" w:cs="Times New Roman"/>
                <w:color w:val="auto"/>
                <w:highlight w:val="none"/>
                <w:lang w:val="en-US" w:eastAsia="zh-CN" w:bidi="ar"/>
              </w:rPr>
              <w:t>2.33</w:t>
            </w:r>
            <w:r>
              <w:rPr>
                <w:rStyle w:val="21"/>
                <w:rFonts w:hint="default" w:ascii="Times New Roman" w:hAnsi="Times New Roman" w:cs="Times New Roman"/>
                <w:color w:val="auto"/>
                <w:highlight w:val="none"/>
                <w:lang w:val="en-US" w:eastAsia="zh-CN" w:bidi="ar"/>
              </w:rPr>
              <w:t>万人</w:t>
            </w:r>
          </w:p>
        </w:tc>
      </w:tr>
      <w:tr w14:paraId="4C90A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32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16</w:t>
            </w:r>
          </w:p>
        </w:tc>
        <w:tc>
          <w:tcPr>
            <w:tcW w:w="8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5D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2"/>
                <w:sz w:val="24"/>
                <w:szCs w:val="24"/>
                <w:highlight w:val="none"/>
                <w:u w:val="none"/>
                <w:lang w:val="en-US" w:eastAsia="zh-CN" w:bidi="ar-SA"/>
              </w:rPr>
              <w:t>文化产业增加值占地区生产总值比重</w:t>
            </w:r>
            <w:r>
              <w:rPr>
                <w:rFonts w:hint="eastAsia" w:ascii="Times New Roman" w:hAnsi="Times New Roman" w:eastAsia="方正仿宋_GBK" w:cs="Times New Roman"/>
                <w:i w:val="0"/>
                <w:iCs w:val="0"/>
                <w:color w:val="auto"/>
                <w:kern w:val="2"/>
                <w:sz w:val="24"/>
                <w:szCs w:val="24"/>
                <w:highlight w:val="none"/>
                <w:u w:val="none"/>
                <w:lang w:val="en-US" w:eastAsia="zh-CN" w:bidi="ar-SA"/>
              </w:rPr>
              <w:t>达</w:t>
            </w:r>
            <w:r>
              <w:rPr>
                <w:rFonts w:hint="default" w:ascii="Times New Roman" w:hAnsi="Times New Roman" w:eastAsia="方正仿宋_GBK" w:cs="Times New Roman"/>
                <w:i w:val="0"/>
                <w:iCs w:val="0"/>
                <w:color w:val="auto"/>
                <w:kern w:val="2"/>
                <w:sz w:val="24"/>
                <w:szCs w:val="24"/>
                <w:highlight w:val="none"/>
                <w:u w:val="none"/>
                <w:lang w:val="en-US" w:eastAsia="zh-CN" w:bidi="ar-SA"/>
              </w:rPr>
              <w:t>10%</w:t>
            </w:r>
            <w:r>
              <w:rPr>
                <w:rFonts w:hint="eastAsia" w:ascii="Times New Roman" w:hAnsi="Times New Roman" w:eastAsia="方正仿宋_GBK" w:cs="Times New Roman"/>
                <w:i w:val="0"/>
                <w:iCs w:val="0"/>
                <w:color w:val="auto"/>
                <w:kern w:val="2"/>
                <w:sz w:val="24"/>
                <w:szCs w:val="24"/>
                <w:highlight w:val="none"/>
                <w:u w:val="none"/>
                <w:lang w:val="en-US" w:eastAsia="zh-CN" w:bidi="ar-SA"/>
              </w:rPr>
              <w:t>以上</w:t>
            </w:r>
          </w:p>
        </w:tc>
      </w:tr>
      <w:tr w14:paraId="17884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57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17</w:t>
            </w:r>
          </w:p>
        </w:tc>
        <w:tc>
          <w:tcPr>
            <w:tcW w:w="8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25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社会文明程度指数位于主城第一方阵</w:t>
            </w:r>
          </w:p>
        </w:tc>
      </w:tr>
      <w:tr w14:paraId="0E51E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78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18</w:t>
            </w:r>
          </w:p>
        </w:tc>
        <w:tc>
          <w:tcPr>
            <w:tcW w:w="8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8D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60岁以上户籍老年人口基本养老服务体系全覆盖</w:t>
            </w:r>
          </w:p>
        </w:tc>
      </w:tr>
      <w:tr w14:paraId="78AF7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A0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19</w:t>
            </w:r>
          </w:p>
        </w:tc>
        <w:tc>
          <w:tcPr>
            <w:tcW w:w="8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4D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地表水国考断面水质达到或好于Ⅲ类水体</w:t>
            </w:r>
          </w:p>
        </w:tc>
      </w:tr>
      <w:tr w14:paraId="5F668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B0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20</w:t>
            </w:r>
          </w:p>
        </w:tc>
        <w:tc>
          <w:tcPr>
            <w:tcW w:w="8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E2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空气质量优良天数</w:t>
            </w:r>
            <w:r>
              <w:rPr>
                <w:rStyle w:val="21"/>
                <w:rFonts w:hint="eastAsia" w:ascii="Times New Roman" w:hAnsi="Times New Roman" w:cs="Times New Roman"/>
                <w:color w:val="auto"/>
                <w:highlight w:val="none"/>
                <w:lang w:val="en-US" w:eastAsia="zh-CN" w:bidi="ar"/>
              </w:rPr>
              <w:t>比率</w:t>
            </w:r>
            <w:r>
              <w:rPr>
                <w:rStyle w:val="21"/>
                <w:rFonts w:hint="default" w:ascii="Times New Roman" w:hAnsi="Times New Roman" w:cs="Times New Roman"/>
                <w:color w:val="auto"/>
                <w:highlight w:val="none"/>
                <w:lang w:val="en-US" w:eastAsia="zh-CN" w:bidi="ar"/>
              </w:rPr>
              <w:t>与</w:t>
            </w:r>
            <w:r>
              <w:rPr>
                <w:rStyle w:val="22"/>
                <w:rFonts w:hint="default" w:ascii="Times New Roman" w:hAnsi="Times New Roman" w:eastAsia="方正仿宋_GBK" w:cs="Times New Roman"/>
                <w:color w:val="auto"/>
                <w:highlight w:val="none"/>
                <w:lang w:val="en-US" w:eastAsia="zh-CN" w:bidi="ar"/>
              </w:rPr>
              <w:t>PM2.5</w:t>
            </w:r>
            <w:r>
              <w:rPr>
                <w:rStyle w:val="21"/>
                <w:rFonts w:hint="default" w:ascii="Times New Roman" w:hAnsi="Times New Roman" w:cs="Times New Roman"/>
                <w:color w:val="auto"/>
                <w:highlight w:val="none"/>
                <w:lang w:val="en-US" w:eastAsia="zh-CN" w:bidi="ar"/>
              </w:rPr>
              <w:t>年均浓度达省定目标</w:t>
            </w:r>
          </w:p>
        </w:tc>
      </w:tr>
      <w:tr w14:paraId="1A357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60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lang w:val="en-US" w:eastAsia="zh-CN"/>
              </w:rPr>
            </w:pPr>
            <w:r>
              <w:rPr>
                <w:rFonts w:hint="default" w:ascii="Times New Roman" w:hAnsi="Times New Roman" w:eastAsia="方正仿宋_GBK" w:cs="Times New Roman"/>
                <w:i w:val="0"/>
                <w:iCs w:val="0"/>
                <w:color w:val="auto"/>
                <w:sz w:val="24"/>
                <w:szCs w:val="24"/>
                <w:highlight w:val="none"/>
                <w:u w:val="none"/>
                <w:lang w:val="en-US" w:eastAsia="zh-CN"/>
              </w:rPr>
              <w:t>21</w:t>
            </w:r>
          </w:p>
        </w:tc>
        <w:tc>
          <w:tcPr>
            <w:tcW w:w="8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8F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安全生产形势持续稳定向好，加强风险管控和隐患治理，确保不发生较大以上生产安全事故和火灾事故</w:t>
            </w:r>
          </w:p>
        </w:tc>
      </w:tr>
      <w:tr w14:paraId="33100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3E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黑体_GBK" w:cs="Times New Roman"/>
                <w:i w:val="0"/>
                <w:iCs w:val="0"/>
                <w:color w:val="auto"/>
                <w:sz w:val="24"/>
                <w:szCs w:val="24"/>
                <w:highlight w:val="none"/>
                <w:u w:val="none"/>
              </w:rPr>
            </w:pPr>
            <w:r>
              <w:rPr>
                <w:rFonts w:hint="default" w:ascii="Times New Roman" w:hAnsi="Times New Roman" w:eastAsia="方正黑体_GBK" w:cs="Times New Roman"/>
                <w:i w:val="0"/>
                <w:iCs w:val="0"/>
                <w:color w:val="auto"/>
                <w:kern w:val="0"/>
                <w:sz w:val="24"/>
                <w:szCs w:val="24"/>
                <w:highlight w:val="none"/>
                <w:u w:val="none"/>
                <w:lang w:val="en-US" w:eastAsia="zh-CN" w:bidi="ar"/>
              </w:rPr>
              <w:t>二、重点任务</w:t>
            </w:r>
          </w:p>
        </w:tc>
      </w:tr>
      <w:tr w14:paraId="4FA59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5B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楷体_GBK" w:cs="Times New Roman"/>
                <w:i w:val="0"/>
                <w:iCs w:val="0"/>
                <w:color w:val="auto"/>
                <w:sz w:val="24"/>
                <w:szCs w:val="24"/>
                <w:highlight w:val="none"/>
                <w:u w:val="none"/>
              </w:rPr>
            </w:pPr>
            <w:r>
              <w:rPr>
                <w:rFonts w:hint="default" w:ascii="Times New Roman" w:hAnsi="Times New Roman" w:eastAsia="方正楷体_GBK" w:cs="Times New Roman"/>
                <w:i w:val="0"/>
                <w:iCs w:val="0"/>
                <w:color w:val="auto"/>
                <w:kern w:val="0"/>
                <w:sz w:val="24"/>
                <w:szCs w:val="24"/>
                <w:highlight w:val="none"/>
                <w:u w:val="none"/>
                <w:lang w:val="en-US" w:eastAsia="zh-CN" w:bidi="ar"/>
              </w:rPr>
              <w:t>(一) 聚焦稳进提质，巩固经济回升向好态势</w:t>
            </w:r>
          </w:p>
        </w:tc>
      </w:tr>
      <w:tr w14:paraId="013B1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E7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楷体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1、完善统筹调度机制</w:t>
            </w:r>
          </w:p>
        </w:tc>
      </w:tr>
      <w:tr w14:paraId="1B987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B9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22</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4AA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持续优化经济一体化统筹调度机制，进一步强化工作专班和小组在推进产业发展中的牵头作用</w:t>
            </w:r>
          </w:p>
        </w:tc>
      </w:tr>
      <w:tr w14:paraId="62731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80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23</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55C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增设大健康、人力资源、交通运输产业推进小组，充分发挥生产性服务业对经济发展的保障作用</w:t>
            </w:r>
          </w:p>
        </w:tc>
      </w:tr>
      <w:tr w14:paraId="1CC8E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0D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24</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7ED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统筹汇集综合经济部门、行业监管部门及各类涉企运营数据</w:t>
            </w:r>
          </w:p>
        </w:tc>
      </w:tr>
      <w:tr w14:paraId="05AB3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C2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lang w:val="en-US" w:eastAsia="zh-CN"/>
              </w:rPr>
            </w:pPr>
            <w:r>
              <w:rPr>
                <w:rFonts w:hint="default" w:ascii="Times New Roman" w:hAnsi="Times New Roman" w:eastAsia="方正仿宋_GBK" w:cs="Times New Roman"/>
                <w:i w:val="0"/>
                <w:iCs w:val="0"/>
                <w:color w:val="auto"/>
                <w:sz w:val="24"/>
                <w:szCs w:val="24"/>
                <w:highlight w:val="none"/>
                <w:u w:val="none"/>
                <w:lang w:val="en-US" w:eastAsia="zh-CN"/>
              </w:rPr>
              <w:t>25</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F8E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积极落实《南京市关于四上企业培育工作的意见》，立足秦淮实际完善规上企业培育和发展政策</w:t>
            </w:r>
          </w:p>
        </w:tc>
      </w:tr>
      <w:tr w14:paraId="21B96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487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21"/>
                <w:rFonts w:hint="default" w:ascii="Times New Roman" w:hAnsi="Times New Roman" w:cs="Times New Roman"/>
                <w:color w:val="auto"/>
                <w:highlight w:val="none"/>
                <w:lang w:val="en-US" w:eastAsia="zh-CN" w:bidi="ar"/>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2、提高重大项目支撑力</w:t>
            </w:r>
          </w:p>
        </w:tc>
      </w:tr>
      <w:tr w14:paraId="12F4D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26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26</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474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推动新华社地块挂牌出让，力争开工建设</w:t>
            </w:r>
          </w:p>
        </w:tc>
      </w:tr>
      <w:tr w14:paraId="434BD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1C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27</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C0D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sz w:val="24"/>
                <w:szCs w:val="24"/>
                <w:highlight w:val="none"/>
                <w:u w:val="none"/>
              </w:rPr>
              <w:t>华熙健康华东总部、天安数码城三期等项目开工建设</w:t>
            </w:r>
          </w:p>
        </w:tc>
      </w:tr>
      <w:tr w14:paraId="43EFB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E5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28</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A4E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sz w:val="24"/>
                <w:szCs w:val="24"/>
                <w:highlight w:val="none"/>
                <w:u w:val="none"/>
              </w:rPr>
              <w:t>力争万锦汇、省中医院科教大楼、银城国际医疗健康城、首建中心等项目开复工</w:t>
            </w:r>
          </w:p>
        </w:tc>
      </w:tr>
      <w:tr w14:paraId="71AC1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BE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29</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E52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sz w:val="24"/>
                <w:szCs w:val="24"/>
                <w:highlight w:val="none"/>
                <w:u w:val="none"/>
              </w:rPr>
              <w:t>确保门西数字生活街区、金陵中环、数字经济创新园等项目按时完工</w:t>
            </w:r>
          </w:p>
        </w:tc>
      </w:tr>
      <w:tr w14:paraId="7E0C3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E2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30</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4664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lang w:val="en-US" w:eastAsia="zh-CN"/>
              </w:rPr>
            </w:pPr>
            <w:r>
              <w:rPr>
                <w:rFonts w:hint="default" w:ascii="Times New Roman" w:hAnsi="Times New Roman" w:eastAsia="方正仿宋_GBK" w:cs="Times New Roman"/>
                <w:i w:val="0"/>
                <w:iCs w:val="0"/>
                <w:color w:val="auto"/>
                <w:sz w:val="24"/>
                <w:szCs w:val="24"/>
                <w:highlight w:val="none"/>
                <w:u w:val="none"/>
              </w:rPr>
              <w:t>云锦四季府、润淮府等住宅项目</w:t>
            </w:r>
            <w:r>
              <w:rPr>
                <w:rFonts w:hint="eastAsia" w:ascii="Times New Roman" w:hAnsi="Times New Roman" w:eastAsia="方正仿宋_GBK" w:cs="Times New Roman"/>
                <w:i w:val="0"/>
                <w:iCs w:val="0"/>
                <w:color w:val="auto"/>
                <w:sz w:val="24"/>
                <w:szCs w:val="24"/>
                <w:highlight w:val="none"/>
                <w:u w:val="none"/>
                <w:lang w:eastAsia="zh-CN"/>
              </w:rPr>
              <w:t>完工</w:t>
            </w:r>
          </w:p>
        </w:tc>
      </w:tr>
      <w:tr w14:paraId="4F319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C9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31</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3C7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sz w:val="24"/>
                <w:szCs w:val="24"/>
                <w:highlight w:val="none"/>
                <w:u w:val="none"/>
              </w:rPr>
              <w:t>盘活江苏万邦总部基地与研发中心、大校场路39号电信地块、长乐路132号等存量低效用地</w:t>
            </w:r>
          </w:p>
        </w:tc>
      </w:tr>
      <w:tr w14:paraId="42C2C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06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eastAsia" w:ascii="Times New Roman" w:hAnsi="Times New Roman" w:eastAsia="方正仿宋_GBK" w:cs="Times New Roman"/>
                <w:i w:val="0"/>
                <w:iCs w:val="0"/>
                <w:color w:val="auto"/>
                <w:kern w:val="2"/>
                <w:sz w:val="24"/>
                <w:szCs w:val="24"/>
                <w:highlight w:val="none"/>
                <w:u w:val="none"/>
                <w:lang w:val="en-US" w:eastAsia="zh-CN" w:bidi="ar-SA"/>
              </w:rPr>
              <w:t>32</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C8F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sz w:val="24"/>
                <w:szCs w:val="24"/>
                <w:highlight w:val="none"/>
                <w:u w:val="none"/>
              </w:rPr>
              <w:t>深化南京名人馆及配套、弘学路、牌楼郑家营等项目的规划研究</w:t>
            </w:r>
          </w:p>
        </w:tc>
      </w:tr>
      <w:tr w14:paraId="7C26A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20B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3、提高招商引资含金量</w:t>
            </w:r>
          </w:p>
        </w:tc>
      </w:tr>
      <w:tr w14:paraId="7B068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25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lang w:val="en-US"/>
              </w:rPr>
            </w:pPr>
            <w:r>
              <w:rPr>
                <w:rFonts w:hint="default" w:ascii="Times New Roman" w:hAnsi="Times New Roman" w:eastAsia="方正仿宋_GBK" w:cs="Times New Roman"/>
                <w:i w:val="0"/>
                <w:iCs w:val="0"/>
                <w:color w:val="auto"/>
                <w:kern w:val="0"/>
                <w:sz w:val="24"/>
                <w:szCs w:val="24"/>
                <w:highlight w:val="none"/>
                <w:u w:val="none"/>
                <w:lang w:val="en-US" w:eastAsia="zh-CN" w:bidi="ar"/>
              </w:rPr>
              <w:t>33</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B6F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出台区城招商引资一体化实施办法，</w:t>
            </w:r>
            <w:r>
              <w:rPr>
                <w:rStyle w:val="21"/>
                <w:rFonts w:hint="default" w:ascii="Times New Roman" w:hAnsi="Times New Roman" w:cs="Times New Roman"/>
                <w:color w:val="auto"/>
                <w:highlight w:val="none"/>
                <w:lang w:val="en-US" w:eastAsia="zh-CN" w:bidi="ar"/>
              </w:rPr>
              <w:t>深入推进区城资源聚合、力量整合、政策融合</w:t>
            </w:r>
          </w:p>
        </w:tc>
      </w:tr>
      <w:tr w14:paraId="70475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DC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lang w:val="en-US" w:eastAsia="zh-CN"/>
              </w:rPr>
            </w:pPr>
            <w:r>
              <w:rPr>
                <w:rFonts w:hint="eastAsia" w:ascii="Times New Roman" w:hAnsi="Times New Roman" w:eastAsia="方正仿宋_GBK" w:cs="Times New Roman"/>
                <w:i w:val="0"/>
                <w:iCs w:val="0"/>
                <w:color w:val="auto"/>
                <w:sz w:val="24"/>
                <w:szCs w:val="24"/>
                <w:highlight w:val="none"/>
                <w:u w:val="none"/>
                <w:lang w:val="en-US" w:eastAsia="zh-CN"/>
              </w:rPr>
              <w:t>34</w:t>
            </w:r>
          </w:p>
        </w:tc>
        <w:tc>
          <w:tcPr>
            <w:tcW w:w="8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6D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Style w:val="21"/>
                <w:rFonts w:hint="default" w:ascii="Times New Roman" w:hAnsi="Times New Roman" w:cs="Times New Roman"/>
                <w:color w:val="auto"/>
                <w:highlight w:val="none"/>
                <w:lang w:val="en-US" w:eastAsia="zh-CN" w:bidi="ar"/>
              </w:rPr>
              <w:t>加快推进国际金融中心、报业大厦、友谊商务大厦等</w:t>
            </w:r>
            <w:r>
              <w:rPr>
                <w:rStyle w:val="22"/>
                <w:rFonts w:hint="default" w:ascii="Times New Roman" w:hAnsi="Times New Roman" w:eastAsia="方正仿宋_GBK" w:cs="Times New Roman"/>
                <w:color w:val="auto"/>
                <w:highlight w:val="none"/>
                <w:lang w:val="en-US" w:eastAsia="zh-CN" w:bidi="ar"/>
              </w:rPr>
              <w:t>10</w:t>
            </w:r>
            <w:r>
              <w:rPr>
                <w:rStyle w:val="21"/>
                <w:rFonts w:hint="default" w:ascii="Times New Roman" w:hAnsi="Times New Roman" w:cs="Times New Roman"/>
                <w:color w:val="auto"/>
                <w:highlight w:val="none"/>
                <w:lang w:val="en-US" w:eastAsia="zh-CN" w:bidi="ar"/>
              </w:rPr>
              <w:t>个楼宇（园区）改造项目，提升商务载体品质</w:t>
            </w:r>
          </w:p>
        </w:tc>
      </w:tr>
      <w:tr w14:paraId="558B5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05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35</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652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Style w:val="21"/>
                <w:rFonts w:hint="default" w:ascii="Times New Roman" w:hAnsi="Times New Roman" w:cs="Times New Roman"/>
                <w:color w:val="auto"/>
                <w:highlight w:val="none"/>
                <w:lang w:val="en-US" w:eastAsia="zh-CN" w:bidi="ar"/>
              </w:rPr>
              <w:t>举办招商推介活动</w:t>
            </w:r>
            <w:r>
              <w:rPr>
                <w:rStyle w:val="22"/>
                <w:rFonts w:hint="default" w:ascii="Times New Roman" w:hAnsi="Times New Roman" w:eastAsia="方正仿宋_GBK" w:cs="Times New Roman"/>
                <w:color w:val="auto"/>
                <w:highlight w:val="none"/>
                <w:lang w:val="en-US" w:eastAsia="zh-CN" w:bidi="ar"/>
              </w:rPr>
              <w:t>40</w:t>
            </w:r>
            <w:r>
              <w:rPr>
                <w:rStyle w:val="21"/>
                <w:rFonts w:hint="default" w:ascii="Times New Roman" w:hAnsi="Times New Roman" w:cs="Times New Roman"/>
                <w:color w:val="auto"/>
                <w:highlight w:val="none"/>
                <w:lang w:val="en-US" w:eastAsia="zh-CN" w:bidi="ar"/>
              </w:rPr>
              <w:t>场</w:t>
            </w:r>
          </w:p>
        </w:tc>
      </w:tr>
      <w:tr w14:paraId="6DE3F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A7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36</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C8B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引进有质量项目不少于</w:t>
            </w:r>
            <w:r>
              <w:rPr>
                <w:rStyle w:val="22"/>
                <w:rFonts w:hint="default" w:ascii="Times New Roman" w:hAnsi="Times New Roman" w:eastAsia="方正仿宋_GBK" w:cs="Times New Roman"/>
                <w:color w:val="auto"/>
                <w:highlight w:val="none"/>
                <w:lang w:val="en-US" w:eastAsia="zh-CN" w:bidi="ar"/>
              </w:rPr>
              <w:t>100</w:t>
            </w:r>
            <w:r>
              <w:rPr>
                <w:rStyle w:val="21"/>
                <w:rFonts w:hint="default" w:ascii="Times New Roman" w:hAnsi="Times New Roman" w:cs="Times New Roman"/>
                <w:color w:val="auto"/>
                <w:highlight w:val="none"/>
                <w:lang w:val="en-US" w:eastAsia="zh-CN" w:bidi="ar"/>
              </w:rPr>
              <w:t>个</w:t>
            </w:r>
          </w:p>
        </w:tc>
      </w:tr>
      <w:tr w14:paraId="7BB4E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7F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37</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F3F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实际利用内资</w:t>
            </w:r>
            <w:r>
              <w:rPr>
                <w:rStyle w:val="22"/>
                <w:rFonts w:hint="default" w:ascii="Times New Roman" w:hAnsi="Times New Roman" w:eastAsia="方正仿宋_GBK" w:cs="Times New Roman"/>
                <w:color w:val="auto"/>
                <w:highlight w:val="none"/>
                <w:lang w:val="en-US" w:eastAsia="zh-CN" w:bidi="ar"/>
              </w:rPr>
              <w:t>100</w:t>
            </w:r>
            <w:r>
              <w:rPr>
                <w:rStyle w:val="21"/>
                <w:rFonts w:hint="default" w:ascii="Times New Roman" w:hAnsi="Times New Roman" w:cs="Times New Roman"/>
                <w:color w:val="auto"/>
                <w:highlight w:val="none"/>
                <w:lang w:val="en-US" w:eastAsia="zh-CN" w:bidi="ar"/>
              </w:rPr>
              <w:t>亿元</w:t>
            </w:r>
          </w:p>
        </w:tc>
      </w:tr>
      <w:tr w14:paraId="68905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98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楷体_GBK" w:cs="Times New Roman"/>
                <w:i w:val="0"/>
                <w:iCs w:val="0"/>
                <w:color w:val="auto"/>
                <w:sz w:val="24"/>
                <w:szCs w:val="24"/>
                <w:highlight w:val="none"/>
                <w:u w:val="none"/>
              </w:rPr>
            </w:pPr>
            <w:r>
              <w:rPr>
                <w:rFonts w:hint="default" w:ascii="Times New Roman" w:hAnsi="Times New Roman" w:eastAsia="方正楷体_GBK" w:cs="Times New Roman"/>
                <w:i w:val="0"/>
                <w:iCs w:val="0"/>
                <w:color w:val="auto"/>
                <w:kern w:val="0"/>
                <w:sz w:val="24"/>
                <w:szCs w:val="24"/>
                <w:highlight w:val="none"/>
                <w:u w:val="none"/>
                <w:lang w:val="en-US" w:eastAsia="zh-CN" w:bidi="ar"/>
              </w:rPr>
              <w:t>(二) 聚焦实体经济，加快构建现代化产业体系</w:t>
            </w:r>
          </w:p>
        </w:tc>
      </w:tr>
      <w:tr w14:paraId="5DE4D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4B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楷体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1、做强优势产业规模</w:t>
            </w:r>
          </w:p>
        </w:tc>
      </w:tr>
      <w:tr w14:paraId="63EE9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A7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auto"/>
                <w:kern w:val="0"/>
                <w:sz w:val="24"/>
                <w:szCs w:val="24"/>
                <w:highlight w:val="none"/>
                <w:u w:val="none"/>
                <w:lang w:val="en-US" w:eastAsia="zh-CN" w:bidi="ar"/>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（1）商务商贸业</w:t>
            </w:r>
          </w:p>
        </w:tc>
      </w:tr>
      <w:tr w14:paraId="4CBB4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A9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lang w:val="en-US" w:eastAsia="zh-CN"/>
              </w:rPr>
            </w:pPr>
            <w:r>
              <w:rPr>
                <w:rFonts w:hint="eastAsia" w:ascii="Times New Roman" w:hAnsi="Times New Roman" w:eastAsia="方正仿宋_GBK" w:cs="Times New Roman"/>
                <w:i w:val="0"/>
                <w:iCs w:val="0"/>
                <w:color w:val="auto"/>
                <w:sz w:val="24"/>
                <w:szCs w:val="24"/>
                <w:highlight w:val="none"/>
                <w:u w:val="none"/>
                <w:lang w:val="en-US" w:eastAsia="zh-CN"/>
              </w:rPr>
              <w:t>38</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44F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持续推进国际消费中心城市核心区、服务贸易创新发展先导区建设</w:t>
            </w:r>
          </w:p>
        </w:tc>
      </w:tr>
      <w:tr w14:paraId="2AEB7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B2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39</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7D0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提升新街口、夫子庙等重点商圈能级，深化新街口智慧商圈建设</w:t>
            </w:r>
          </w:p>
        </w:tc>
      </w:tr>
      <w:tr w14:paraId="5F6B0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B0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40</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CE4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Style w:val="21"/>
                <w:rFonts w:hint="default" w:ascii="Times New Roman" w:hAnsi="Times New Roman" w:cs="Times New Roman"/>
                <w:color w:val="auto"/>
                <w:highlight w:val="none"/>
                <w:lang w:val="en-US" w:eastAsia="zh-CN" w:bidi="ar"/>
              </w:rPr>
              <w:t>新增国内外高端消费品牌首店、旗舰店、形象店</w:t>
            </w:r>
            <w:r>
              <w:rPr>
                <w:rStyle w:val="22"/>
                <w:rFonts w:hint="default" w:ascii="Times New Roman" w:hAnsi="Times New Roman" w:eastAsia="方正仿宋_GBK" w:cs="Times New Roman"/>
                <w:color w:val="auto"/>
                <w:highlight w:val="none"/>
                <w:lang w:val="en-US" w:eastAsia="zh-CN" w:bidi="ar"/>
              </w:rPr>
              <w:t>60</w:t>
            </w:r>
            <w:r>
              <w:rPr>
                <w:rStyle w:val="21"/>
                <w:rFonts w:hint="default" w:ascii="Times New Roman" w:hAnsi="Times New Roman" w:cs="Times New Roman"/>
                <w:color w:val="auto"/>
                <w:highlight w:val="none"/>
                <w:lang w:val="en-US" w:eastAsia="zh-CN" w:bidi="ar"/>
              </w:rPr>
              <w:t>家</w:t>
            </w:r>
          </w:p>
        </w:tc>
      </w:tr>
      <w:tr w14:paraId="25EFB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3E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41</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6E8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Style w:val="21"/>
                <w:rFonts w:hint="default" w:ascii="Times New Roman" w:hAnsi="Times New Roman" w:cs="Times New Roman"/>
                <w:color w:val="auto"/>
                <w:highlight w:val="none"/>
                <w:lang w:val="en-US" w:eastAsia="zh-CN" w:bidi="ar"/>
              </w:rPr>
              <w:t>省级以上服务贸易重点企业达超</w:t>
            </w:r>
            <w:r>
              <w:rPr>
                <w:rStyle w:val="22"/>
                <w:rFonts w:hint="default" w:ascii="Times New Roman" w:hAnsi="Times New Roman" w:eastAsia="方正仿宋_GBK" w:cs="Times New Roman"/>
                <w:color w:val="auto"/>
                <w:highlight w:val="none"/>
                <w:lang w:val="en-US" w:eastAsia="zh-CN" w:bidi="ar"/>
              </w:rPr>
              <w:t>15</w:t>
            </w:r>
            <w:r>
              <w:rPr>
                <w:rStyle w:val="21"/>
                <w:rFonts w:hint="default" w:ascii="Times New Roman" w:hAnsi="Times New Roman" w:cs="Times New Roman"/>
                <w:color w:val="auto"/>
                <w:highlight w:val="none"/>
                <w:lang w:val="en-US" w:eastAsia="zh-CN" w:bidi="ar"/>
              </w:rPr>
              <w:t>家</w:t>
            </w:r>
          </w:p>
        </w:tc>
      </w:tr>
      <w:tr w14:paraId="719B2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99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42</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D7A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新增销售额亿元以上商贸企业</w:t>
            </w:r>
            <w:r>
              <w:rPr>
                <w:rStyle w:val="22"/>
                <w:rFonts w:hint="default" w:ascii="Times New Roman" w:hAnsi="Times New Roman" w:eastAsia="方正仿宋_GBK" w:cs="Times New Roman"/>
                <w:color w:val="auto"/>
                <w:highlight w:val="none"/>
                <w:lang w:val="en-US" w:eastAsia="zh-CN" w:bidi="ar"/>
              </w:rPr>
              <w:t>10</w:t>
            </w:r>
            <w:r>
              <w:rPr>
                <w:rStyle w:val="21"/>
                <w:rFonts w:hint="default" w:ascii="Times New Roman" w:hAnsi="Times New Roman" w:cs="Times New Roman"/>
                <w:color w:val="auto"/>
                <w:highlight w:val="none"/>
                <w:lang w:val="en-US" w:eastAsia="zh-CN" w:bidi="ar"/>
              </w:rPr>
              <w:t>家</w:t>
            </w:r>
          </w:p>
        </w:tc>
      </w:tr>
      <w:tr w14:paraId="52157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8C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43</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6E5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限上贸易额增长</w:t>
            </w:r>
            <w:r>
              <w:rPr>
                <w:rStyle w:val="22"/>
                <w:rFonts w:hint="default" w:ascii="Times New Roman" w:hAnsi="Times New Roman" w:eastAsia="方正仿宋_GBK" w:cs="Times New Roman"/>
                <w:color w:val="auto"/>
                <w:highlight w:val="none"/>
                <w:lang w:val="en-US" w:eastAsia="zh-CN" w:bidi="ar"/>
              </w:rPr>
              <w:t>5%</w:t>
            </w:r>
          </w:p>
        </w:tc>
      </w:tr>
      <w:tr w14:paraId="3AE76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DC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44</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3F7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实施外贸主体倍增计划，力争年均新增出口企业</w:t>
            </w:r>
            <w:r>
              <w:rPr>
                <w:rStyle w:val="22"/>
                <w:rFonts w:hint="default" w:ascii="Times New Roman" w:hAnsi="Times New Roman" w:eastAsia="方正仿宋_GBK" w:cs="Times New Roman"/>
                <w:color w:val="auto"/>
                <w:highlight w:val="none"/>
                <w:lang w:val="en-US" w:eastAsia="zh-CN" w:bidi="ar"/>
              </w:rPr>
              <w:t>150</w:t>
            </w:r>
            <w:r>
              <w:rPr>
                <w:rStyle w:val="21"/>
                <w:rFonts w:hint="default" w:ascii="Times New Roman" w:hAnsi="Times New Roman" w:cs="Times New Roman"/>
                <w:color w:val="auto"/>
                <w:highlight w:val="none"/>
                <w:lang w:val="en-US" w:eastAsia="zh-CN" w:bidi="ar"/>
              </w:rPr>
              <w:t>家</w:t>
            </w:r>
          </w:p>
        </w:tc>
      </w:tr>
      <w:tr w14:paraId="1F397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DB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45</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62F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出台跨境电商产业发展资金奖励办法，重点打造</w:t>
            </w:r>
            <w:r>
              <w:rPr>
                <w:rStyle w:val="21"/>
                <w:rFonts w:hint="eastAsia" w:ascii="Times New Roman" w:hAnsi="Times New Roman" w:cs="Times New Roman"/>
                <w:color w:val="auto"/>
                <w:highlight w:val="none"/>
                <w:lang w:val="en-US" w:eastAsia="zh-CN" w:bidi="ar"/>
              </w:rPr>
              <w:t>4</w:t>
            </w:r>
            <w:r>
              <w:rPr>
                <w:rStyle w:val="21"/>
                <w:rFonts w:hint="default" w:ascii="Times New Roman" w:hAnsi="Times New Roman" w:cs="Times New Roman"/>
                <w:color w:val="auto"/>
                <w:highlight w:val="none"/>
                <w:lang w:val="en-US" w:eastAsia="zh-CN" w:bidi="ar"/>
              </w:rPr>
              <w:t>家跨境电商产业园区，实现跨境电商业务增长</w:t>
            </w:r>
            <w:r>
              <w:rPr>
                <w:rStyle w:val="22"/>
                <w:rFonts w:hint="default" w:ascii="Times New Roman" w:hAnsi="Times New Roman" w:eastAsia="方正仿宋_GBK" w:cs="Times New Roman"/>
                <w:color w:val="auto"/>
                <w:highlight w:val="none"/>
                <w:lang w:val="en-US" w:eastAsia="zh-CN" w:bidi="ar"/>
              </w:rPr>
              <w:t>30%</w:t>
            </w:r>
            <w:r>
              <w:rPr>
                <w:rStyle w:val="21"/>
                <w:rFonts w:hint="default" w:ascii="Times New Roman" w:hAnsi="Times New Roman" w:cs="Times New Roman"/>
                <w:color w:val="auto"/>
                <w:highlight w:val="none"/>
                <w:lang w:val="en-US" w:eastAsia="zh-CN" w:bidi="ar"/>
              </w:rPr>
              <w:t>以上</w:t>
            </w:r>
          </w:p>
        </w:tc>
      </w:tr>
      <w:tr w14:paraId="605FA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CAB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21"/>
                <w:rFonts w:hint="default" w:ascii="Times New Roman" w:hAnsi="Times New Roman" w:cs="Times New Roman"/>
                <w:color w:val="auto"/>
                <w:highlight w:val="none"/>
                <w:lang w:val="en-US" w:eastAsia="zh-CN" w:bidi="ar"/>
              </w:rPr>
            </w:pPr>
            <w:r>
              <w:rPr>
                <w:rStyle w:val="21"/>
                <w:rFonts w:hint="default" w:ascii="Times New Roman" w:hAnsi="Times New Roman" w:eastAsia="方正仿宋_GBK" w:cs="Times New Roman"/>
                <w:b/>
                <w:bCs/>
                <w:color w:val="auto"/>
                <w:highlight w:val="none"/>
                <w:lang w:val="en-US" w:eastAsia="zh-CN" w:bidi="ar"/>
              </w:rPr>
              <w:t>（2）现代金融业</w:t>
            </w:r>
          </w:p>
        </w:tc>
      </w:tr>
      <w:tr w14:paraId="690E7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9A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lang w:val="en-US" w:eastAsia="zh-CN"/>
              </w:rPr>
            </w:pPr>
            <w:r>
              <w:rPr>
                <w:rFonts w:hint="eastAsia" w:ascii="Times New Roman" w:hAnsi="Times New Roman" w:eastAsia="方正仿宋_GBK" w:cs="Times New Roman"/>
                <w:i w:val="0"/>
                <w:iCs w:val="0"/>
                <w:color w:val="auto"/>
                <w:sz w:val="24"/>
                <w:szCs w:val="24"/>
                <w:highlight w:val="none"/>
                <w:u w:val="none"/>
                <w:lang w:val="en-US" w:eastAsia="zh-CN"/>
              </w:rPr>
              <w:t>46</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4E3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加快资产管理集聚区打造，完成汇鸿汇升</w:t>
            </w:r>
            <w:r>
              <w:rPr>
                <w:rStyle w:val="22"/>
                <w:rFonts w:hint="default" w:ascii="Times New Roman" w:hAnsi="Times New Roman" w:eastAsia="方正仿宋_GBK" w:cs="Times New Roman"/>
                <w:color w:val="auto"/>
                <w:highlight w:val="none"/>
                <w:lang w:val="en-US" w:eastAsia="zh-CN" w:bidi="ar"/>
              </w:rPr>
              <w:t>QDLP</w:t>
            </w:r>
            <w:r>
              <w:rPr>
                <w:rStyle w:val="21"/>
                <w:rFonts w:hint="default" w:ascii="Times New Roman" w:hAnsi="Times New Roman" w:cs="Times New Roman"/>
                <w:color w:val="auto"/>
                <w:highlight w:val="none"/>
                <w:lang w:val="en-US" w:eastAsia="zh-CN" w:bidi="ar"/>
              </w:rPr>
              <w:t>基金资金募集和落地发行</w:t>
            </w:r>
          </w:p>
        </w:tc>
      </w:tr>
      <w:tr w14:paraId="389D9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3D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47</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D58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深入推进知识产权金融服务，知识产权质押融资总额超</w:t>
            </w:r>
            <w:r>
              <w:rPr>
                <w:rStyle w:val="22"/>
                <w:rFonts w:hint="default" w:ascii="Times New Roman" w:hAnsi="Times New Roman" w:eastAsia="方正仿宋_GBK" w:cs="Times New Roman"/>
                <w:color w:val="auto"/>
                <w:highlight w:val="none"/>
                <w:lang w:val="en-US" w:eastAsia="zh-CN" w:bidi="ar"/>
              </w:rPr>
              <w:t>3</w:t>
            </w:r>
            <w:r>
              <w:rPr>
                <w:rStyle w:val="21"/>
                <w:rFonts w:hint="default" w:ascii="Times New Roman" w:hAnsi="Times New Roman" w:cs="Times New Roman"/>
                <w:color w:val="auto"/>
                <w:highlight w:val="none"/>
                <w:lang w:val="en-US" w:eastAsia="zh-CN" w:bidi="ar"/>
              </w:rPr>
              <w:t>亿元</w:t>
            </w:r>
          </w:p>
        </w:tc>
      </w:tr>
      <w:tr w14:paraId="73D54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2A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48</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ED1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依托长三角资产配置联盟，举办各类资产配置高峰论坛和活动，形成私募基金和资管机构的集聚生态</w:t>
            </w:r>
          </w:p>
        </w:tc>
      </w:tr>
      <w:tr w14:paraId="54E56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FF7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49</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175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支持南银法巴发展，带动消费金融规模突破</w:t>
            </w:r>
            <w:r>
              <w:rPr>
                <w:rStyle w:val="22"/>
                <w:rFonts w:hint="default" w:ascii="Times New Roman" w:hAnsi="Times New Roman" w:eastAsia="方正仿宋_GBK" w:cs="Times New Roman"/>
                <w:color w:val="auto"/>
                <w:highlight w:val="none"/>
                <w:lang w:val="en-US" w:eastAsia="zh-CN" w:bidi="ar"/>
              </w:rPr>
              <w:t>500</w:t>
            </w:r>
            <w:r>
              <w:rPr>
                <w:rStyle w:val="21"/>
                <w:rFonts w:hint="default" w:ascii="Times New Roman" w:hAnsi="Times New Roman" w:cs="Times New Roman"/>
                <w:color w:val="auto"/>
                <w:highlight w:val="none"/>
                <w:lang w:val="en-US" w:eastAsia="zh-CN" w:bidi="ar"/>
              </w:rPr>
              <w:t>亿元</w:t>
            </w:r>
          </w:p>
        </w:tc>
      </w:tr>
      <w:tr w14:paraId="67136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CE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50</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5AE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全年新增各类金融机构</w:t>
            </w:r>
            <w:r>
              <w:rPr>
                <w:rStyle w:val="22"/>
                <w:rFonts w:hint="default" w:ascii="Times New Roman" w:hAnsi="Times New Roman" w:eastAsia="方正仿宋_GBK" w:cs="Times New Roman"/>
                <w:color w:val="auto"/>
                <w:highlight w:val="none"/>
                <w:lang w:val="en-US" w:eastAsia="zh-CN" w:bidi="ar"/>
              </w:rPr>
              <w:t>15</w:t>
            </w:r>
            <w:r>
              <w:rPr>
                <w:rStyle w:val="21"/>
                <w:rFonts w:hint="default" w:ascii="Times New Roman" w:hAnsi="Times New Roman" w:cs="Times New Roman"/>
                <w:color w:val="auto"/>
                <w:highlight w:val="none"/>
                <w:lang w:val="en-US" w:eastAsia="zh-CN" w:bidi="ar"/>
              </w:rPr>
              <w:t>家</w:t>
            </w:r>
          </w:p>
        </w:tc>
      </w:tr>
      <w:tr w14:paraId="5E2A7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A6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51</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A32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持续开展</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金融惠企</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系列服务活动，推进省市政策性普惠金融产品增量扩面</w:t>
            </w:r>
          </w:p>
        </w:tc>
      </w:tr>
      <w:tr w14:paraId="3769F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A9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52</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E08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江苏省综合金融服务平台</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和</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南京市民营企业转贷基金</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授信规模超</w:t>
            </w:r>
            <w:r>
              <w:rPr>
                <w:rStyle w:val="22"/>
                <w:rFonts w:hint="default" w:ascii="Times New Roman" w:hAnsi="Times New Roman" w:eastAsia="方正仿宋_GBK" w:cs="Times New Roman"/>
                <w:color w:val="auto"/>
                <w:highlight w:val="none"/>
                <w:lang w:val="en-US" w:eastAsia="zh-CN" w:bidi="ar"/>
              </w:rPr>
              <w:t>50</w:t>
            </w:r>
            <w:r>
              <w:rPr>
                <w:rStyle w:val="21"/>
                <w:rFonts w:hint="default" w:ascii="Times New Roman" w:hAnsi="Times New Roman" w:cs="Times New Roman"/>
                <w:color w:val="auto"/>
                <w:highlight w:val="none"/>
                <w:lang w:val="en-US" w:eastAsia="zh-CN" w:bidi="ar"/>
              </w:rPr>
              <w:t>亿元</w:t>
            </w:r>
          </w:p>
        </w:tc>
      </w:tr>
      <w:tr w14:paraId="73E1A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C1F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22"/>
                <w:rFonts w:hint="default" w:ascii="Times New Roman" w:hAnsi="Times New Roman" w:eastAsia="方正仿宋_GBK" w:cs="Times New Roman"/>
                <w:color w:val="auto"/>
                <w:highlight w:val="none"/>
                <w:lang w:val="en-US" w:eastAsia="zh-CN" w:bidi="ar"/>
              </w:rPr>
            </w:pPr>
            <w:r>
              <w:rPr>
                <w:rStyle w:val="22"/>
                <w:rFonts w:hint="default" w:ascii="Times New Roman" w:hAnsi="Times New Roman" w:eastAsia="方正仿宋_GBK" w:cs="Times New Roman"/>
                <w:b/>
                <w:bCs/>
                <w:color w:val="auto"/>
                <w:highlight w:val="none"/>
                <w:lang w:val="en-US" w:eastAsia="zh-CN" w:bidi="ar"/>
              </w:rPr>
              <w:t>（3）文化旅游业</w:t>
            </w:r>
          </w:p>
        </w:tc>
      </w:tr>
      <w:tr w14:paraId="079DA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36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lang w:val="en-US" w:eastAsia="zh-CN"/>
              </w:rPr>
            </w:pPr>
            <w:r>
              <w:rPr>
                <w:rFonts w:hint="eastAsia" w:ascii="Times New Roman" w:hAnsi="Times New Roman" w:eastAsia="方正仿宋_GBK" w:cs="Times New Roman"/>
                <w:i w:val="0"/>
                <w:iCs w:val="0"/>
                <w:color w:val="auto"/>
                <w:sz w:val="24"/>
                <w:szCs w:val="24"/>
                <w:highlight w:val="none"/>
                <w:u w:val="none"/>
                <w:lang w:val="en-US" w:eastAsia="zh-CN"/>
              </w:rPr>
              <w:t>53</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8DB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发挥国家级文化产业示范园区带动作用，</w:t>
            </w:r>
            <w:r>
              <w:rPr>
                <w:rFonts w:hint="default" w:ascii="Times New Roman" w:hAnsi="Times New Roman" w:eastAsia="方正仿宋_GBK" w:cs="Times New Roman"/>
                <w:i w:val="0"/>
                <w:iCs w:val="0"/>
                <w:color w:val="auto"/>
                <w:kern w:val="0"/>
                <w:sz w:val="24"/>
                <w:szCs w:val="24"/>
                <w:highlight w:val="none"/>
                <w:u w:val="none"/>
                <w:lang w:val="en-US" w:eastAsia="zh-CN" w:bidi="ar"/>
              </w:rPr>
              <w:t>旅游总收入力争突破800亿元</w:t>
            </w:r>
          </w:p>
        </w:tc>
      </w:tr>
      <w:tr w14:paraId="77480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36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54</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B6E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对龙头文旅企业和文旅细分产业领域创新性企业加大招引和扶持力度，建设完善高质量的文旅产业生态圈</w:t>
            </w:r>
          </w:p>
        </w:tc>
      </w:tr>
      <w:tr w14:paraId="19B76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2B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55</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E4D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加快科举博物馆二期、内秦淮河西五华里文旅商主题街区等文旅项目建设</w:t>
            </w:r>
          </w:p>
        </w:tc>
      </w:tr>
      <w:tr w14:paraId="5E411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38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56</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69A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推进夫子庙、门东、熙南里等片区的业态梯度更新，推动历史风貌焕新重生、文化遗产活态呈现、产业发展深度融合</w:t>
            </w:r>
          </w:p>
        </w:tc>
      </w:tr>
      <w:tr w14:paraId="0D306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908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（4）软件和信息服务业</w:t>
            </w:r>
          </w:p>
        </w:tc>
      </w:tr>
      <w:tr w14:paraId="69BF9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3F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lang w:val="en-US" w:eastAsia="zh-CN"/>
              </w:rPr>
            </w:pPr>
            <w:r>
              <w:rPr>
                <w:rFonts w:hint="eastAsia" w:ascii="Times New Roman" w:hAnsi="Times New Roman" w:eastAsia="方正仿宋_GBK" w:cs="Times New Roman"/>
                <w:i w:val="0"/>
                <w:iCs w:val="0"/>
                <w:color w:val="auto"/>
                <w:sz w:val="24"/>
                <w:szCs w:val="24"/>
                <w:highlight w:val="none"/>
                <w:u w:val="none"/>
                <w:lang w:val="en-US" w:eastAsia="zh-CN"/>
              </w:rPr>
              <w:t>57</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75F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巩固扩大通信、智能交通等行业应用软件的领先优势，充分发挥江苏号百、天翼云等重点企业带动作用，持续巩固电信服务、云计算等优势业务</w:t>
            </w:r>
          </w:p>
        </w:tc>
      </w:tr>
      <w:tr w14:paraId="0A92F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35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58</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805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加速推进工业云服务、智慧城市等数字化生产和数字化治理，</w:t>
            </w:r>
            <w:r>
              <w:rPr>
                <w:rStyle w:val="21"/>
                <w:rFonts w:hint="default" w:ascii="Times New Roman" w:hAnsi="Times New Roman" w:cs="Times New Roman"/>
                <w:color w:val="auto"/>
                <w:highlight w:val="none"/>
                <w:lang w:val="en-US" w:eastAsia="zh-CN" w:bidi="ar"/>
              </w:rPr>
              <w:t>形成一批典型数字经济应用场景和示范应用项目，全年发布应用场景不少于</w:t>
            </w:r>
            <w:r>
              <w:rPr>
                <w:rStyle w:val="22"/>
                <w:rFonts w:hint="default" w:ascii="Times New Roman" w:hAnsi="Times New Roman" w:eastAsia="方正仿宋_GBK" w:cs="Times New Roman"/>
                <w:color w:val="auto"/>
                <w:highlight w:val="none"/>
                <w:lang w:val="en-US" w:eastAsia="zh-CN" w:bidi="ar"/>
              </w:rPr>
              <w:t>50</w:t>
            </w:r>
            <w:r>
              <w:rPr>
                <w:rStyle w:val="21"/>
                <w:rFonts w:hint="default" w:ascii="Times New Roman" w:hAnsi="Times New Roman" w:cs="Times New Roman"/>
                <w:color w:val="auto"/>
                <w:highlight w:val="none"/>
                <w:lang w:val="en-US" w:eastAsia="zh-CN" w:bidi="ar"/>
              </w:rPr>
              <w:t>个</w:t>
            </w:r>
          </w:p>
        </w:tc>
      </w:tr>
      <w:tr w14:paraId="0DAC4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4EA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59</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8A5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软件和信息服务业营收达</w:t>
            </w:r>
            <w:r>
              <w:rPr>
                <w:rStyle w:val="22"/>
                <w:rFonts w:hint="default" w:ascii="Times New Roman" w:hAnsi="Times New Roman" w:eastAsia="方正仿宋_GBK" w:cs="Times New Roman"/>
                <w:color w:val="auto"/>
                <w:highlight w:val="none"/>
                <w:lang w:val="en-US" w:eastAsia="zh-CN" w:bidi="ar"/>
              </w:rPr>
              <w:t>610</w:t>
            </w:r>
            <w:r>
              <w:rPr>
                <w:rStyle w:val="21"/>
                <w:rFonts w:hint="default" w:ascii="Times New Roman" w:hAnsi="Times New Roman" w:cs="Times New Roman"/>
                <w:color w:val="auto"/>
                <w:highlight w:val="none"/>
                <w:lang w:val="en-US" w:eastAsia="zh-CN" w:bidi="ar"/>
              </w:rPr>
              <w:t>亿元</w:t>
            </w:r>
          </w:p>
        </w:tc>
      </w:tr>
      <w:tr w14:paraId="1536A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4D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60</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C89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支持龙头骨干企业对标智能制造领先水平，培育创建一批示范引领作用强、综合效益显著的智能车间</w:t>
            </w:r>
          </w:p>
        </w:tc>
      </w:tr>
      <w:tr w14:paraId="3374F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55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61</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D2A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全区实施</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智改数转</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项目的规上工业企业覆盖率达</w:t>
            </w:r>
            <w:r>
              <w:rPr>
                <w:rStyle w:val="22"/>
                <w:rFonts w:hint="default" w:ascii="Times New Roman" w:hAnsi="Times New Roman" w:eastAsia="方正仿宋_GBK" w:cs="Times New Roman"/>
                <w:color w:val="auto"/>
                <w:highlight w:val="none"/>
                <w:lang w:val="en-US" w:eastAsia="zh-CN" w:bidi="ar"/>
              </w:rPr>
              <w:t>100%</w:t>
            </w:r>
          </w:p>
        </w:tc>
      </w:tr>
      <w:tr w14:paraId="51C85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EA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62</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C3A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规上工业企业实施免费诊断实现全覆盖</w:t>
            </w:r>
          </w:p>
        </w:tc>
      </w:tr>
      <w:tr w14:paraId="1BD4C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FBF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2、做优新兴产业能级</w:t>
            </w:r>
          </w:p>
        </w:tc>
      </w:tr>
      <w:tr w14:paraId="4D231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23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lang w:val="en-US" w:eastAsia="zh-CN"/>
              </w:rPr>
            </w:pPr>
            <w:r>
              <w:rPr>
                <w:rFonts w:hint="eastAsia" w:ascii="Times New Roman" w:hAnsi="Times New Roman" w:eastAsia="方正仿宋_GBK" w:cs="Times New Roman"/>
                <w:i w:val="0"/>
                <w:iCs w:val="0"/>
                <w:color w:val="auto"/>
                <w:sz w:val="24"/>
                <w:szCs w:val="24"/>
                <w:highlight w:val="none"/>
                <w:u w:val="none"/>
                <w:lang w:val="en-US" w:eastAsia="zh-CN"/>
              </w:rPr>
              <w:t>63</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E27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以白下高新区和悦动</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新门西为双核心，发挥联通物联、天翼物联两大物联网龙头效应，整合产业链上下游优势资源，产业规模达260亿元</w:t>
            </w:r>
          </w:p>
        </w:tc>
      </w:tr>
      <w:tr w14:paraId="0FD2F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04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64</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59B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依托秦淮省级车联网先导区建设基础，努力打造南部新城高级别自动驾驶示范区</w:t>
            </w:r>
          </w:p>
        </w:tc>
      </w:tr>
      <w:tr w14:paraId="692AE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5C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65</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882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探索经济合理的车路协同解决路径，实现白下高新区产业集聚区、南部新城中央商务区、南京南站交通枢纽区</w:t>
            </w:r>
            <w:r>
              <w:rPr>
                <w:rStyle w:val="22"/>
                <w:rFonts w:hint="default" w:ascii="Times New Roman" w:hAnsi="Times New Roman" w:eastAsia="方正仿宋_GBK" w:cs="Times New Roman"/>
                <w:color w:val="auto"/>
                <w:highlight w:val="none"/>
                <w:lang w:val="en-US" w:eastAsia="zh-CN" w:bidi="ar"/>
              </w:rPr>
              <w:t>20</w:t>
            </w:r>
            <w:r>
              <w:rPr>
                <w:rStyle w:val="21"/>
                <w:rFonts w:hint="default" w:ascii="Times New Roman" w:hAnsi="Times New Roman" w:cs="Times New Roman"/>
                <w:color w:val="auto"/>
                <w:highlight w:val="none"/>
                <w:lang w:val="en-US" w:eastAsia="zh-CN" w:bidi="ar"/>
              </w:rPr>
              <w:t>平方公里范围内</w:t>
            </w:r>
            <w:r>
              <w:rPr>
                <w:rStyle w:val="22"/>
                <w:rFonts w:hint="default" w:ascii="Times New Roman" w:hAnsi="Times New Roman" w:eastAsia="方正仿宋_GBK" w:cs="Times New Roman"/>
                <w:color w:val="auto"/>
                <w:highlight w:val="none"/>
                <w:lang w:val="en-US" w:eastAsia="zh-CN" w:bidi="ar"/>
              </w:rPr>
              <w:t>L4</w:t>
            </w:r>
            <w:r>
              <w:rPr>
                <w:rStyle w:val="21"/>
                <w:rFonts w:hint="default" w:ascii="Times New Roman" w:hAnsi="Times New Roman" w:cs="Times New Roman"/>
                <w:color w:val="auto"/>
                <w:highlight w:val="none"/>
                <w:lang w:val="en-US" w:eastAsia="zh-CN" w:bidi="ar"/>
              </w:rPr>
              <w:t>及以上、协同决策与控制的高级别自动驾驶规模化运行</w:t>
            </w:r>
          </w:p>
        </w:tc>
      </w:tr>
      <w:tr w14:paraId="00466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1C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66</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710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利用百度等国内数据型龙头企业上下游吸附能力，集聚一批车联网相关企业</w:t>
            </w:r>
          </w:p>
        </w:tc>
      </w:tr>
      <w:tr w14:paraId="6ADFD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F5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67</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A85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大力发展航空航天产业，全年产业收入达195亿元</w:t>
            </w:r>
          </w:p>
        </w:tc>
      </w:tr>
      <w:tr w14:paraId="2F4A6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59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68</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969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提前谋划人工智能、大健康、元宇宙、新型储能等未来产业布局</w:t>
            </w:r>
          </w:p>
        </w:tc>
      </w:tr>
      <w:tr w14:paraId="05CA2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A53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楷体_GBK" w:cs="Times New Roman"/>
                <w:i w:val="0"/>
                <w:iCs w:val="0"/>
                <w:color w:val="auto"/>
                <w:kern w:val="0"/>
                <w:sz w:val="24"/>
                <w:szCs w:val="24"/>
                <w:highlight w:val="none"/>
                <w:u w:val="none"/>
                <w:lang w:val="en-US" w:eastAsia="zh-CN" w:bidi="ar"/>
              </w:rPr>
              <w:t>（三）聚焦创新为胜，夯实科技自立自强根基</w:t>
            </w:r>
          </w:p>
        </w:tc>
      </w:tr>
      <w:tr w14:paraId="44FD6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9AE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楷体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1、深化科技体制综合改革</w:t>
            </w:r>
          </w:p>
        </w:tc>
      </w:tr>
      <w:tr w14:paraId="6D2A0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42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eastAsia" w:ascii="Times New Roman" w:hAnsi="Times New Roman" w:eastAsia="方正仿宋_GBK" w:cs="Times New Roman"/>
                <w:i w:val="0"/>
                <w:iCs w:val="0"/>
                <w:color w:val="auto"/>
                <w:kern w:val="2"/>
                <w:sz w:val="24"/>
                <w:szCs w:val="24"/>
                <w:highlight w:val="none"/>
                <w:u w:val="none"/>
                <w:lang w:val="en-US" w:eastAsia="zh-CN" w:bidi="ar-SA"/>
              </w:rPr>
              <w:t>69</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53D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优化搭建企业、高校、科研院所等创新主体有效协同平台，建立以产业集群领航企业为龙头、高新技术企业为主体、专精特新企业为支撑的发展矩阵</w:t>
            </w:r>
          </w:p>
        </w:tc>
      </w:tr>
      <w:tr w14:paraId="72A8F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00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70</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C2C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加快白下高新区新一轮跨越发展</w:t>
            </w:r>
          </w:p>
        </w:tc>
      </w:tr>
      <w:tr w14:paraId="7B515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1B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2"/>
                <w:sz w:val="24"/>
                <w:szCs w:val="24"/>
                <w:highlight w:val="none"/>
                <w:u w:val="none"/>
                <w:lang w:val="en-US" w:eastAsia="zh-CN" w:bidi="ar-SA"/>
              </w:rPr>
              <w:t>71</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A38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依托东南大学国家技术转移秦淮分中心，推动重点产业关键核心技术突破</w:t>
            </w:r>
          </w:p>
        </w:tc>
      </w:tr>
      <w:tr w14:paraId="4BA6B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AD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72</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F9C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发布一批最新科研成果项目和应用场景，促进重大科技成果转移转化</w:t>
            </w:r>
          </w:p>
        </w:tc>
      </w:tr>
      <w:tr w14:paraId="416BE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BE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73</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D3E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鼓励企业引进国内外行业领先技术，加大研发投入，加快研发平台软硬件升级，加强</w:t>
            </w:r>
            <w:r>
              <w:rPr>
                <w:rFonts w:hint="default" w:ascii="Times New Roman" w:hAnsi="Times New Roman" w:eastAsia="方正仿宋_GBK" w:cs="Times New Roman"/>
                <w:i w:val="0"/>
                <w:iCs w:val="0"/>
                <w:color w:val="auto"/>
                <w:kern w:val="0"/>
                <w:sz w:val="24"/>
                <w:szCs w:val="24"/>
                <w:highlight w:val="none"/>
                <w:u w:val="none"/>
                <w:lang w:val="en-US" w:eastAsia="zh-CN" w:bidi="ar"/>
              </w:rPr>
              <w:fldChar w:fldCharType="begin"/>
            </w:r>
            <w:r>
              <w:rPr>
                <w:rFonts w:hint="default" w:ascii="Times New Roman" w:hAnsi="Times New Roman" w:eastAsia="方正仿宋_GBK" w:cs="Times New Roman"/>
                <w:i w:val="0"/>
                <w:iCs w:val="0"/>
                <w:color w:val="auto"/>
                <w:kern w:val="0"/>
                <w:sz w:val="24"/>
                <w:szCs w:val="24"/>
                <w:highlight w:val="none"/>
                <w:u w:val="none"/>
                <w:lang w:val="en-US" w:eastAsia="zh-CN" w:bidi="ar"/>
              </w:rPr>
              <w:instrText xml:space="preserve"> HYPERLINK "https://zhidao.baidu.com/search?word=%E5%8D%9A%E5%A3%AB%E5%90%8E%E7%A7%91%E7%A0%94%E5%B7%A5%E4%BD%9C%E7%AB%99&amp;fr=iknow_pc_qb_highlight" </w:instrText>
            </w:r>
            <w:r>
              <w:rPr>
                <w:rFonts w:hint="default" w:ascii="Times New Roman" w:hAnsi="Times New Roman" w:eastAsia="方正仿宋_GBK" w:cs="Times New Roman"/>
                <w:i w:val="0"/>
                <w:iCs w:val="0"/>
                <w:color w:val="auto"/>
                <w:kern w:val="0"/>
                <w:sz w:val="24"/>
                <w:szCs w:val="24"/>
                <w:highlight w:val="none"/>
                <w:u w:val="none"/>
                <w:lang w:val="en-US" w:eastAsia="zh-CN" w:bidi="ar"/>
              </w:rPr>
              <w:fldChar w:fldCharType="separate"/>
            </w:r>
            <w:r>
              <w:rPr>
                <w:rFonts w:hint="default" w:ascii="Times New Roman" w:hAnsi="Times New Roman" w:eastAsia="方正仿宋_GBK" w:cs="Times New Roman"/>
                <w:i w:val="0"/>
                <w:iCs w:val="0"/>
                <w:color w:val="auto"/>
                <w:kern w:val="0"/>
                <w:sz w:val="24"/>
                <w:szCs w:val="24"/>
                <w:highlight w:val="none"/>
                <w:u w:val="none"/>
                <w:lang w:val="en-US" w:eastAsia="zh-CN" w:bidi="ar"/>
              </w:rPr>
              <w:t>博士后科研工作站</w:t>
            </w:r>
            <w:r>
              <w:rPr>
                <w:rFonts w:hint="default" w:ascii="Times New Roman" w:hAnsi="Times New Roman" w:eastAsia="方正仿宋_GBK" w:cs="Times New Roman"/>
                <w:i w:val="0"/>
                <w:iCs w:val="0"/>
                <w:color w:val="auto"/>
                <w:kern w:val="0"/>
                <w:sz w:val="24"/>
                <w:szCs w:val="24"/>
                <w:highlight w:val="none"/>
                <w:u w:val="none"/>
                <w:lang w:val="en-US" w:eastAsia="zh-CN" w:bidi="ar"/>
              </w:rPr>
              <w:fldChar w:fldCharType="end"/>
            </w:r>
            <w:r>
              <w:rPr>
                <w:rFonts w:hint="default" w:ascii="Times New Roman" w:hAnsi="Times New Roman" w:eastAsia="方正仿宋_GBK" w:cs="Times New Roman"/>
                <w:i w:val="0"/>
                <w:iCs w:val="0"/>
                <w:color w:val="auto"/>
                <w:kern w:val="0"/>
                <w:sz w:val="24"/>
                <w:szCs w:val="24"/>
                <w:highlight w:val="none"/>
                <w:u w:val="none"/>
                <w:lang w:val="en-US" w:eastAsia="zh-CN" w:bidi="ar"/>
              </w:rPr>
              <w:t>、院士工作站和研究生工作站建设</w:t>
            </w:r>
          </w:p>
        </w:tc>
      </w:tr>
      <w:tr w14:paraId="1C385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AA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74</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3F1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推进省级知识产权示范区建设，实施新研机构分级分类管理，有效发明专利拥有量达</w:t>
            </w:r>
            <w:r>
              <w:rPr>
                <w:rStyle w:val="22"/>
                <w:rFonts w:hint="default" w:ascii="Times New Roman" w:hAnsi="Times New Roman" w:eastAsia="方正仿宋_GBK" w:cs="Times New Roman"/>
                <w:color w:val="auto"/>
                <w:highlight w:val="none"/>
                <w:lang w:val="en-US" w:eastAsia="zh-CN" w:bidi="ar"/>
              </w:rPr>
              <w:t>1</w:t>
            </w:r>
            <w:r>
              <w:rPr>
                <w:rStyle w:val="22"/>
                <w:rFonts w:hint="eastAsia" w:ascii="Times New Roman" w:hAnsi="Times New Roman" w:eastAsia="方正仿宋_GBK" w:cs="Times New Roman"/>
                <w:color w:val="auto"/>
                <w:highlight w:val="none"/>
                <w:lang w:val="en-US" w:eastAsia="zh-CN" w:bidi="ar"/>
              </w:rPr>
              <w:t>3500</w:t>
            </w:r>
            <w:r>
              <w:rPr>
                <w:rStyle w:val="21"/>
                <w:rFonts w:hint="default" w:ascii="Times New Roman" w:hAnsi="Times New Roman" w:cs="Times New Roman"/>
                <w:color w:val="auto"/>
                <w:highlight w:val="none"/>
                <w:lang w:val="en-US" w:eastAsia="zh-CN" w:bidi="ar"/>
              </w:rPr>
              <w:t>件</w:t>
            </w:r>
          </w:p>
        </w:tc>
      </w:tr>
      <w:tr w14:paraId="007AA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2D53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21"/>
                <w:rFonts w:hint="default" w:ascii="Times New Roman" w:hAnsi="Times New Roman" w:cs="Times New Roman"/>
                <w:color w:val="auto"/>
                <w:highlight w:val="none"/>
                <w:lang w:val="en-US" w:eastAsia="zh-CN" w:bidi="ar"/>
              </w:rPr>
            </w:pPr>
            <w:r>
              <w:rPr>
                <w:rStyle w:val="21"/>
                <w:rFonts w:hint="default" w:ascii="Times New Roman" w:hAnsi="Times New Roman" w:eastAsia="方正仿宋_GBK" w:cs="Times New Roman"/>
                <w:b/>
                <w:bCs/>
                <w:color w:val="auto"/>
                <w:highlight w:val="none"/>
                <w:lang w:val="en-US" w:eastAsia="zh-CN" w:bidi="ar"/>
              </w:rPr>
              <w:t>2、完善企业梯度培育机制</w:t>
            </w:r>
          </w:p>
        </w:tc>
      </w:tr>
      <w:tr w14:paraId="37B5E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29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eastAsia" w:ascii="Times New Roman" w:hAnsi="Times New Roman" w:eastAsia="方正仿宋_GBK" w:cs="Times New Roman"/>
                <w:i w:val="0"/>
                <w:iCs w:val="0"/>
                <w:color w:val="auto"/>
                <w:kern w:val="2"/>
                <w:sz w:val="24"/>
                <w:szCs w:val="24"/>
                <w:highlight w:val="none"/>
                <w:u w:val="none"/>
                <w:lang w:val="en-US" w:eastAsia="zh-CN" w:bidi="ar-SA"/>
              </w:rPr>
              <w:t>75</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599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探索</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小升高</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软升高</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等培育路径，加速形成孵化基础库、科技中小库、高企种子库三大梯队</w:t>
            </w:r>
          </w:p>
        </w:tc>
      </w:tr>
      <w:tr w14:paraId="487A4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5B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76</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46B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科技型中小企业达</w:t>
            </w:r>
            <w:r>
              <w:rPr>
                <w:rStyle w:val="22"/>
                <w:rFonts w:hint="default" w:ascii="Times New Roman" w:hAnsi="Times New Roman" w:eastAsia="方正仿宋_GBK" w:cs="Times New Roman"/>
                <w:color w:val="auto"/>
                <w:highlight w:val="none"/>
                <w:lang w:val="en-US" w:eastAsia="zh-CN" w:bidi="ar"/>
              </w:rPr>
              <w:t>1400</w:t>
            </w:r>
            <w:r>
              <w:rPr>
                <w:rStyle w:val="21"/>
                <w:rFonts w:hint="default" w:ascii="Times New Roman" w:hAnsi="Times New Roman" w:cs="Times New Roman"/>
                <w:color w:val="auto"/>
                <w:highlight w:val="none"/>
                <w:lang w:val="en-US" w:eastAsia="zh-CN" w:bidi="ar"/>
              </w:rPr>
              <w:t>家</w:t>
            </w:r>
          </w:p>
        </w:tc>
      </w:tr>
      <w:tr w14:paraId="6CEDE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2D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2"/>
                <w:sz w:val="24"/>
                <w:szCs w:val="24"/>
                <w:highlight w:val="none"/>
                <w:u w:val="none"/>
                <w:lang w:val="en-US" w:eastAsia="zh-CN" w:bidi="ar-SA"/>
              </w:rPr>
              <w:t>77</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747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2"/>
                <w:sz w:val="24"/>
                <w:szCs w:val="24"/>
                <w:highlight w:val="none"/>
                <w:u w:val="none"/>
                <w:lang w:val="en-US" w:eastAsia="zh-CN" w:bidi="ar-SA"/>
              </w:rPr>
              <w:t>实现高新技术企业营业收入360亿元</w:t>
            </w:r>
          </w:p>
        </w:tc>
      </w:tr>
      <w:tr w14:paraId="2FB61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26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78</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8C7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新增市级以上工程技术研究中心、企业技术中心、工程研究中心</w:t>
            </w:r>
            <w:r>
              <w:rPr>
                <w:rStyle w:val="22"/>
                <w:rFonts w:hint="default" w:ascii="Times New Roman" w:hAnsi="Times New Roman" w:eastAsia="方正仿宋_GBK" w:cs="Times New Roman"/>
                <w:color w:val="auto"/>
                <w:highlight w:val="none"/>
                <w:lang w:val="en-US" w:eastAsia="zh-CN" w:bidi="ar"/>
              </w:rPr>
              <w:t>5</w:t>
            </w:r>
            <w:r>
              <w:rPr>
                <w:rStyle w:val="21"/>
                <w:rFonts w:hint="default" w:ascii="Times New Roman" w:hAnsi="Times New Roman" w:cs="Times New Roman"/>
                <w:color w:val="auto"/>
                <w:highlight w:val="none"/>
                <w:lang w:val="en-US" w:eastAsia="zh-CN" w:bidi="ar"/>
              </w:rPr>
              <w:t>家</w:t>
            </w:r>
          </w:p>
        </w:tc>
      </w:tr>
      <w:tr w14:paraId="34377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174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21"/>
                <w:rFonts w:hint="default" w:ascii="Times New Roman" w:hAnsi="Times New Roman" w:cs="Times New Roman"/>
                <w:color w:val="auto"/>
                <w:highlight w:val="none"/>
                <w:lang w:val="en-US" w:eastAsia="zh-CN" w:bidi="ar"/>
              </w:rPr>
            </w:pPr>
            <w:r>
              <w:rPr>
                <w:rStyle w:val="21"/>
                <w:rFonts w:hint="default" w:ascii="Times New Roman" w:hAnsi="Times New Roman" w:cs="Times New Roman"/>
                <w:b/>
                <w:bCs/>
                <w:color w:val="auto"/>
                <w:highlight w:val="none"/>
                <w:lang w:val="en-US" w:eastAsia="zh-CN" w:bidi="ar"/>
              </w:rPr>
              <w:t>3、持续加大创新要素保障</w:t>
            </w:r>
          </w:p>
        </w:tc>
      </w:tr>
      <w:tr w14:paraId="54835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99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eastAsia" w:ascii="Times New Roman" w:hAnsi="Times New Roman" w:eastAsia="方正仿宋_GBK" w:cs="Times New Roman"/>
                <w:i w:val="0"/>
                <w:iCs w:val="0"/>
                <w:color w:val="auto"/>
                <w:kern w:val="2"/>
                <w:sz w:val="24"/>
                <w:szCs w:val="24"/>
                <w:highlight w:val="none"/>
                <w:u w:val="none"/>
                <w:lang w:val="en-US" w:eastAsia="zh-CN" w:bidi="ar-SA"/>
              </w:rPr>
              <w:t>79</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E8B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进一步做实</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巷港湾园</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模式，持续放大秦淮硅巷创新发展格局</w:t>
            </w:r>
          </w:p>
        </w:tc>
      </w:tr>
      <w:tr w14:paraId="20C8E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6D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2"/>
                <w:sz w:val="24"/>
                <w:szCs w:val="24"/>
                <w:highlight w:val="none"/>
                <w:u w:val="none"/>
                <w:lang w:val="en-US" w:eastAsia="zh-CN" w:bidi="ar-SA"/>
              </w:rPr>
              <w:t>80</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008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21"/>
                <w:rFonts w:hint="default" w:ascii="Times New Roman" w:hAnsi="Times New Roman" w:cs="Times New Roman"/>
                <w:color w:val="auto"/>
                <w:highlight w:val="none"/>
                <w:lang w:val="en-US" w:eastAsia="zh-CN" w:bidi="ar"/>
              </w:rPr>
            </w:pPr>
            <w:r>
              <w:rPr>
                <w:rStyle w:val="21"/>
                <w:rFonts w:hint="default" w:ascii="Times New Roman" w:hAnsi="Times New Roman" w:cs="Times New Roman"/>
                <w:color w:val="auto"/>
                <w:highlight w:val="none"/>
                <w:lang w:val="en-US" w:eastAsia="zh-CN" w:bidi="ar"/>
              </w:rPr>
              <w:t>新增硅巷载体</w:t>
            </w:r>
            <w:r>
              <w:rPr>
                <w:rStyle w:val="22"/>
                <w:rFonts w:hint="default" w:ascii="Times New Roman" w:hAnsi="Times New Roman" w:eastAsia="方正仿宋_GBK" w:cs="Times New Roman"/>
                <w:color w:val="auto"/>
                <w:highlight w:val="none"/>
                <w:lang w:val="en-US" w:eastAsia="zh-CN" w:bidi="ar"/>
              </w:rPr>
              <w:t>10</w:t>
            </w:r>
            <w:r>
              <w:rPr>
                <w:rStyle w:val="21"/>
                <w:rFonts w:hint="default" w:ascii="Times New Roman" w:hAnsi="Times New Roman" w:cs="Times New Roman"/>
                <w:color w:val="auto"/>
                <w:highlight w:val="none"/>
                <w:lang w:val="en-US" w:eastAsia="zh-CN" w:bidi="ar"/>
              </w:rPr>
              <w:t>万平方米</w:t>
            </w:r>
          </w:p>
        </w:tc>
      </w:tr>
      <w:tr w14:paraId="468C9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AF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2"/>
                <w:sz w:val="24"/>
                <w:szCs w:val="24"/>
                <w:highlight w:val="none"/>
                <w:u w:val="none"/>
                <w:lang w:val="en-US" w:eastAsia="zh-CN" w:bidi="ar-SA"/>
              </w:rPr>
              <w:t>81</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3E0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新增市级以上科创载体</w:t>
            </w:r>
            <w:r>
              <w:rPr>
                <w:rStyle w:val="22"/>
                <w:rFonts w:hint="default" w:ascii="Times New Roman" w:hAnsi="Times New Roman" w:eastAsia="方正仿宋_GBK" w:cs="Times New Roman"/>
                <w:color w:val="auto"/>
                <w:highlight w:val="none"/>
                <w:lang w:val="en-US" w:eastAsia="zh-CN" w:bidi="ar"/>
              </w:rPr>
              <w:t>2</w:t>
            </w:r>
            <w:r>
              <w:rPr>
                <w:rStyle w:val="21"/>
                <w:rFonts w:hint="default" w:ascii="Times New Roman" w:hAnsi="Times New Roman" w:cs="Times New Roman"/>
                <w:color w:val="auto"/>
                <w:highlight w:val="none"/>
                <w:lang w:val="en-US" w:eastAsia="zh-CN" w:bidi="ar"/>
              </w:rPr>
              <w:t>家、孵化器在孵企业</w:t>
            </w:r>
            <w:r>
              <w:rPr>
                <w:rStyle w:val="22"/>
                <w:rFonts w:hint="default" w:ascii="Times New Roman" w:hAnsi="Times New Roman" w:eastAsia="方正仿宋_GBK" w:cs="Times New Roman"/>
                <w:color w:val="auto"/>
                <w:highlight w:val="none"/>
                <w:lang w:val="en-US" w:eastAsia="zh-CN" w:bidi="ar"/>
              </w:rPr>
              <w:t>180</w:t>
            </w:r>
            <w:r>
              <w:rPr>
                <w:rStyle w:val="21"/>
                <w:rFonts w:hint="default" w:ascii="Times New Roman" w:hAnsi="Times New Roman" w:cs="Times New Roman"/>
                <w:color w:val="auto"/>
                <w:highlight w:val="none"/>
                <w:lang w:val="en-US" w:eastAsia="zh-CN" w:bidi="ar"/>
              </w:rPr>
              <w:t>家</w:t>
            </w:r>
          </w:p>
        </w:tc>
      </w:tr>
      <w:tr w14:paraId="3DFAA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53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82</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6D2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提升科技金融服务水平，全面深化金融机构合作</w:t>
            </w:r>
          </w:p>
        </w:tc>
      </w:tr>
      <w:tr w14:paraId="04C8A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4B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83</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C1E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落实科创金融驿站平台建设，推动科技信贷精准滴灌、增量扩面</w:t>
            </w:r>
          </w:p>
        </w:tc>
      </w:tr>
      <w:tr w14:paraId="4E932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66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84</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A3D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积极融入全球创新网络，与日本、芬兰海外协同创新中心共同开展、参与双边创新活动，培育打造国际合作基地</w:t>
            </w:r>
          </w:p>
        </w:tc>
      </w:tr>
      <w:tr w14:paraId="6C89D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E6F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楷体_GBK" w:cs="Times New Roman"/>
                <w:i w:val="0"/>
                <w:iCs w:val="0"/>
                <w:color w:val="auto"/>
                <w:sz w:val="24"/>
                <w:szCs w:val="24"/>
                <w:highlight w:val="none"/>
                <w:u w:val="none"/>
                <w:lang w:eastAsia="zh-CN"/>
              </w:rPr>
              <w:t>（四）聚焦功能品质，打造生态宜居美丽城区</w:t>
            </w:r>
          </w:p>
        </w:tc>
      </w:tr>
      <w:tr w14:paraId="4105E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EC7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楷体_GBK" w:cs="Times New Roman"/>
                <w:i w:val="0"/>
                <w:iCs w:val="0"/>
                <w:color w:val="auto"/>
                <w:sz w:val="24"/>
                <w:szCs w:val="24"/>
                <w:highlight w:val="none"/>
                <w:u w:val="none"/>
                <w:lang w:val="en-US" w:eastAsia="zh-CN"/>
              </w:rPr>
            </w:pPr>
            <w:r>
              <w:rPr>
                <w:rFonts w:hint="default" w:ascii="Times New Roman" w:hAnsi="Times New Roman" w:eastAsia="方正仿宋_GBK" w:cs="Times New Roman"/>
                <w:b/>
                <w:bCs/>
                <w:i w:val="0"/>
                <w:iCs w:val="0"/>
                <w:color w:val="auto"/>
                <w:sz w:val="24"/>
                <w:szCs w:val="24"/>
                <w:highlight w:val="none"/>
                <w:u w:val="none"/>
                <w:lang w:val="en-US" w:eastAsia="zh-CN"/>
              </w:rPr>
              <w:t>1、加快推进新城建设</w:t>
            </w:r>
          </w:p>
        </w:tc>
      </w:tr>
      <w:tr w14:paraId="271D2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66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eastAsia" w:ascii="Times New Roman" w:hAnsi="Times New Roman" w:eastAsia="方正仿宋_GBK" w:cs="Times New Roman"/>
                <w:i w:val="0"/>
                <w:iCs w:val="0"/>
                <w:color w:val="auto"/>
                <w:kern w:val="2"/>
                <w:sz w:val="24"/>
                <w:szCs w:val="24"/>
                <w:highlight w:val="none"/>
                <w:u w:val="none"/>
                <w:lang w:val="en-US" w:eastAsia="zh-CN" w:bidi="ar-SA"/>
              </w:rPr>
              <w:t>85</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559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力争启动跑道公园示范段等项目</w:t>
            </w:r>
          </w:p>
        </w:tc>
      </w:tr>
      <w:tr w14:paraId="74C1B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2C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86</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D7B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推进永乐南路社区中心、检察院业务技术大楼等项目室外施工</w:t>
            </w:r>
          </w:p>
        </w:tc>
      </w:tr>
      <w:tr w14:paraId="1532D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C8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2"/>
                <w:sz w:val="24"/>
                <w:szCs w:val="24"/>
                <w:highlight w:val="none"/>
                <w:u w:val="none"/>
                <w:lang w:val="en-US" w:eastAsia="zh-CN" w:bidi="ar-SA"/>
              </w:rPr>
              <w:t>87</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3C8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中芬合作交流中心全面完工</w:t>
            </w:r>
          </w:p>
        </w:tc>
      </w:tr>
      <w:tr w14:paraId="478A8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6A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2"/>
                <w:sz w:val="24"/>
                <w:szCs w:val="24"/>
                <w:highlight w:val="none"/>
                <w:u w:val="none"/>
                <w:lang w:val="en-US" w:eastAsia="zh-CN" w:bidi="ar-SA"/>
              </w:rPr>
              <w:t>88</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A3E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南京博物院南院加快落地</w:t>
            </w:r>
          </w:p>
        </w:tc>
      </w:tr>
      <w:tr w14:paraId="37365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0B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2"/>
                <w:sz w:val="24"/>
                <w:szCs w:val="24"/>
                <w:highlight w:val="none"/>
                <w:u w:val="none"/>
                <w:lang w:val="en-US" w:eastAsia="zh-CN" w:bidi="ar-SA"/>
              </w:rPr>
              <w:t>89</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5B1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Style w:val="21"/>
                <w:rFonts w:hint="default" w:ascii="Times New Roman" w:hAnsi="Times New Roman" w:cs="Times New Roman"/>
                <w:color w:val="auto"/>
                <w:highlight w:val="none"/>
                <w:lang w:val="en-US" w:eastAsia="zh-CN" w:bidi="ar"/>
              </w:rPr>
              <w:t>逐步推进贤文路等特色街巷建设</w:t>
            </w:r>
          </w:p>
        </w:tc>
      </w:tr>
      <w:tr w14:paraId="26613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7D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2"/>
                <w:sz w:val="24"/>
                <w:szCs w:val="24"/>
                <w:highlight w:val="none"/>
                <w:u w:val="none"/>
                <w:lang w:val="en-US" w:eastAsia="zh-CN" w:bidi="ar-SA"/>
              </w:rPr>
              <w:t>90</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4D6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rPr>
              <w:t>重点推进“零碳未来城”建设，探索创建碳中和示范区</w:t>
            </w:r>
          </w:p>
        </w:tc>
      </w:tr>
      <w:tr w14:paraId="55678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DA2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lang w:val="en-US" w:eastAsia="zh-CN"/>
              </w:rPr>
            </w:pPr>
            <w:r>
              <w:rPr>
                <w:rFonts w:hint="default" w:ascii="Times New Roman" w:hAnsi="Times New Roman" w:eastAsia="方正仿宋_GBK" w:cs="Times New Roman"/>
                <w:b/>
                <w:bCs/>
                <w:i w:val="0"/>
                <w:iCs w:val="0"/>
                <w:color w:val="auto"/>
                <w:sz w:val="24"/>
                <w:szCs w:val="24"/>
                <w:highlight w:val="none"/>
                <w:u w:val="none"/>
                <w:lang w:val="en-US" w:eastAsia="zh-CN"/>
              </w:rPr>
              <w:t>2、实施老城更新保护</w:t>
            </w:r>
          </w:p>
        </w:tc>
      </w:tr>
      <w:tr w14:paraId="4ADC3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EA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eastAsia" w:ascii="Times New Roman" w:hAnsi="Times New Roman" w:eastAsia="方正仿宋_GBK" w:cs="Times New Roman"/>
                <w:i w:val="0"/>
                <w:iCs w:val="0"/>
                <w:color w:val="auto"/>
                <w:kern w:val="2"/>
                <w:sz w:val="24"/>
                <w:szCs w:val="24"/>
                <w:highlight w:val="none"/>
                <w:u w:val="none"/>
                <w:lang w:val="en-US" w:eastAsia="zh-CN" w:bidi="ar-SA"/>
              </w:rPr>
              <w:t>91</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4DE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rPr>
              <w:t>推进征收安置，实施</w:t>
            </w:r>
            <w:r>
              <w:rPr>
                <w:rFonts w:hint="default" w:ascii="Times New Roman" w:hAnsi="Times New Roman" w:eastAsia="方正仿宋_GBK" w:cs="Times New Roman"/>
                <w:i w:val="0"/>
                <w:iCs w:val="0"/>
                <w:color w:val="auto"/>
                <w:sz w:val="24"/>
                <w:szCs w:val="24"/>
                <w:highlight w:val="none"/>
                <w:u w:val="none"/>
                <w:lang w:eastAsia="zh-CN"/>
              </w:rPr>
              <w:t>城中村</w:t>
            </w:r>
            <w:r>
              <w:rPr>
                <w:rFonts w:hint="default" w:ascii="Times New Roman" w:hAnsi="Times New Roman" w:eastAsia="方正仿宋_GBK" w:cs="Times New Roman"/>
                <w:i w:val="0"/>
                <w:iCs w:val="0"/>
                <w:color w:val="auto"/>
                <w:sz w:val="24"/>
                <w:szCs w:val="24"/>
                <w:highlight w:val="none"/>
                <w:u w:val="none"/>
              </w:rPr>
              <w:t>和危旧房改造</w:t>
            </w:r>
          </w:p>
        </w:tc>
      </w:tr>
      <w:tr w14:paraId="453D4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F8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92</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E12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sz w:val="24"/>
                <w:szCs w:val="24"/>
                <w:highlight w:val="none"/>
                <w:u w:val="none"/>
                <w:lang w:val="en-US" w:eastAsia="zh-Hans"/>
              </w:rPr>
              <w:t>全力推进小松涛巷等一批</w:t>
            </w:r>
            <w:r>
              <w:rPr>
                <w:rFonts w:hint="default" w:ascii="Times New Roman" w:hAnsi="Times New Roman" w:eastAsia="方正仿宋_GBK" w:cs="Times New Roman"/>
                <w:i w:val="0"/>
                <w:iCs w:val="0"/>
                <w:color w:val="auto"/>
                <w:sz w:val="24"/>
                <w:szCs w:val="24"/>
                <w:highlight w:val="none"/>
                <w:u w:val="none"/>
                <w:lang w:val="en-US" w:eastAsia="zh-CN"/>
              </w:rPr>
              <w:t>城市更新项目</w:t>
            </w:r>
          </w:p>
        </w:tc>
      </w:tr>
      <w:tr w14:paraId="4B9C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BC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93</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2AF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Style w:val="21"/>
                <w:rFonts w:hint="default" w:ascii="Times New Roman" w:hAnsi="Times New Roman" w:cs="Times New Roman"/>
                <w:color w:val="auto"/>
                <w:highlight w:val="none"/>
                <w:lang w:val="en-US" w:eastAsia="zh-CN" w:bidi="ar"/>
              </w:rPr>
              <w:t>高质量实施来凤小区（双塘里一片区）等</w:t>
            </w:r>
            <w:r>
              <w:rPr>
                <w:rStyle w:val="22"/>
                <w:rFonts w:hint="default" w:ascii="Times New Roman" w:hAnsi="Times New Roman" w:eastAsia="方正仿宋_GBK" w:cs="Times New Roman"/>
                <w:color w:val="auto"/>
                <w:highlight w:val="none"/>
                <w:lang w:val="en-US" w:eastAsia="zh-CN" w:bidi="ar"/>
              </w:rPr>
              <w:t>16</w:t>
            </w:r>
            <w:r>
              <w:rPr>
                <w:rStyle w:val="21"/>
                <w:rFonts w:hint="default" w:ascii="Times New Roman" w:hAnsi="Times New Roman" w:cs="Times New Roman"/>
                <w:color w:val="auto"/>
                <w:highlight w:val="none"/>
                <w:lang w:val="en-US" w:eastAsia="zh-CN" w:bidi="ar"/>
              </w:rPr>
              <w:t>个老旧小区改造项目</w:t>
            </w:r>
          </w:p>
        </w:tc>
      </w:tr>
      <w:tr w14:paraId="3CDD2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0F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94</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323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Style w:val="21"/>
                <w:rFonts w:hint="default" w:ascii="Times New Roman" w:hAnsi="Times New Roman" w:cs="Times New Roman"/>
                <w:color w:val="auto"/>
                <w:highlight w:val="none"/>
                <w:lang w:val="en-US" w:eastAsia="zh-CN" w:bidi="ar"/>
              </w:rPr>
              <w:t>完成</w:t>
            </w:r>
            <w:r>
              <w:rPr>
                <w:rStyle w:val="22"/>
                <w:rFonts w:hint="eastAsia" w:ascii="Times New Roman" w:hAnsi="Times New Roman" w:eastAsia="方正仿宋_GBK" w:cs="Times New Roman"/>
                <w:color w:val="auto"/>
                <w:highlight w:val="none"/>
                <w:lang w:val="en-US" w:eastAsia="zh-CN" w:bidi="ar"/>
              </w:rPr>
              <w:t>7</w:t>
            </w:r>
            <w:r>
              <w:rPr>
                <w:rStyle w:val="21"/>
                <w:rFonts w:hint="default" w:ascii="Times New Roman" w:hAnsi="Times New Roman" w:cs="Times New Roman"/>
                <w:color w:val="auto"/>
                <w:highlight w:val="none"/>
                <w:lang w:val="en-US" w:eastAsia="zh-CN" w:bidi="ar"/>
              </w:rPr>
              <w:t>幢危房消险</w:t>
            </w:r>
          </w:p>
        </w:tc>
      </w:tr>
      <w:tr w14:paraId="639B7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93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95</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F18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Style w:val="21"/>
                <w:rFonts w:hint="default" w:ascii="Times New Roman" w:hAnsi="Times New Roman" w:cs="Times New Roman"/>
                <w:color w:val="auto"/>
                <w:highlight w:val="none"/>
                <w:lang w:val="en-US" w:eastAsia="zh-CN" w:bidi="ar"/>
              </w:rPr>
              <w:t>建成杨庄北侧、中牌楼二期保障房31万平方米</w:t>
            </w:r>
          </w:p>
        </w:tc>
      </w:tr>
      <w:tr w14:paraId="23197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B7A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仿宋_GBK" w:cs="Times New Roman"/>
                <w:b/>
                <w:bCs/>
                <w:color w:val="auto"/>
                <w:highlight w:val="none"/>
                <w:lang w:val="en-US" w:eastAsia="zh-CN" w:bidi="ar"/>
              </w:rPr>
              <w:t>3、提升精细建管水平</w:t>
            </w:r>
          </w:p>
        </w:tc>
      </w:tr>
      <w:tr w14:paraId="014D9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AC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eastAsia" w:ascii="Times New Roman" w:hAnsi="Times New Roman" w:eastAsia="方正仿宋_GBK" w:cs="Times New Roman"/>
                <w:i w:val="0"/>
                <w:iCs w:val="0"/>
                <w:color w:val="auto"/>
                <w:kern w:val="2"/>
                <w:sz w:val="24"/>
                <w:szCs w:val="24"/>
                <w:highlight w:val="none"/>
                <w:u w:val="none"/>
                <w:lang w:val="en-US" w:eastAsia="zh-CN" w:bidi="ar-SA"/>
              </w:rPr>
              <w:t>96</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334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全力推进停车便利化工程，强化停车管理智慧化运用</w:t>
            </w:r>
          </w:p>
        </w:tc>
      </w:tr>
      <w:tr w14:paraId="35A24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54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97</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2E9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Style w:val="21"/>
                <w:rFonts w:hint="default" w:ascii="Times New Roman" w:hAnsi="Times New Roman" w:cs="Times New Roman"/>
                <w:color w:val="auto"/>
                <w:highlight w:val="none"/>
                <w:lang w:val="en-US" w:eastAsia="zh-CN" w:bidi="ar"/>
              </w:rPr>
              <w:t>建设堂子街、光华东街等社会停车场，全年新增泊位</w:t>
            </w:r>
            <w:r>
              <w:rPr>
                <w:rStyle w:val="22"/>
                <w:rFonts w:hint="default" w:ascii="Times New Roman" w:hAnsi="Times New Roman" w:eastAsia="方正仿宋_GBK" w:cs="Times New Roman"/>
                <w:color w:val="auto"/>
                <w:highlight w:val="none"/>
                <w:lang w:val="en-US" w:eastAsia="zh-CN" w:bidi="ar"/>
              </w:rPr>
              <w:t>1500</w:t>
            </w:r>
            <w:r>
              <w:rPr>
                <w:rStyle w:val="21"/>
                <w:rFonts w:hint="default" w:ascii="Times New Roman" w:hAnsi="Times New Roman" w:cs="Times New Roman"/>
                <w:color w:val="auto"/>
                <w:highlight w:val="none"/>
                <w:lang w:val="en-US" w:eastAsia="zh-CN" w:bidi="ar"/>
              </w:rPr>
              <w:t>个</w:t>
            </w:r>
          </w:p>
        </w:tc>
      </w:tr>
      <w:tr w14:paraId="010EB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3C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98</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6EE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Style w:val="21"/>
                <w:rFonts w:hint="default" w:ascii="Times New Roman" w:hAnsi="Times New Roman" w:cs="Times New Roman"/>
                <w:color w:val="auto"/>
                <w:highlight w:val="none"/>
                <w:lang w:val="en-US" w:eastAsia="zh-CN" w:bidi="ar"/>
              </w:rPr>
              <w:t>优化机械作业模式，保持主次干道机扫率</w:t>
            </w:r>
            <w:r>
              <w:rPr>
                <w:rStyle w:val="22"/>
                <w:rFonts w:hint="default" w:ascii="Times New Roman" w:hAnsi="Times New Roman" w:eastAsia="方正仿宋_GBK" w:cs="Times New Roman"/>
                <w:color w:val="auto"/>
                <w:highlight w:val="none"/>
                <w:lang w:val="en-US" w:eastAsia="zh-CN" w:bidi="ar"/>
              </w:rPr>
              <w:t>100%</w:t>
            </w:r>
          </w:p>
        </w:tc>
      </w:tr>
      <w:tr w14:paraId="5B9D4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3A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99</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4D0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Style w:val="21"/>
                <w:rFonts w:hint="default" w:ascii="Times New Roman" w:hAnsi="Times New Roman" w:cs="Times New Roman"/>
                <w:color w:val="auto"/>
                <w:highlight w:val="none"/>
                <w:lang w:val="en-US" w:eastAsia="zh-CN" w:bidi="ar"/>
              </w:rPr>
              <w:t>背街小巷周清洗率达</w:t>
            </w:r>
            <w:r>
              <w:rPr>
                <w:rStyle w:val="22"/>
                <w:rFonts w:hint="default" w:ascii="Times New Roman" w:hAnsi="Times New Roman" w:eastAsia="方正仿宋_GBK" w:cs="Times New Roman"/>
                <w:color w:val="auto"/>
                <w:highlight w:val="none"/>
                <w:lang w:val="en-US" w:eastAsia="zh-CN" w:bidi="ar"/>
              </w:rPr>
              <w:t>80%</w:t>
            </w:r>
            <w:r>
              <w:rPr>
                <w:rStyle w:val="21"/>
                <w:rFonts w:hint="default" w:ascii="Times New Roman" w:hAnsi="Times New Roman" w:cs="Times New Roman"/>
                <w:color w:val="auto"/>
                <w:highlight w:val="none"/>
                <w:lang w:val="en-US" w:eastAsia="zh-CN" w:bidi="ar"/>
              </w:rPr>
              <w:t>以上，确保道路整体清洁</w:t>
            </w:r>
          </w:p>
        </w:tc>
      </w:tr>
      <w:tr w14:paraId="38D55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0A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100</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9E8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对白下路、集庆路等道路开展平整度整治</w:t>
            </w:r>
          </w:p>
        </w:tc>
      </w:tr>
      <w:tr w14:paraId="1F083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79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101</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E1B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推动30条背街小巷整体面貌提升</w:t>
            </w:r>
          </w:p>
        </w:tc>
      </w:tr>
      <w:tr w14:paraId="5C1D3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36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102</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8C1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持续开展垃圾分类系列主题宣传活动，努力创建省级达标小区</w:t>
            </w:r>
          </w:p>
        </w:tc>
      </w:tr>
      <w:tr w14:paraId="25C41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94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103</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50F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实施富丽山庄垃圾中转站出新改造</w:t>
            </w:r>
          </w:p>
        </w:tc>
      </w:tr>
      <w:tr w14:paraId="3A8C9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04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104</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32B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垃圾分类工作综合排名继续保持主城前列</w:t>
            </w:r>
          </w:p>
        </w:tc>
      </w:tr>
      <w:tr w14:paraId="1FC51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D3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105</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DE0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Style w:val="21"/>
                <w:rFonts w:hint="default" w:ascii="Times New Roman" w:hAnsi="Times New Roman" w:cs="Times New Roman"/>
                <w:color w:val="auto"/>
                <w:highlight w:val="none"/>
                <w:lang w:val="en-US" w:eastAsia="zh-CN" w:bidi="ar"/>
              </w:rPr>
              <w:t>持续推进</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美好家园</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小区建设，打造红色物业，全力压降物业管理投诉率</w:t>
            </w:r>
          </w:p>
        </w:tc>
      </w:tr>
      <w:tr w14:paraId="490AE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E78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21"/>
                <w:rFonts w:hint="default" w:ascii="Times New Roman" w:hAnsi="Times New Roman" w:cs="Times New Roman"/>
                <w:color w:val="auto"/>
                <w:highlight w:val="none"/>
                <w:lang w:val="en-US" w:eastAsia="zh-CN" w:bidi="ar"/>
              </w:rPr>
            </w:pPr>
            <w:r>
              <w:rPr>
                <w:rStyle w:val="21"/>
                <w:rFonts w:hint="default" w:ascii="Times New Roman" w:hAnsi="Times New Roman" w:cs="Times New Roman"/>
                <w:b/>
                <w:bCs/>
                <w:color w:val="auto"/>
                <w:highlight w:val="none"/>
                <w:lang w:val="en-US" w:eastAsia="zh-CN" w:bidi="ar"/>
              </w:rPr>
              <w:t>4、守牢生态环保底线</w:t>
            </w:r>
          </w:p>
        </w:tc>
      </w:tr>
      <w:tr w14:paraId="08219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0D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eastAsia" w:ascii="Times New Roman" w:hAnsi="Times New Roman" w:eastAsia="方正仿宋_GBK" w:cs="Times New Roman"/>
                <w:i w:val="0"/>
                <w:iCs w:val="0"/>
                <w:color w:val="auto"/>
                <w:kern w:val="2"/>
                <w:sz w:val="24"/>
                <w:szCs w:val="24"/>
                <w:highlight w:val="none"/>
                <w:u w:val="none"/>
                <w:lang w:val="en-US" w:eastAsia="zh-CN" w:bidi="ar-SA"/>
              </w:rPr>
              <w:t>106</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039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深化餐饮油烟治理提升行动，推动商业综合体进一步提高油烟治理水平，实现油烟在线监控全覆盖</w:t>
            </w:r>
          </w:p>
        </w:tc>
      </w:tr>
      <w:tr w14:paraId="53128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C9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107</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97A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持续开展</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以克论净</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，加强超标路段的溯源整治</w:t>
            </w:r>
          </w:p>
        </w:tc>
      </w:tr>
      <w:tr w14:paraId="65FC4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45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108</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25B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深入排查危废固废环境安全风险隐患，实现全链条监管</w:t>
            </w:r>
          </w:p>
        </w:tc>
      </w:tr>
      <w:tr w14:paraId="7436A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30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109</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B98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实施南卫巷、中山东路（军区总院、清溪路口）、应天大街雨花路交叉段、光华路联合村176号等积淹水点整治，进一步织密筑牢防汛安全网</w:t>
            </w:r>
          </w:p>
        </w:tc>
      </w:tr>
      <w:tr w14:paraId="642FF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E0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110</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8B8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实施东风河、运粮河环境综合整治</w:t>
            </w:r>
          </w:p>
        </w:tc>
      </w:tr>
      <w:tr w14:paraId="679C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F0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111</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FF1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推进</w:t>
            </w:r>
            <w:r>
              <w:rPr>
                <w:rStyle w:val="22"/>
                <w:rFonts w:hint="default" w:ascii="Times New Roman" w:hAnsi="Times New Roman" w:eastAsia="方正仿宋_GBK" w:cs="Times New Roman"/>
                <w:color w:val="auto"/>
                <w:highlight w:val="none"/>
                <w:lang w:val="en-US" w:eastAsia="zh-CN" w:bidi="ar"/>
              </w:rPr>
              <w:t>25</w:t>
            </w:r>
            <w:r>
              <w:rPr>
                <w:rStyle w:val="21"/>
                <w:rFonts w:hint="default" w:ascii="Times New Roman" w:hAnsi="Times New Roman" w:cs="Times New Roman"/>
                <w:color w:val="auto"/>
                <w:highlight w:val="none"/>
                <w:lang w:val="en-US" w:eastAsia="zh-CN" w:bidi="ar"/>
              </w:rPr>
              <w:t>个片区雨污水管网清疏修缮，巩固污水处理提质增效成果</w:t>
            </w:r>
          </w:p>
        </w:tc>
      </w:tr>
      <w:tr w14:paraId="62F2A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EB4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21"/>
                <w:rFonts w:hint="default" w:ascii="Times New Roman" w:hAnsi="Times New Roman" w:cs="Times New Roman"/>
                <w:color w:val="auto"/>
                <w:highlight w:val="none"/>
                <w:lang w:val="en-US" w:eastAsia="zh-CN" w:bidi="ar"/>
              </w:rPr>
            </w:pPr>
            <w:r>
              <w:rPr>
                <w:rFonts w:hint="default" w:ascii="Times New Roman" w:hAnsi="Times New Roman" w:eastAsia="方正楷体_GBK" w:cs="Times New Roman"/>
                <w:i w:val="0"/>
                <w:iCs w:val="0"/>
                <w:color w:val="auto"/>
                <w:kern w:val="0"/>
                <w:sz w:val="24"/>
                <w:szCs w:val="24"/>
                <w:highlight w:val="none"/>
                <w:u w:val="none"/>
                <w:lang w:val="en-US" w:eastAsia="zh-CN" w:bidi="ar"/>
              </w:rPr>
              <w:t>（五）聚焦群众期盼，切实办好惠民利民工程</w:t>
            </w:r>
          </w:p>
        </w:tc>
      </w:tr>
      <w:tr w14:paraId="163E4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F92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楷体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1、更加突出就业优先导向</w:t>
            </w:r>
          </w:p>
        </w:tc>
      </w:tr>
      <w:tr w14:paraId="38562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87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eastAsia" w:ascii="Times New Roman" w:hAnsi="Times New Roman" w:eastAsia="方正仿宋_GBK" w:cs="Times New Roman"/>
                <w:i w:val="0"/>
                <w:iCs w:val="0"/>
                <w:color w:val="auto"/>
                <w:kern w:val="2"/>
                <w:sz w:val="24"/>
                <w:szCs w:val="24"/>
                <w:highlight w:val="none"/>
                <w:u w:val="none"/>
                <w:lang w:val="en-US" w:eastAsia="zh-CN" w:bidi="ar-SA"/>
              </w:rPr>
              <w:t>112</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9F1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做强</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赢在秦淮</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创赛品牌，探索建立大赛成果转化平台，激活创业带动就业内生动力</w:t>
            </w:r>
          </w:p>
        </w:tc>
      </w:tr>
      <w:tr w14:paraId="394E2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A2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113</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125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开展各类招聘活动</w:t>
            </w:r>
            <w:r>
              <w:rPr>
                <w:rStyle w:val="22"/>
                <w:rFonts w:hint="default" w:ascii="Times New Roman" w:hAnsi="Times New Roman" w:eastAsia="方正仿宋_GBK" w:cs="Times New Roman"/>
                <w:color w:val="auto"/>
                <w:highlight w:val="none"/>
                <w:lang w:val="en-US" w:eastAsia="zh-CN" w:bidi="ar"/>
              </w:rPr>
              <w:t>260</w:t>
            </w:r>
            <w:r>
              <w:rPr>
                <w:rStyle w:val="21"/>
                <w:rFonts w:hint="default" w:ascii="Times New Roman" w:hAnsi="Times New Roman" w:cs="Times New Roman"/>
                <w:color w:val="auto"/>
                <w:highlight w:val="none"/>
                <w:lang w:val="en-US" w:eastAsia="zh-CN" w:bidi="ar"/>
              </w:rPr>
              <w:t>场</w:t>
            </w:r>
          </w:p>
        </w:tc>
      </w:tr>
      <w:tr w14:paraId="3AD13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45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2"/>
                <w:sz w:val="24"/>
                <w:szCs w:val="24"/>
                <w:highlight w:val="none"/>
                <w:u w:val="none"/>
                <w:lang w:val="en-US" w:eastAsia="zh-CN" w:bidi="ar-SA"/>
              </w:rPr>
              <w:t>114</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F3F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21"/>
                <w:rFonts w:hint="default" w:ascii="Times New Roman" w:hAnsi="Times New Roman" w:cs="Times New Roman"/>
                <w:color w:val="auto"/>
                <w:highlight w:val="none"/>
                <w:lang w:val="en-US" w:eastAsia="zh-CN" w:bidi="ar"/>
              </w:rPr>
            </w:pPr>
            <w:r>
              <w:rPr>
                <w:rStyle w:val="21"/>
                <w:rFonts w:hint="default" w:ascii="Times New Roman" w:hAnsi="Times New Roman" w:cs="Times New Roman"/>
                <w:color w:val="auto"/>
                <w:highlight w:val="none"/>
                <w:lang w:val="en-US" w:eastAsia="zh-CN" w:bidi="ar"/>
              </w:rPr>
              <w:t>新增留学回国人员创新创业533人</w:t>
            </w:r>
          </w:p>
        </w:tc>
      </w:tr>
      <w:tr w14:paraId="44F7D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CF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115</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503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支持高校毕业生创业</w:t>
            </w:r>
            <w:r>
              <w:rPr>
                <w:rStyle w:val="22"/>
                <w:rFonts w:hint="default" w:ascii="Times New Roman" w:hAnsi="Times New Roman" w:eastAsia="方正仿宋_GBK" w:cs="Times New Roman"/>
                <w:color w:val="auto"/>
                <w:highlight w:val="none"/>
                <w:lang w:val="en-US" w:eastAsia="zh-CN" w:bidi="ar"/>
              </w:rPr>
              <w:t>640</w:t>
            </w:r>
            <w:r>
              <w:rPr>
                <w:rStyle w:val="21"/>
                <w:rFonts w:hint="default" w:ascii="Times New Roman" w:hAnsi="Times New Roman" w:cs="Times New Roman"/>
                <w:color w:val="auto"/>
                <w:highlight w:val="none"/>
                <w:lang w:val="en-US" w:eastAsia="zh-CN" w:bidi="ar"/>
              </w:rPr>
              <w:t>人</w:t>
            </w:r>
          </w:p>
        </w:tc>
      </w:tr>
      <w:tr w14:paraId="53305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36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116</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68B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新建</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家门口</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就业服务站</w:t>
            </w:r>
            <w:r>
              <w:rPr>
                <w:rStyle w:val="22"/>
                <w:rFonts w:hint="default" w:ascii="Times New Roman" w:hAnsi="Times New Roman" w:eastAsia="方正仿宋_GBK" w:cs="Times New Roman"/>
                <w:color w:val="auto"/>
                <w:highlight w:val="none"/>
                <w:lang w:val="en-US" w:eastAsia="zh-CN" w:bidi="ar"/>
              </w:rPr>
              <w:t>5</w:t>
            </w:r>
            <w:r>
              <w:rPr>
                <w:rStyle w:val="21"/>
                <w:rFonts w:hint="default" w:ascii="Times New Roman" w:hAnsi="Times New Roman" w:cs="Times New Roman"/>
                <w:color w:val="auto"/>
                <w:highlight w:val="none"/>
                <w:lang w:val="en-US" w:eastAsia="zh-CN" w:bidi="ar"/>
              </w:rPr>
              <w:t>家</w:t>
            </w:r>
          </w:p>
        </w:tc>
      </w:tr>
      <w:tr w14:paraId="41AFF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4A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117</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DE4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补贴性职业技能培训人数达</w:t>
            </w:r>
            <w:r>
              <w:rPr>
                <w:rStyle w:val="22"/>
                <w:rFonts w:hint="default" w:ascii="Times New Roman" w:hAnsi="Times New Roman" w:eastAsia="方正仿宋_GBK" w:cs="Times New Roman"/>
                <w:color w:val="auto"/>
                <w:highlight w:val="none"/>
                <w:lang w:val="en-US" w:eastAsia="zh-CN" w:bidi="ar"/>
              </w:rPr>
              <w:t>9500</w:t>
            </w:r>
            <w:r>
              <w:rPr>
                <w:rStyle w:val="21"/>
                <w:rFonts w:hint="default" w:ascii="Times New Roman" w:hAnsi="Times New Roman" w:cs="Times New Roman"/>
                <w:color w:val="auto"/>
                <w:highlight w:val="none"/>
                <w:lang w:val="en-US" w:eastAsia="zh-CN" w:bidi="ar"/>
              </w:rPr>
              <w:t>人次</w:t>
            </w:r>
          </w:p>
        </w:tc>
      </w:tr>
      <w:tr w14:paraId="0EAA5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0B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118</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ACB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eastAsia" w:ascii="Times New Roman" w:hAnsi="Times New Roman" w:cs="Times New Roman"/>
                <w:color w:val="auto"/>
                <w:highlight w:val="none"/>
                <w:lang w:val="en-US" w:eastAsia="zh-CN" w:bidi="ar"/>
              </w:rPr>
              <w:t>援助</w:t>
            </w:r>
            <w:r>
              <w:rPr>
                <w:rStyle w:val="21"/>
                <w:rFonts w:hint="default" w:ascii="Times New Roman" w:hAnsi="Times New Roman" w:cs="Times New Roman"/>
                <w:color w:val="auto"/>
                <w:highlight w:val="none"/>
                <w:lang w:val="en-US" w:eastAsia="zh-CN" w:bidi="ar"/>
              </w:rPr>
              <w:t>就业困难人员就业</w:t>
            </w:r>
            <w:r>
              <w:rPr>
                <w:rStyle w:val="22"/>
                <w:rFonts w:hint="default" w:ascii="Times New Roman" w:hAnsi="Times New Roman" w:eastAsia="方正仿宋_GBK" w:cs="Times New Roman"/>
                <w:color w:val="auto"/>
                <w:highlight w:val="none"/>
                <w:lang w:val="en-US" w:eastAsia="zh-CN" w:bidi="ar"/>
              </w:rPr>
              <w:t>1730</w:t>
            </w:r>
            <w:r>
              <w:rPr>
                <w:rStyle w:val="21"/>
                <w:rFonts w:hint="default" w:ascii="Times New Roman" w:hAnsi="Times New Roman" w:cs="Times New Roman"/>
                <w:color w:val="auto"/>
                <w:highlight w:val="none"/>
                <w:lang w:val="en-US" w:eastAsia="zh-CN" w:bidi="ar"/>
              </w:rPr>
              <w:t>人，确保有就业愿望的困难人员</w:t>
            </w:r>
            <w:r>
              <w:rPr>
                <w:rStyle w:val="22"/>
                <w:rFonts w:hint="default" w:ascii="Times New Roman" w:hAnsi="Times New Roman" w:eastAsia="方正仿宋_GBK" w:cs="Times New Roman"/>
                <w:color w:val="auto"/>
                <w:highlight w:val="none"/>
                <w:lang w:val="en-US" w:eastAsia="zh-CN" w:bidi="ar"/>
              </w:rPr>
              <w:t>100%</w:t>
            </w:r>
            <w:r>
              <w:rPr>
                <w:rStyle w:val="21"/>
                <w:rFonts w:hint="default" w:ascii="Times New Roman" w:hAnsi="Times New Roman" w:cs="Times New Roman"/>
                <w:color w:val="auto"/>
                <w:highlight w:val="none"/>
                <w:lang w:val="en-US" w:eastAsia="zh-CN" w:bidi="ar"/>
              </w:rPr>
              <w:t>就业</w:t>
            </w:r>
          </w:p>
        </w:tc>
      </w:tr>
      <w:tr w14:paraId="7AA58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A6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119</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893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Style w:val="21"/>
                <w:rFonts w:hint="default" w:ascii="Times New Roman" w:hAnsi="Times New Roman" w:cs="Times New Roman"/>
                <w:color w:val="auto"/>
                <w:highlight w:val="none"/>
                <w:lang w:val="en-US" w:eastAsia="zh-CN" w:bidi="ar"/>
              </w:rPr>
              <w:t>安置残疾人就业</w:t>
            </w:r>
            <w:r>
              <w:rPr>
                <w:rStyle w:val="22"/>
                <w:rFonts w:hint="default" w:ascii="Times New Roman" w:hAnsi="Times New Roman" w:eastAsia="方正仿宋_GBK" w:cs="Times New Roman"/>
                <w:color w:val="auto"/>
                <w:highlight w:val="none"/>
                <w:lang w:val="en-US" w:eastAsia="zh-CN" w:bidi="ar"/>
              </w:rPr>
              <w:t>60</w:t>
            </w:r>
            <w:r>
              <w:rPr>
                <w:rStyle w:val="21"/>
                <w:rFonts w:hint="default" w:ascii="Times New Roman" w:hAnsi="Times New Roman" w:cs="Times New Roman"/>
                <w:color w:val="auto"/>
                <w:highlight w:val="none"/>
                <w:lang w:val="en-US" w:eastAsia="zh-CN" w:bidi="ar"/>
              </w:rPr>
              <w:t>人</w:t>
            </w:r>
          </w:p>
        </w:tc>
      </w:tr>
      <w:tr w14:paraId="13470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EF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120</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F79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Style w:val="21"/>
                <w:rFonts w:hint="default" w:ascii="Times New Roman" w:hAnsi="Times New Roman" w:cs="Times New Roman"/>
                <w:color w:val="auto"/>
                <w:highlight w:val="none"/>
                <w:lang w:val="en-US" w:eastAsia="zh-CN" w:bidi="ar"/>
              </w:rPr>
              <w:t>创新打造</w:t>
            </w:r>
            <w:r>
              <w:rPr>
                <w:rStyle w:val="22"/>
                <w:rFonts w:hint="default" w:ascii="Times New Roman" w:hAnsi="Times New Roman" w:eastAsia="方正仿宋_GBK" w:cs="Times New Roman"/>
                <w:color w:val="auto"/>
                <w:highlight w:val="none"/>
                <w:lang w:val="en-US" w:eastAsia="zh-CN" w:bidi="ar"/>
              </w:rPr>
              <w:t>“1+N”</w:t>
            </w:r>
            <w:r>
              <w:rPr>
                <w:rStyle w:val="21"/>
                <w:rFonts w:hint="default" w:ascii="Times New Roman" w:hAnsi="Times New Roman" w:cs="Times New Roman"/>
                <w:color w:val="auto"/>
                <w:highlight w:val="none"/>
                <w:lang w:val="en-US" w:eastAsia="zh-CN" w:bidi="ar"/>
              </w:rPr>
              <w:t>区域特色数字化人力资源智能</w:t>
            </w:r>
            <w:r>
              <w:rPr>
                <w:rStyle w:val="22"/>
                <w:rFonts w:hint="default" w:ascii="Times New Roman" w:hAnsi="Times New Roman" w:eastAsia="方正仿宋_GBK" w:cs="Times New Roman"/>
                <w:color w:val="auto"/>
                <w:highlight w:val="none"/>
                <w:lang w:val="en-US" w:eastAsia="zh-CN" w:bidi="ar"/>
              </w:rPr>
              <w:t>AI</w:t>
            </w:r>
            <w:r>
              <w:rPr>
                <w:rStyle w:val="21"/>
                <w:rFonts w:hint="default" w:ascii="Times New Roman" w:hAnsi="Times New Roman" w:cs="Times New Roman"/>
                <w:color w:val="auto"/>
                <w:highlight w:val="none"/>
                <w:lang w:val="en-US" w:eastAsia="zh-CN" w:bidi="ar"/>
              </w:rPr>
              <w:t>服务系统，推动我区人力资源服务数字化提质升级</w:t>
            </w:r>
          </w:p>
        </w:tc>
      </w:tr>
      <w:tr w14:paraId="4F245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B37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21"/>
                <w:rFonts w:hint="default" w:ascii="Times New Roman" w:hAnsi="Times New Roman" w:cs="Times New Roman"/>
                <w:color w:val="auto"/>
                <w:highlight w:val="none"/>
                <w:lang w:val="en-US" w:eastAsia="zh-CN" w:bidi="ar"/>
              </w:rPr>
            </w:pPr>
            <w:r>
              <w:rPr>
                <w:rStyle w:val="21"/>
                <w:rFonts w:hint="default" w:ascii="Times New Roman" w:hAnsi="Times New Roman" w:cs="Times New Roman"/>
                <w:b/>
                <w:bCs/>
                <w:color w:val="auto"/>
                <w:highlight w:val="none"/>
                <w:lang w:val="en-US" w:eastAsia="zh-CN" w:bidi="ar"/>
              </w:rPr>
              <w:t>2、优化公共服务资源配置</w:t>
            </w:r>
          </w:p>
        </w:tc>
      </w:tr>
      <w:tr w14:paraId="27CC5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AD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eastAsia" w:ascii="Times New Roman" w:hAnsi="Times New Roman" w:eastAsia="方正仿宋_GBK" w:cs="Times New Roman"/>
                <w:i w:val="0"/>
                <w:iCs w:val="0"/>
                <w:color w:val="auto"/>
                <w:kern w:val="2"/>
                <w:sz w:val="24"/>
                <w:szCs w:val="24"/>
                <w:highlight w:val="none"/>
                <w:u w:val="none"/>
                <w:lang w:val="en-US" w:eastAsia="zh-CN" w:bidi="ar-SA"/>
              </w:rPr>
              <w:t>121</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828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提升校园安全精细化管理水平，</w:t>
            </w:r>
            <w:r>
              <w:rPr>
                <w:rStyle w:val="21"/>
                <w:rFonts w:hint="default" w:ascii="Times New Roman" w:hAnsi="Times New Roman" w:cs="Times New Roman"/>
                <w:color w:val="auto"/>
                <w:highlight w:val="none"/>
                <w:lang w:val="en-US" w:eastAsia="zh-CN" w:bidi="ar"/>
              </w:rPr>
              <w:t>实施</w:t>
            </w:r>
            <w:r>
              <w:rPr>
                <w:rStyle w:val="22"/>
                <w:rFonts w:hint="eastAsia" w:ascii="Times New Roman" w:hAnsi="Times New Roman" w:eastAsia="方正仿宋_GBK" w:cs="Times New Roman"/>
                <w:color w:val="auto"/>
                <w:highlight w:val="none"/>
                <w:lang w:val="en-US" w:eastAsia="zh-CN" w:bidi="ar"/>
              </w:rPr>
              <w:t>9</w:t>
            </w:r>
            <w:r>
              <w:rPr>
                <w:rStyle w:val="21"/>
                <w:rFonts w:hint="default" w:ascii="Times New Roman" w:hAnsi="Times New Roman" w:cs="Times New Roman"/>
                <w:color w:val="auto"/>
                <w:highlight w:val="none"/>
                <w:lang w:val="en-US" w:eastAsia="zh-CN" w:bidi="ar"/>
              </w:rPr>
              <w:t>所学校</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校安工程</w:t>
            </w:r>
            <w:r>
              <w:rPr>
                <w:rStyle w:val="22"/>
                <w:rFonts w:hint="default" w:ascii="Times New Roman" w:hAnsi="Times New Roman" w:eastAsia="方正仿宋_GBK" w:cs="Times New Roman"/>
                <w:color w:val="auto"/>
                <w:highlight w:val="none"/>
                <w:lang w:val="en-US" w:eastAsia="zh-CN" w:bidi="ar"/>
              </w:rPr>
              <w:t>”</w:t>
            </w:r>
          </w:p>
        </w:tc>
      </w:tr>
      <w:tr w14:paraId="39128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F4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122</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D6D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2"/>
                <w:sz w:val="24"/>
                <w:szCs w:val="24"/>
                <w:highlight w:val="none"/>
                <w:u w:val="none"/>
                <w:lang w:val="en-US" w:eastAsia="zh-CN" w:bidi="ar-SA"/>
              </w:rPr>
              <w:t>推进</w:t>
            </w:r>
            <w:r>
              <w:rPr>
                <w:rFonts w:hint="eastAsia" w:ascii="Times New Roman" w:hAnsi="Times New Roman" w:eastAsia="方正仿宋_GBK" w:cs="Times New Roman"/>
                <w:i w:val="0"/>
                <w:iCs w:val="0"/>
                <w:color w:val="auto"/>
                <w:kern w:val="2"/>
                <w:sz w:val="24"/>
                <w:szCs w:val="24"/>
                <w:highlight w:val="none"/>
                <w:u w:val="none"/>
                <w:lang w:val="en-US" w:eastAsia="zh-CN" w:bidi="ar-SA"/>
              </w:rPr>
              <w:t>7</w:t>
            </w:r>
            <w:r>
              <w:rPr>
                <w:rFonts w:hint="default" w:ascii="Times New Roman" w:hAnsi="Times New Roman" w:eastAsia="方正仿宋_GBK" w:cs="Times New Roman"/>
                <w:i w:val="0"/>
                <w:iCs w:val="0"/>
                <w:color w:val="auto"/>
                <w:kern w:val="2"/>
                <w:sz w:val="24"/>
                <w:szCs w:val="24"/>
                <w:highlight w:val="none"/>
                <w:u w:val="none"/>
                <w:lang w:val="en-US" w:eastAsia="zh-CN" w:bidi="ar-SA"/>
              </w:rPr>
              <w:t>所学校建设，启动紫杨佳园小学、幼儿园办学，并将其纳入名校集团化紧密型管理</w:t>
            </w:r>
          </w:p>
        </w:tc>
      </w:tr>
      <w:tr w14:paraId="7C77A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04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123</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133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完善思想政治教育工作体系，深化大中小学思想政治教育一体化和</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大思政课</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建设</w:t>
            </w:r>
          </w:p>
        </w:tc>
      </w:tr>
      <w:tr w14:paraId="3C671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D3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124</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058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聚焦中小学减负提质，全面开展</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活力课堂</w:t>
            </w:r>
            <w:r>
              <w:rPr>
                <w:rStyle w:val="22"/>
                <w:rFonts w:hint="default" w:ascii="Times New Roman" w:hAnsi="Times New Roman" w:eastAsia="方正仿宋_GBK" w:cs="Times New Roman"/>
                <w:color w:val="auto"/>
                <w:highlight w:val="none"/>
                <w:lang w:val="en-US" w:eastAsia="zh-CN" w:bidi="ar"/>
              </w:rPr>
              <w:t>”</w:t>
            </w:r>
          </w:p>
        </w:tc>
      </w:tr>
      <w:tr w14:paraId="494E9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63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125</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BD9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落实精品教育成果孵化工程，提升区域学校内涵建设水平</w:t>
            </w:r>
          </w:p>
        </w:tc>
      </w:tr>
      <w:tr w14:paraId="32A9D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4BC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126</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05D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促进上善教师成长学院高质量运行，提升区域教师队伍整体质量</w:t>
            </w:r>
          </w:p>
        </w:tc>
      </w:tr>
      <w:tr w14:paraId="5A861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9E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127</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BAF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2"/>
                <w:sz w:val="24"/>
                <w:szCs w:val="24"/>
                <w:highlight w:val="none"/>
                <w:u w:val="none"/>
                <w:lang w:val="en-US" w:eastAsia="zh-CN" w:bidi="ar-SA"/>
              </w:rPr>
              <w:t>扎实推进“五育并举”，完善高素质人才培养体系，全力护航青少年身心健康</w:t>
            </w:r>
          </w:p>
        </w:tc>
      </w:tr>
      <w:tr w14:paraId="53E08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0D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128</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A33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2"/>
                <w:sz w:val="24"/>
                <w:szCs w:val="24"/>
                <w:highlight w:val="none"/>
                <w:u w:val="none"/>
                <w:lang w:val="en-US" w:eastAsia="zh-CN" w:bidi="ar-SA"/>
              </w:rPr>
              <w:t>创成“国家学前教育普及普惠示范区”“江苏省义务教育优质均衡发展区”</w:t>
            </w:r>
          </w:p>
        </w:tc>
      </w:tr>
      <w:tr w14:paraId="7ECC8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63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129</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542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Style w:val="21"/>
                <w:rFonts w:hint="default" w:ascii="Times New Roman" w:hAnsi="Times New Roman" w:cs="Times New Roman"/>
                <w:color w:val="auto"/>
                <w:highlight w:val="none"/>
                <w:lang w:val="en-US" w:eastAsia="zh-CN" w:bidi="ar"/>
              </w:rPr>
              <w:t>加快推进南部新城</w:t>
            </w:r>
            <w:r>
              <w:rPr>
                <w:rStyle w:val="22"/>
                <w:rFonts w:hint="default" w:ascii="Times New Roman" w:hAnsi="Times New Roman" w:eastAsia="方正仿宋_GBK" w:cs="Times New Roman"/>
                <w:color w:val="auto"/>
                <w:highlight w:val="none"/>
                <w:lang w:val="en-US" w:eastAsia="zh-CN" w:bidi="ar"/>
              </w:rPr>
              <w:t>2</w:t>
            </w:r>
            <w:r>
              <w:rPr>
                <w:rStyle w:val="21"/>
                <w:rFonts w:hint="default" w:ascii="Times New Roman" w:hAnsi="Times New Roman" w:cs="Times New Roman"/>
                <w:color w:val="auto"/>
                <w:highlight w:val="none"/>
                <w:lang w:val="en-US" w:eastAsia="zh-CN" w:bidi="ar"/>
              </w:rPr>
              <w:t>处社区卫生服务中心、</w:t>
            </w:r>
            <w:r>
              <w:rPr>
                <w:rStyle w:val="22"/>
                <w:rFonts w:hint="default" w:ascii="Times New Roman" w:hAnsi="Times New Roman" w:eastAsia="方正仿宋_GBK" w:cs="Times New Roman"/>
                <w:color w:val="auto"/>
                <w:highlight w:val="none"/>
                <w:lang w:val="en-US" w:eastAsia="zh-CN" w:bidi="ar"/>
              </w:rPr>
              <w:t>3</w:t>
            </w:r>
            <w:r>
              <w:rPr>
                <w:rStyle w:val="21"/>
                <w:rFonts w:hint="default" w:ascii="Times New Roman" w:hAnsi="Times New Roman" w:cs="Times New Roman"/>
                <w:color w:val="auto"/>
                <w:highlight w:val="none"/>
                <w:lang w:val="en-US" w:eastAsia="zh-CN" w:bidi="ar"/>
              </w:rPr>
              <w:t>处卫生服务站建设，满足群众</w:t>
            </w:r>
            <w:r>
              <w:rPr>
                <w:rStyle w:val="22"/>
                <w:rFonts w:hint="default" w:ascii="Times New Roman" w:hAnsi="Times New Roman" w:eastAsia="方正仿宋_GBK" w:cs="Times New Roman"/>
                <w:color w:val="auto"/>
                <w:highlight w:val="none"/>
                <w:lang w:val="en-US" w:eastAsia="zh-CN" w:bidi="ar"/>
              </w:rPr>
              <w:t>“15</w:t>
            </w:r>
            <w:r>
              <w:rPr>
                <w:rStyle w:val="21"/>
                <w:rFonts w:hint="default" w:ascii="Times New Roman" w:hAnsi="Times New Roman" w:cs="Times New Roman"/>
                <w:color w:val="auto"/>
                <w:highlight w:val="none"/>
                <w:lang w:val="en-US" w:eastAsia="zh-CN" w:bidi="ar"/>
              </w:rPr>
              <w:t>分钟健康圈</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便捷服务需求</w:t>
            </w:r>
          </w:p>
        </w:tc>
      </w:tr>
      <w:tr w14:paraId="1A853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A4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130</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5CF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力争朝天宫社区卫生服务中心在年内迁入新址</w:t>
            </w:r>
          </w:p>
        </w:tc>
      </w:tr>
      <w:tr w14:paraId="38199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92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131</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952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全力创建江苏省健康区</w:t>
            </w:r>
          </w:p>
        </w:tc>
      </w:tr>
      <w:tr w14:paraId="6B579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15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132</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703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完成适龄妇女两癌筛查</w:t>
            </w:r>
            <w:r>
              <w:rPr>
                <w:rStyle w:val="22"/>
                <w:rFonts w:hint="default" w:ascii="Times New Roman" w:hAnsi="Times New Roman" w:eastAsia="方正仿宋_GBK" w:cs="Times New Roman"/>
                <w:color w:val="auto"/>
                <w:highlight w:val="none"/>
                <w:lang w:val="en-US" w:eastAsia="zh-CN" w:bidi="ar"/>
              </w:rPr>
              <w:t>10000</w:t>
            </w:r>
            <w:r>
              <w:rPr>
                <w:rStyle w:val="21"/>
                <w:rFonts w:hint="default" w:ascii="Times New Roman" w:hAnsi="Times New Roman" w:cs="Times New Roman"/>
                <w:color w:val="auto"/>
                <w:highlight w:val="none"/>
                <w:lang w:val="en-US" w:eastAsia="zh-CN" w:bidi="ar"/>
              </w:rPr>
              <w:t>例</w:t>
            </w:r>
          </w:p>
        </w:tc>
      </w:tr>
      <w:tr w14:paraId="34637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DB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133</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94A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推动全区有意愿接种</w:t>
            </w:r>
            <w:r>
              <w:rPr>
                <w:rStyle w:val="22"/>
                <w:rFonts w:hint="default" w:ascii="Times New Roman" w:hAnsi="Times New Roman" w:eastAsia="方正仿宋_GBK" w:cs="Times New Roman"/>
                <w:color w:val="auto"/>
                <w:highlight w:val="none"/>
                <w:lang w:val="en-US" w:eastAsia="zh-CN" w:bidi="ar"/>
              </w:rPr>
              <w:t>HPV</w:t>
            </w:r>
            <w:r>
              <w:rPr>
                <w:rStyle w:val="21"/>
                <w:rFonts w:hint="default" w:ascii="Times New Roman" w:hAnsi="Times New Roman" w:cs="Times New Roman"/>
                <w:color w:val="auto"/>
                <w:highlight w:val="none"/>
                <w:lang w:val="en-US" w:eastAsia="zh-CN" w:bidi="ar"/>
              </w:rPr>
              <w:t>疫苗的在校适龄女生100%接种</w:t>
            </w:r>
          </w:p>
        </w:tc>
      </w:tr>
      <w:tr w14:paraId="7EA7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F2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134</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9E1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为适龄儿童免费接种水痘疫苗</w:t>
            </w:r>
            <w:r>
              <w:rPr>
                <w:rStyle w:val="22"/>
                <w:rFonts w:hint="default" w:ascii="Times New Roman" w:hAnsi="Times New Roman" w:eastAsia="方正仿宋_GBK" w:cs="Times New Roman"/>
                <w:color w:val="auto"/>
                <w:highlight w:val="none"/>
                <w:lang w:val="en-US" w:eastAsia="zh-CN" w:bidi="ar"/>
              </w:rPr>
              <w:t>4000</w:t>
            </w:r>
            <w:r>
              <w:rPr>
                <w:rStyle w:val="21"/>
                <w:rFonts w:hint="default" w:ascii="Times New Roman" w:hAnsi="Times New Roman" w:cs="Times New Roman"/>
                <w:color w:val="auto"/>
                <w:highlight w:val="none"/>
                <w:lang w:val="en-US" w:eastAsia="zh-CN" w:bidi="ar"/>
              </w:rPr>
              <w:t>人次</w:t>
            </w:r>
          </w:p>
        </w:tc>
      </w:tr>
      <w:tr w14:paraId="0FF4E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3B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135</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5F2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开展第四次全国文物普查工作</w:t>
            </w:r>
          </w:p>
        </w:tc>
      </w:tr>
      <w:tr w14:paraId="2940D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06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136</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313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办好</w:t>
            </w:r>
            <w:r>
              <w:rPr>
                <w:rStyle w:val="22"/>
                <w:rFonts w:hint="default" w:ascii="Times New Roman" w:hAnsi="Times New Roman" w:eastAsia="方正仿宋_GBK" w:cs="Times New Roman"/>
                <w:color w:val="auto"/>
                <w:highlight w:val="none"/>
                <w:lang w:val="en-US" w:eastAsia="zh-CN" w:bidi="ar"/>
              </w:rPr>
              <w:t>2024</w:t>
            </w:r>
            <w:r>
              <w:rPr>
                <w:rStyle w:val="21"/>
                <w:rFonts w:hint="default" w:ascii="Times New Roman" w:hAnsi="Times New Roman" w:cs="Times New Roman"/>
                <w:color w:val="auto"/>
                <w:highlight w:val="none"/>
                <w:lang w:val="en-US" w:eastAsia="zh-CN" w:bidi="ar"/>
              </w:rPr>
              <w:t>年秦淮区社区运动会、体育达标赛等全民健身活动，争取射箭、街舞等全国性赛事落地秦淮</w:t>
            </w:r>
          </w:p>
        </w:tc>
      </w:tr>
      <w:tr w14:paraId="55F0E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6B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137</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5E7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推进体旅融合发展，全年开展各类文化惠民活动不少于</w:t>
            </w:r>
            <w:r>
              <w:rPr>
                <w:rStyle w:val="22"/>
                <w:rFonts w:hint="eastAsia" w:ascii="Times New Roman" w:hAnsi="Times New Roman" w:eastAsia="方正仿宋_GBK" w:cs="Times New Roman"/>
                <w:color w:val="auto"/>
                <w:highlight w:val="none"/>
                <w:lang w:val="en-US" w:eastAsia="zh-CN" w:bidi="ar"/>
              </w:rPr>
              <w:t>1800</w:t>
            </w:r>
            <w:r>
              <w:rPr>
                <w:rStyle w:val="21"/>
                <w:rFonts w:hint="default" w:ascii="Times New Roman" w:hAnsi="Times New Roman" w:cs="Times New Roman"/>
                <w:color w:val="auto"/>
                <w:highlight w:val="none"/>
                <w:lang w:val="en-US" w:eastAsia="zh-CN" w:bidi="ar"/>
              </w:rPr>
              <w:t>场</w:t>
            </w:r>
          </w:p>
        </w:tc>
      </w:tr>
      <w:tr w14:paraId="197EF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26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138</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ADE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开展科普宣传活动</w:t>
            </w:r>
            <w:r>
              <w:rPr>
                <w:rStyle w:val="22"/>
                <w:rFonts w:hint="default" w:ascii="Times New Roman" w:hAnsi="Times New Roman" w:eastAsia="方正仿宋_GBK" w:cs="Times New Roman"/>
                <w:color w:val="auto"/>
                <w:highlight w:val="none"/>
                <w:lang w:val="en-US" w:eastAsia="zh-CN" w:bidi="ar"/>
              </w:rPr>
              <w:t>60</w:t>
            </w:r>
            <w:r>
              <w:rPr>
                <w:rStyle w:val="21"/>
                <w:rFonts w:hint="default" w:ascii="Times New Roman" w:hAnsi="Times New Roman" w:cs="Times New Roman"/>
                <w:color w:val="auto"/>
                <w:highlight w:val="none"/>
                <w:lang w:val="en-US" w:eastAsia="zh-CN" w:bidi="ar"/>
              </w:rPr>
              <w:t>场</w:t>
            </w:r>
          </w:p>
        </w:tc>
      </w:tr>
      <w:tr w14:paraId="3C7EB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7A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139</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6A9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统筹推进</w:t>
            </w:r>
            <w:r>
              <w:rPr>
                <w:rStyle w:val="21"/>
                <w:rFonts w:hint="default" w:ascii="Times New Roman" w:hAnsi="Times New Roman" w:cs="Times New Roman"/>
                <w:color w:val="auto"/>
                <w:highlight w:val="none"/>
                <w:lang w:val="en-US" w:eastAsia="zh-CN" w:bidi="ar"/>
              </w:rPr>
              <w:t>社区嵌入式服务设施、</w:t>
            </w:r>
            <w:r>
              <w:rPr>
                <w:rFonts w:hint="default" w:ascii="Times New Roman" w:hAnsi="Times New Roman" w:eastAsia="方正仿宋_GBK" w:cs="Times New Roman"/>
                <w:i w:val="0"/>
                <w:iCs w:val="0"/>
                <w:color w:val="auto"/>
                <w:kern w:val="0"/>
                <w:sz w:val="24"/>
                <w:szCs w:val="24"/>
                <w:highlight w:val="none"/>
                <w:u w:val="none"/>
                <w:lang w:val="en-US" w:eastAsia="zh-CN" w:bidi="ar"/>
              </w:rPr>
              <w:t>一刻钟便民生活圈试点、完整社区等研究建设，推动社区服务资源共建共享</w:t>
            </w:r>
          </w:p>
        </w:tc>
      </w:tr>
      <w:tr w14:paraId="3DE01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71D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3、</w:t>
            </w:r>
            <w:r>
              <w:rPr>
                <w:rStyle w:val="21"/>
                <w:rFonts w:hint="default" w:ascii="Times New Roman" w:hAnsi="Times New Roman" w:eastAsia="方正仿宋_GBK" w:cs="Times New Roman"/>
                <w:b/>
                <w:bCs/>
                <w:color w:val="auto"/>
                <w:highlight w:val="none"/>
                <w:lang w:val="en-US" w:eastAsia="zh-CN" w:bidi="ar"/>
              </w:rPr>
              <w:t>分层分类开展社会</w:t>
            </w:r>
            <w:r>
              <w:rPr>
                <w:rStyle w:val="21"/>
                <w:rFonts w:hint="eastAsia" w:ascii="Times New Roman" w:hAnsi="Times New Roman" w:eastAsia="方正仿宋_GBK" w:cs="Times New Roman"/>
                <w:b/>
                <w:bCs/>
                <w:color w:val="auto"/>
                <w:highlight w:val="none"/>
                <w:lang w:val="en-US" w:eastAsia="zh-CN" w:bidi="ar"/>
              </w:rPr>
              <w:t>帮扶</w:t>
            </w:r>
          </w:p>
        </w:tc>
      </w:tr>
      <w:tr w14:paraId="78F90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3C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eastAsia" w:ascii="Times New Roman" w:hAnsi="Times New Roman" w:eastAsia="方正仿宋_GBK" w:cs="Times New Roman"/>
                <w:i w:val="0"/>
                <w:iCs w:val="0"/>
                <w:color w:val="auto"/>
                <w:kern w:val="2"/>
                <w:sz w:val="24"/>
                <w:szCs w:val="24"/>
                <w:highlight w:val="none"/>
                <w:u w:val="none"/>
                <w:lang w:val="en-US" w:eastAsia="zh-CN" w:bidi="ar-SA"/>
              </w:rPr>
              <w:t>140</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337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2"/>
                <w:sz w:val="24"/>
                <w:szCs w:val="24"/>
                <w:highlight w:val="none"/>
                <w:u w:val="none"/>
                <w:lang w:val="en-US" w:eastAsia="zh-CN" w:bidi="ar-SA"/>
              </w:rPr>
              <w:t>推动南部新城范围内3个居住社区中心养老服务设施规划建设</w:t>
            </w:r>
          </w:p>
        </w:tc>
      </w:tr>
      <w:tr w14:paraId="27551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77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141</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A64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开展失能老人家庭成员照护培训</w:t>
            </w:r>
            <w:r>
              <w:rPr>
                <w:rFonts w:hint="eastAsia" w:ascii="Times New Roman" w:hAnsi="Times New Roman" w:eastAsia="方正仿宋_GBK" w:cs="Times New Roman"/>
                <w:i w:val="0"/>
                <w:iCs w:val="0"/>
                <w:color w:val="auto"/>
                <w:kern w:val="0"/>
                <w:sz w:val="24"/>
                <w:szCs w:val="24"/>
                <w:highlight w:val="none"/>
                <w:u w:val="none"/>
                <w:lang w:val="en-US" w:eastAsia="zh-CN" w:bidi="ar"/>
              </w:rPr>
              <w:t>，</w:t>
            </w:r>
            <w:r>
              <w:rPr>
                <w:rFonts w:hint="default" w:ascii="Times New Roman" w:hAnsi="Times New Roman" w:eastAsia="方正仿宋_GBK" w:cs="Times New Roman"/>
                <w:i w:val="0"/>
                <w:iCs w:val="0"/>
                <w:color w:val="auto"/>
                <w:kern w:val="0"/>
                <w:sz w:val="24"/>
                <w:szCs w:val="24"/>
                <w:highlight w:val="none"/>
                <w:u w:val="none"/>
                <w:lang w:val="en-US" w:eastAsia="zh-CN" w:bidi="ar"/>
              </w:rPr>
              <w:t>实现独居空巢老人探访全覆盖</w:t>
            </w:r>
          </w:p>
        </w:tc>
      </w:tr>
      <w:tr w14:paraId="2BD04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B1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142</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BB6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eastAsia" w:ascii="Times New Roman" w:hAnsi="Times New Roman" w:eastAsia="方正仿宋_GBK" w:cs="Times New Roman"/>
                <w:i w:val="0"/>
                <w:iCs w:val="0"/>
                <w:color w:val="auto"/>
                <w:kern w:val="2"/>
                <w:sz w:val="24"/>
                <w:szCs w:val="24"/>
                <w:highlight w:val="none"/>
                <w:u w:val="none"/>
                <w:lang w:val="en-US" w:eastAsia="zh-CN" w:bidi="ar-SA"/>
              </w:rPr>
              <w:t>新增养老床位300张</w:t>
            </w:r>
          </w:p>
        </w:tc>
      </w:tr>
      <w:tr w14:paraId="39697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D4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143</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E61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21"/>
                <w:rFonts w:hint="default" w:ascii="Times New Roman" w:hAnsi="Times New Roman" w:cs="Times New Roman"/>
                <w:color w:val="auto"/>
                <w:highlight w:val="none"/>
                <w:lang w:val="en-US" w:eastAsia="zh-CN" w:bidi="ar"/>
              </w:rPr>
            </w:pPr>
            <w:r>
              <w:rPr>
                <w:rStyle w:val="21"/>
                <w:rFonts w:hint="default" w:ascii="Times New Roman" w:hAnsi="Times New Roman" w:cs="Times New Roman"/>
                <w:color w:val="auto"/>
                <w:highlight w:val="none"/>
                <w:lang w:val="en-US" w:eastAsia="zh-CN" w:bidi="ar"/>
              </w:rPr>
              <w:t>新增2个示范性助餐点</w:t>
            </w:r>
          </w:p>
        </w:tc>
      </w:tr>
      <w:tr w14:paraId="5DCD4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B4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144</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5BE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21"/>
                <w:rFonts w:hint="default" w:ascii="Times New Roman" w:hAnsi="Times New Roman" w:cs="Times New Roman"/>
                <w:color w:val="auto"/>
                <w:highlight w:val="none"/>
                <w:lang w:val="en-US" w:eastAsia="zh-CN" w:bidi="ar"/>
              </w:rPr>
            </w:pPr>
            <w:r>
              <w:rPr>
                <w:rFonts w:hint="default" w:ascii="Times New Roman" w:hAnsi="Times New Roman" w:eastAsia="方正仿宋_GBK" w:cs="Times New Roman"/>
                <w:i w:val="0"/>
                <w:iCs w:val="0"/>
                <w:color w:val="auto"/>
                <w:kern w:val="2"/>
                <w:sz w:val="24"/>
                <w:szCs w:val="24"/>
                <w:highlight w:val="none"/>
                <w:u w:val="none"/>
                <w:lang w:val="en-US" w:eastAsia="zh-CN" w:bidi="ar-SA"/>
              </w:rPr>
              <w:t>完成老年人居家适老化改造120户</w:t>
            </w:r>
          </w:p>
        </w:tc>
      </w:tr>
      <w:tr w14:paraId="32C7F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27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145</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C23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开展养老机构矛盾调解，推进养老机构服务纠纷</w:t>
            </w:r>
            <w:r>
              <w:rPr>
                <w:rFonts w:hint="eastAsia" w:ascii="Times New Roman" w:hAnsi="Times New Roman" w:eastAsia="方正仿宋_GBK" w:cs="Times New Roman"/>
                <w:i w:val="0"/>
                <w:iCs w:val="0"/>
                <w:color w:val="auto"/>
                <w:kern w:val="0"/>
                <w:sz w:val="24"/>
                <w:szCs w:val="24"/>
                <w:highlight w:val="none"/>
                <w:u w:val="none"/>
                <w:lang w:val="en-US" w:eastAsia="zh-CN" w:bidi="ar"/>
              </w:rPr>
              <w:t>调解</w:t>
            </w:r>
            <w:r>
              <w:rPr>
                <w:rFonts w:hint="default" w:ascii="Times New Roman" w:hAnsi="Times New Roman" w:eastAsia="方正仿宋_GBK" w:cs="Times New Roman"/>
                <w:i w:val="0"/>
                <w:iCs w:val="0"/>
                <w:color w:val="auto"/>
                <w:kern w:val="0"/>
                <w:sz w:val="24"/>
                <w:szCs w:val="24"/>
                <w:highlight w:val="none"/>
                <w:u w:val="none"/>
                <w:lang w:val="en-US" w:eastAsia="zh-CN" w:bidi="ar"/>
              </w:rPr>
              <w:t>处理规范标准宣传工作</w:t>
            </w:r>
          </w:p>
        </w:tc>
      </w:tr>
      <w:tr w14:paraId="44BB4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73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146</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25C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建成</w:t>
            </w:r>
            <w:r>
              <w:rPr>
                <w:rStyle w:val="22"/>
                <w:rFonts w:hint="default" w:ascii="Times New Roman" w:hAnsi="Times New Roman" w:eastAsia="方正仿宋_GBK" w:cs="Times New Roman"/>
                <w:color w:val="auto"/>
                <w:highlight w:val="none"/>
                <w:lang w:val="en-US" w:eastAsia="zh-CN" w:bidi="ar"/>
              </w:rPr>
              <w:t>12</w:t>
            </w:r>
            <w:r>
              <w:rPr>
                <w:rStyle w:val="21"/>
                <w:rFonts w:hint="default" w:ascii="Times New Roman" w:hAnsi="Times New Roman" w:cs="Times New Roman"/>
                <w:color w:val="auto"/>
                <w:highlight w:val="none"/>
                <w:lang w:val="en-US" w:eastAsia="zh-CN" w:bidi="ar"/>
              </w:rPr>
              <w:t>个街道未成年人保护工作站，创建</w:t>
            </w:r>
            <w:r>
              <w:rPr>
                <w:rStyle w:val="22"/>
                <w:rFonts w:hint="default" w:ascii="Times New Roman" w:hAnsi="Times New Roman" w:eastAsia="方正仿宋_GBK" w:cs="Times New Roman"/>
                <w:color w:val="auto"/>
                <w:highlight w:val="none"/>
                <w:lang w:val="en-US" w:eastAsia="zh-CN" w:bidi="ar"/>
              </w:rPr>
              <w:t>1</w:t>
            </w:r>
            <w:r>
              <w:rPr>
                <w:rStyle w:val="21"/>
                <w:rFonts w:hint="default" w:ascii="Times New Roman" w:hAnsi="Times New Roman" w:cs="Times New Roman"/>
                <w:color w:val="auto"/>
                <w:highlight w:val="none"/>
                <w:lang w:val="en-US" w:eastAsia="zh-CN" w:bidi="ar"/>
              </w:rPr>
              <w:t>家省级未保站（光华路街道），</w:t>
            </w:r>
            <w:r>
              <w:rPr>
                <w:rStyle w:val="22"/>
                <w:rFonts w:hint="default" w:ascii="Times New Roman" w:hAnsi="Times New Roman" w:eastAsia="方正仿宋_GBK" w:cs="Times New Roman"/>
                <w:color w:val="auto"/>
                <w:highlight w:val="none"/>
                <w:lang w:val="en-US" w:eastAsia="zh-CN" w:bidi="ar"/>
              </w:rPr>
              <w:t>2</w:t>
            </w:r>
            <w:r>
              <w:rPr>
                <w:rStyle w:val="21"/>
                <w:rFonts w:hint="default" w:ascii="Times New Roman" w:hAnsi="Times New Roman" w:cs="Times New Roman"/>
                <w:color w:val="auto"/>
                <w:highlight w:val="none"/>
                <w:lang w:val="en-US" w:eastAsia="zh-CN" w:bidi="ar"/>
              </w:rPr>
              <w:t>家市级未保站（中华门街道、月牙湖街道）</w:t>
            </w:r>
          </w:p>
        </w:tc>
      </w:tr>
      <w:tr w14:paraId="0315D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6E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147</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E48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打造汇幸苑儿童友好社区</w:t>
            </w:r>
          </w:p>
        </w:tc>
      </w:tr>
      <w:tr w14:paraId="11659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DB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148</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F39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Style w:val="21"/>
                <w:rFonts w:hint="default" w:ascii="Times New Roman" w:hAnsi="Times New Roman" w:cs="Times New Roman"/>
                <w:color w:val="auto"/>
                <w:highlight w:val="none"/>
                <w:lang w:val="en-US" w:eastAsia="zh-CN" w:bidi="ar"/>
              </w:rPr>
              <w:t>确保低保对象、困难残疾人、困境儿童等困难群体的服务保障覆盖率达</w:t>
            </w:r>
            <w:r>
              <w:rPr>
                <w:rStyle w:val="22"/>
                <w:rFonts w:hint="default" w:ascii="Times New Roman" w:hAnsi="Times New Roman" w:eastAsia="方正仿宋_GBK" w:cs="Times New Roman"/>
                <w:color w:val="auto"/>
                <w:highlight w:val="none"/>
                <w:lang w:val="en-US" w:eastAsia="zh-CN" w:bidi="ar"/>
              </w:rPr>
              <w:t>100%</w:t>
            </w:r>
          </w:p>
        </w:tc>
      </w:tr>
      <w:tr w14:paraId="7538D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A8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149</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E34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整合救助资源，引导慈善组织发挥自身特长，开展各类慈善捐赠作为</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救急难</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的有力补充</w:t>
            </w:r>
          </w:p>
        </w:tc>
      </w:tr>
      <w:tr w14:paraId="35166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F5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150</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C2A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持续深化温情救助改革，全力推进省级社会救助领域创新实践试点工作</w:t>
            </w:r>
          </w:p>
        </w:tc>
      </w:tr>
      <w:tr w14:paraId="7B8F7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77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151</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E1D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完成贫困残疾人辅具适配</w:t>
            </w:r>
            <w:r>
              <w:rPr>
                <w:rStyle w:val="22"/>
                <w:rFonts w:hint="default" w:ascii="Times New Roman" w:hAnsi="Times New Roman" w:eastAsia="方正仿宋_GBK" w:cs="Times New Roman"/>
                <w:color w:val="auto"/>
                <w:highlight w:val="none"/>
                <w:lang w:val="en-US" w:eastAsia="zh-CN" w:bidi="ar"/>
              </w:rPr>
              <w:t>150</w:t>
            </w:r>
            <w:r>
              <w:rPr>
                <w:rStyle w:val="21"/>
                <w:rFonts w:hint="default" w:ascii="Times New Roman" w:hAnsi="Times New Roman" w:cs="Times New Roman"/>
                <w:color w:val="auto"/>
                <w:highlight w:val="none"/>
                <w:lang w:val="en-US" w:eastAsia="zh-CN" w:bidi="ar"/>
              </w:rPr>
              <w:t>人</w:t>
            </w:r>
          </w:p>
        </w:tc>
      </w:tr>
      <w:tr w14:paraId="5B7C2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13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152</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3DC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2"/>
                <w:rFonts w:hint="default" w:ascii="Times New Roman" w:hAnsi="Times New Roman" w:eastAsia="方正仿宋_GBK" w:cs="Times New Roman"/>
                <w:color w:val="auto"/>
                <w:highlight w:val="none"/>
                <w:lang w:val="en-US" w:eastAsia="zh-CN" w:bidi="ar"/>
              </w:rPr>
              <w:t>有康复需求和意愿的0-17</w:t>
            </w:r>
            <w:r>
              <w:rPr>
                <w:rStyle w:val="21"/>
                <w:rFonts w:hint="default" w:ascii="Times New Roman" w:hAnsi="Times New Roman" w:cs="Times New Roman"/>
                <w:color w:val="auto"/>
                <w:highlight w:val="none"/>
                <w:lang w:val="en-US" w:eastAsia="zh-CN" w:bidi="ar"/>
              </w:rPr>
              <w:t>岁残疾儿童康复服务率达</w:t>
            </w:r>
            <w:r>
              <w:rPr>
                <w:rStyle w:val="22"/>
                <w:rFonts w:hint="default" w:ascii="Times New Roman" w:hAnsi="Times New Roman" w:eastAsia="方正仿宋_GBK" w:cs="Times New Roman"/>
                <w:color w:val="auto"/>
                <w:highlight w:val="none"/>
                <w:lang w:val="en-US" w:eastAsia="zh-CN" w:bidi="ar"/>
              </w:rPr>
              <w:t>100%</w:t>
            </w:r>
          </w:p>
        </w:tc>
      </w:tr>
      <w:tr w14:paraId="3F106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B9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153</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299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符合条件的残疾人机动轮椅车主燃油补贴发放率达</w:t>
            </w:r>
            <w:r>
              <w:rPr>
                <w:rStyle w:val="22"/>
                <w:rFonts w:hint="default" w:ascii="Times New Roman" w:hAnsi="Times New Roman" w:eastAsia="方正仿宋_GBK" w:cs="Times New Roman"/>
                <w:color w:val="auto"/>
                <w:highlight w:val="none"/>
                <w:lang w:val="en-US" w:eastAsia="zh-CN" w:bidi="ar"/>
              </w:rPr>
              <w:t>100%</w:t>
            </w:r>
          </w:p>
        </w:tc>
      </w:tr>
      <w:tr w14:paraId="3A1A4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AC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154</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92A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color w:val="auto"/>
                <w:sz w:val="24"/>
                <w:szCs w:val="24"/>
                <w:highlight w:val="none"/>
                <w:u w:val="none"/>
                <w:lang w:val="en-US" w:eastAsia="zh-CN" w:bidi="ar"/>
              </w:rPr>
              <w:t>做好重要民生商品保供稳价工作，减轻物价上涨对困难群体基本生活影响</w:t>
            </w:r>
          </w:p>
        </w:tc>
      </w:tr>
      <w:tr w14:paraId="46136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C9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2"/>
                <w:sz w:val="24"/>
                <w:szCs w:val="24"/>
                <w:highlight w:val="none"/>
                <w:u w:val="none"/>
                <w:lang w:val="en-US" w:eastAsia="zh-CN" w:bidi="ar-SA"/>
              </w:rPr>
              <w:t>155</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3FA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21"/>
                <w:rFonts w:hint="default" w:ascii="Times New Roman" w:hAnsi="Times New Roman" w:cs="Times New Roman"/>
                <w:color w:val="auto"/>
                <w:highlight w:val="none"/>
                <w:lang w:val="en-US" w:eastAsia="zh-CN" w:bidi="ar"/>
              </w:rPr>
            </w:pPr>
            <w:r>
              <w:rPr>
                <w:rStyle w:val="21"/>
                <w:rFonts w:hint="default" w:ascii="Times New Roman" w:hAnsi="Times New Roman" w:cs="Times New Roman"/>
                <w:color w:val="auto"/>
                <w:highlight w:val="none"/>
                <w:lang w:val="en-US" w:eastAsia="zh-CN" w:bidi="ar"/>
              </w:rPr>
              <w:t>畅通重点人群法律援助</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绿色通道</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，为农民工、老年人、残疾人、妇女儿童、军人军属等重点群体提供优质法律援助服务</w:t>
            </w:r>
          </w:p>
        </w:tc>
      </w:tr>
      <w:tr w14:paraId="63564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F3F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21"/>
                <w:rFonts w:hint="default" w:ascii="Times New Roman" w:hAnsi="Times New Roman" w:cs="Times New Roman"/>
                <w:color w:val="auto"/>
                <w:highlight w:val="none"/>
                <w:lang w:val="en-US" w:eastAsia="zh-CN" w:bidi="ar"/>
              </w:rPr>
            </w:pPr>
            <w:r>
              <w:rPr>
                <w:rStyle w:val="21"/>
                <w:rFonts w:hint="default" w:ascii="Times New Roman" w:hAnsi="Times New Roman" w:eastAsia="方正楷体_GBK" w:cs="Times New Roman"/>
                <w:color w:val="auto"/>
                <w:highlight w:val="none"/>
                <w:lang w:val="en-US" w:eastAsia="zh-CN" w:bidi="ar"/>
              </w:rPr>
              <w:t>（六）聚焦改革赋能，不断提升基层治理水平</w:t>
            </w:r>
          </w:p>
        </w:tc>
      </w:tr>
      <w:tr w14:paraId="3B2B1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D61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21"/>
                <w:rFonts w:hint="default" w:ascii="Times New Roman" w:hAnsi="Times New Roman" w:eastAsia="方正楷体_GBK" w:cs="Times New Roman"/>
                <w:color w:val="auto"/>
                <w:highlight w:val="none"/>
                <w:lang w:val="en-US" w:eastAsia="zh-CN" w:bidi="ar"/>
              </w:rPr>
            </w:pPr>
            <w:r>
              <w:rPr>
                <w:rStyle w:val="21"/>
                <w:rFonts w:hint="default" w:ascii="Times New Roman" w:hAnsi="Times New Roman" w:eastAsia="方正仿宋_GBK" w:cs="Times New Roman"/>
                <w:b/>
                <w:bCs/>
                <w:color w:val="auto"/>
                <w:highlight w:val="none"/>
                <w:lang w:val="en-US" w:eastAsia="zh-CN" w:bidi="ar"/>
              </w:rPr>
              <w:t>1、深化重点领域改革</w:t>
            </w:r>
          </w:p>
        </w:tc>
      </w:tr>
      <w:tr w14:paraId="63F42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D0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eastAsia" w:ascii="Times New Roman" w:hAnsi="Times New Roman" w:eastAsia="方正仿宋_GBK" w:cs="Times New Roman"/>
                <w:i w:val="0"/>
                <w:iCs w:val="0"/>
                <w:color w:val="auto"/>
                <w:kern w:val="2"/>
                <w:sz w:val="24"/>
                <w:szCs w:val="24"/>
                <w:highlight w:val="none"/>
                <w:u w:val="none"/>
                <w:lang w:val="en-US" w:eastAsia="zh-CN" w:bidi="ar-SA"/>
              </w:rPr>
              <w:t>156</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830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稳步推进党政机构改革，统筹优化编制资源配置，进一步加强经济发展、重大民生、安全稳定等重点领域机构的保障力度</w:t>
            </w:r>
          </w:p>
        </w:tc>
      </w:tr>
      <w:tr w14:paraId="3D0E4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72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157</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958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深化基层综合执法改革，编制赋权调整落实权责清单，真正实现管理、执法、服务一体化</w:t>
            </w:r>
          </w:p>
        </w:tc>
      </w:tr>
      <w:tr w14:paraId="59B0C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BE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158</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9CC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实施新一轮国企改革深化提升行动，进一步完善国资监管制度，加快推进低效劣势企业清理处置，实现国企净资产持续增长</w:t>
            </w:r>
          </w:p>
        </w:tc>
      </w:tr>
      <w:tr w14:paraId="64506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62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2"/>
                <w:sz w:val="24"/>
                <w:szCs w:val="24"/>
                <w:highlight w:val="none"/>
                <w:u w:val="none"/>
                <w:lang w:val="en-US" w:eastAsia="zh-CN" w:bidi="ar-SA"/>
              </w:rPr>
              <w:t>159</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5B6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Style w:val="21"/>
                <w:rFonts w:hint="default" w:ascii="Times New Roman" w:hAnsi="Times New Roman" w:cs="Times New Roman"/>
                <w:color w:val="auto"/>
                <w:highlight w:val="none"/>
                <w:lang w:val="en-US" w:eastAsia="zh-CN" w:bidi="ar"/>
              </w:rPr>
              <w:t>加强大型司法所建设，完善街道</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一站式</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矛盾纠纷多元化解中心职能，</w:t>
            </w:r>
            <w:r>
              <w:rPr>
                <w:rFonts w:hint="default" w:ascii="Times New Roman" w:hAnsi="Times New Roman" w:eastAsia="方正仿宋_GBK" w:cs="Times New Roman"/>
                <w:i w:val="0"/>
                <w:iCs w:val="0"/>
                <w:color w:val="auto"/>
                <w:kern w:val="0"/>
                <w:sz w:val="24"/>
                <w:szCs w:val="24"/>
                <w:highlight w:val="none"/>
                <w:u w:val="none"/>
                <w:lang w:val="en-US" w:eastAsia="zh-CN" w:bidi="ar"/>
              </w:rPr>
              <w:t>实现排查预警、分析研判、分流调度和督办考核的流程闭环</w:t>
            </w:r>
          </w:p>
        </w:tc>
      </w:tr>
      <w:tr w14:paraId="7A4F8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0F6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21"/>
                <w:rFonts w:hint="default" w:ascii="Times New Roman" w:hAnsi="Times New Roman" w:cs="Times New Roman"/>
                <w:color w:val="auto"/>
                <w:highlight w:val="none"/>
                <w:lang w:val="en-US" w:eastAsia="zh-CN" w:bidi="ar"/>
              </w:rPr>
            </w:pPr>
            <w:r>
              <w:rPr>
                <w:rStyle w:val="21"/>
                <w:rFonts w:hint="default" w:ascii="Times New Roman" w:hAnsi="Times New Roman" w:eastAsia="方正仿宋_GBK" w:cs="Times New Roman"/>
                <w:b/>
                <w:bCs/>
                <w:color w:val="auto"/>
                <w:highlight w:val="none"/>
                <w:lang w:val="en-US" w:eastAsia="zh-CN" w:bidi="ar"/>
              </w:rPr>
              <w:t>2、打造一流营商环境</w:t>
            </w:r>
          </w:p>
        </w:tc>
      </w:tr>
      <w:tr w14:paraId="625B7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8F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eastAsia" w:ascii="Times New Roman" w:hAnsi="Times New Roman" w:eastAsia="方正仿宋_GBK" w:cs="Times New Roman"/>
                <w:i w:val="0"/>
                <w:iCs w:val="0"/>
                <w:color w:val="auto"/>
                <w:kern w:val="2"/>
                <w:sz w:val="24"/>
                <w:szCs w:val="24"/>
                <w:highlight w:val="none"/>
                <w:u w:val="none"/>
                <w:lang w:val="en-US" w:eastAsia="zh-CN" w:bidi="ar-SA"/>
              </w:rPr>
              <w:t>160</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776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全面开展行政备案规范管理改革，梳理形成区级事项清单</w:t>
            </w:r>
          </w:p>
        </w:tc>
      </w:tr>
      <w:tr w14:paraId="5C0A2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AA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161</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228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成立税费争议调解中心，建立分级分类争议调解机制</w:t>
            </w:r>
          </w:p>
        </w:tc>
      </w:tr>
      <w:tr w14:paraId="7CAC9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41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162</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C03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探索中小投资者保护机制，制定涵盖企业设立、经营、退出市场全生命周期的常见法律风险提示单</w:t>
            </w:r>
          </w:p>
        </w:tc>
      </w:tr>
      <w:tr w14:paraId="50A3E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AC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163</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5EF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搭建流动数字“微法庭”，打通司法服务“最后一公里”</w:t>
            </w:r>
          </w:p>
        </w:tc>
      </w:tr>
      <w:tr w14:paraId="2222C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22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164</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4D2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推进“质量小站”、“知识产权工作站”建设，助力企业商标品牌和高价值专利培育</w:t>
            </w:r>
          </w:p>
        </w:tc>
      </w:tr>
      <w:tr w14:paraId="6689C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D1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165</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1A3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4"/>
                <w:szCs w:val="24"/>
                <w:highlight w:val="none"/>
                <w:u w:val="none"/>
                <w:lang w:val="zh-CN" w:eastAsia="zh-CN" w:bidi="ar"/>
              </w:rPr>
            </w:pPr>
            <w:r>
              <w:rPr>
                <w:rFonts w:hint="default" w:ascii="Times New Roman" w:hAnsi="Times New Roman" w:eastAsia="方正仿宋_GBK" w:cs="Times New Roman"/>
                <w:i w:val="0"/>
                <w:iCs w:val="0"/>
                <w:color w:val="auto"/>
                <w:kern w:val="0"/>
                <w:sz w:val="24"/>
                <w:szCs w:val="24"/>
                <w:highlight w:val="none"/>
                <w:u w:val="none"/>
                <w:lang w:val="zh-CN" w:eastAsia="zh-CN" w:bidi="ar"/>
              </w:rPr>
              <w:t>做好“一带一路”境外</w:t>
            </w:r>
            <w:r>
              <w:rPr>
                <w:rFonts w:hint="default" w:ascii="Times New Roman" w:hAnsi="Times New Roman" w:eastAsia="方正仿宋_GBK" w:cs="Times New Roman"/>
                <w:i w:val="0"/>
                <w:iCs w:val="0"/>
                <w:color w:val="auto"/>
                <w:kern w:val="0"/>
                <w:sz w:val="24"/>
                <w:szCs w:val="24"/>
                <w:highlight w:val="none"/>
                <w:u w:val="none"/>
                <w:lang w:val="en-US" w:eastAsia="zh-CN" w:bidi="ar"/>
              </w:rPr>
              <w:t>投资</w:t>
            </w:r>
            <w:r>
              <w:rPr>
                <w:rFonts w:hint="default" w:ascii="Times New Roman" w:hAnsi="Times New Roman" w:eastAsia="方正仿宋_GBK" w:cs="Times New Roman"/>
                <w:i w:val="0"/>
                <w:iCs w:val="0"/>
                <w:color w:val="auto"/>
                <w:kern w:val="0"/>
                <w:sz w:val="24"/>
                <w:szCs w:val="24"/>
                <w:highlight w:val="none"/>
                <w:u w:val="none"/>
                <w:lang w:val="zh-CN" w:eastAsia="zh-CN" w:bidi="ar"/>
              </w:rPr>
              <w:t>项目承接服务工作</w:t>
            </w:r>
          </w:p>
        </w:tc>
      </w:tr>
      <w:tr w14:paraId="5ED8F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B5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166</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948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4"/>
                <w:szCs w:val="24"/>
                <w:highlight w:val="none"/>
                <w:u w:val="none"/>
                <w:lang w:val="zh-CN" w:eastAsia="zh-CN" w:bidi="ar"/>
              </w:rPr>
            </w:pPr>
            <w:r>
              <w:rPr>
                <w:rFonts w:hint="default" w:ascii="Times New Roman" w:hAnsi="Times New Roman" w:eastAsia="方正仿宋_GBK" w:cs="Times New Roman"/>
                <w:i w:val="0"/>
                <w:iCs w:val="0"/>
                <w:color w:val="auto"/>
                <w:kern w:val="0"/>
                <w:sz w:val="24"/>
                <w:szCs w:val="24"/>
                <w:highlight w:val="none"/>
                <w:u w:val="none"/>
                <w:lang w:val="zh-CN" w:eastAsia="zh-CN" w:bidi="ar"/>
              </w:rPr>
              <w:t>开发“信易+”惠企便民应用服务场景</w:t>
            </w:r>
          </w:p>
        </w:tc>
      </w:tr>
      <w:tr w14:paraId="542D4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4B6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22"/>
                <w:rFonts w:hint="default" w:ascii="Times New Roman" w:hAnsi="Times New Roman" w:eastAsia="方正仿宋_GBK" w:cs="Times New Roman"/>
                <w:color w:val="auto"/>
                <w:highlight w:val="none"/>
                <w:lang w:val="en-US" w:eastAsia="zh-CN" w:bidi="ar"/>
              </w:rPr>
            </w:pPr>
            <w:r>
              <w:rPr>
                <w:rStyle w:val="22"/>
                <w:rFonts w:hint="default" w:ascii="Times New Roman" w:hAnsi="Times New Roman" w:eastAsia="方正仿宋_GBK" w:cs="Times New Roman"/>
                <w:b/>
                <w:bCs/>
                <w:color w:val="auto"/>
                <w:highlight w:val="none"/>
                <w:lang w:val="en-US" w:eastAsia="zh-CN" w:bidi="ar"/>
              </w:rPr>
              <w:t>3、筑牢安全稳定屏障</w:t>
            </w:r>
          </w:p>
        </w:tc>
      </w:tr>
      <w:tr w14:paraId="6F34A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B5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2"/>
                <w:sz w:val="24"/>
                <w:szCs w:val="24"/>
                <w:highlight w:val="none"/>
                <w:u w:val="none"/>
                <w:lang w:val="en-US" w:eastAsia="zh-CN" w:bidi="ar-SA"/>
              </w:rPr>
              <w:t>167</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1EF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持续加强金融、房地产等社会面风险防范</w:t>
            </w:r>
          </w:p>
        </w:tc>
      </w:tr>
      <w:tr w14:paraId="0E977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DD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kern w:val="2"/>
                <w:sz w:val="24"/>
                <w:szCs w:val="24"/>
                <w:highlight w:val="none"/>
                <w:u w:val="none"/>
                <w:lang w:val="en-US" w:eastAsia="zh-CN" w:bidi="ar-SA"/>
              </w:rPr>
            </w:pPr>
            <w:r>
              <w:rPr>
                <w:rFonts w:hint="eastAsia" w:ascii="Times New Roman" w:hAnsi="Times New Roman" w:eastAsia="方正仿宋_GBK" w:cs="Times New Roman"/>
                <w:i w:val="0"/>
                <w:iCs w:val="0"/>
                <w:color w:val="auto"/>
                <w:kern w:val="2"/>
                <w:sz w:val="24"/>
                <w:szCs w:val="24"/>
                <w:highlight w:val="none"/>
                <w:u w:val="none"/>
                <w:lang w:val="en-US" w:eastAsia="zh-CN" w:bidi="ar-SA"/>
              </w:rPr>
              <w:t>168</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3A0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全面排查整治城镇燃气全链条风险隐患</w:t>
            </w:r>
          </w:p>
        </w:tc>
      </w:tr>
      <w:tr w14:paraId="0450A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3C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169</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9C94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全年完成食品安全快速检验</w:t>
            </w:r>
            <w:r>
              <w:rPr>
                <w:rStyle w:val="22"/>
                <w:rFonts w:hint="default" w:ascii="Times New Roman" w:hAnsi="Times New Roman" w:eastAsia="方正仿宋_GBK" w:cs="Times New Roman"/>
                <w:color w:val="auto"/>
                <w:highlight w:val="none"/>
                <w:lang w:val="en-US" w:eastAsia="zh-CN" w:bidi="ar"/>
              </w:rPr>
              <w:t>7000</w:t>
            </w:r>
            <w:r>
              <w:rPr>
                <w:rStyle w:val="21"/>
                <w:rFonts w:hint="default" w:ascii="Times New Roman" w:hAnsi="Times New Roman" w:cs="Times New Roman"/>
                <w:color w:val="auto"/>
                <w:highlight w:val="none"/>
                <w:lang w:val="en-US" w:eastAsia="zh-CN" w:bidi="ar"/>
              </w:rPr>
              <w:t>批次、区级食品抽检</w:t>
            </w:r>
            <w:r>
              <w:rPr>
                <w:rStyle w:val="22"/>
                <w:rFonts w:hint="default" w:ascii="Times New Roman" w:hAnsi="Times New Roman" w:eastAsia="方正仿宋_GBK" w:cs="Times New Roman"/>
                <w:color w:val="auto"/>
                <w:highlight w:val="none"/>
                <w:lang w:val="en-US" w:eastAsia="zh-CN" w:bidi="ar"/>
              </w:rPr>
              <w:t>4800</w:t>
            </w:r>
            <w:r>
              <w:rPr>
                <w:rStyle w:val="21"/>
                <w:rFonts w:hint="default" w:ascii="Times New Roman" w:hAnsi="Times New Roman" w:cs="Times New Roman"/>
                <w:color w:val="auto"/>
                <w:highlight w:val="none"/>
                <w:lang w:val="en-US" w:eastAsia="zh-CN" w:bidi="ar"/>
              </w:rPr>
              <w:t>批次，持续提升食品药品日常监管和应急处置能力</w:t>
            </w:r>
          </w:p>
        </w:tc>
      </w:tr>
      <w:tr w14:paraId="1E64B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85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170</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AA1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2"/>
                <w:sz w:val="24"/>
                <w:szCs w:val="24"/>
                <w:highlight w:val="none"/>
                <w:u w:val="none"/>
                <w:lang w:val="en-US" w:eastAsia="zh-CN" w:bidi="ar-SA"/>
              </w:rPr>
              <w:t>完成30台15年以上故障率投诉率较高住宅老旧电梯的安全评估工作</w:t>
            </w:r>
          </w:p>
        </w:tc>
      </w:tr>
      <w:tr w14:paraId="50DB0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39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171</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594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万台特种设备事故率、死亡率</w:t>
            </w:r>
            <w:r>
              <w:rPr>
                <w:rStyle w:val="22"/>
                <w:rFonts w:hint="default" w:ascii="Times New Roman" w:hAnsi="Times New Roman" w:eastAsia="方正仿宋_GBK" w:cs="Times New Roman"/>
                <w:color w:val="auto"/>
                <w:highlight w:val="none"/>
                <w:lang w:val="en-US" w:eastAsia="zh-CN" w:bidi="ar"/>
              </w:rPr>
              <w:t>≤0.07</w:t>
            </w:r>
          </w:p>
        </w:tc>
      </w:tr>
      <w:tr w14:paraId="783BC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F8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172</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8C1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网格化治理达标率继续保持主城第一方阵</w:t>
            </w:r>
          </w:p>
        </w:tc>
      </w:tr>
      <w:tr w14:paraId="229E6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DA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2"/>
                <w:sz w:val="24"/>
                <w:szCs w:val="24"/>
                <w:highlight w:val="none"/>
                <w:u w:val="none"/>
                <w:lang w:val="en-US" w:eastAsia="zh-CN" w:bidi="ar-SA"/>
              </w:rPr>
              <w:t>173</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F8C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生产安全事故起数、死亡人数实现</w:t>
            </w:r>
            <w:r>
              <w:rPr>
                <w:rStyle w:val="22"/>
                <w:rFonts w:hint="default" w:ascii="Times New Roman" w:hAnsi="Times New Roman" w:eastAsia="方正仿宋_GBK" w:cs="Times New Roman"/>
                <w:color w:val="auto"/>
                <w:highlight w:val="none"/>
                <w:lang w:val="en-US" w:eastAsia="zh-CN" w:bidi="ar"/>
              </w:rPr>
              <w:t>“</w:t>
            </w:r>
            <w:r>
              <w:rPr>
                <w:rStyle w:val="21"/>
                <w:rFonts w:hint="default" w:ascii="Times New Roman" w:hAnsi="Times New Roman" w:cs="Times New Roman"/>
                <w:color w:val="auto"/>
                <w:highlight w:val="none"/>
                <w:lang w:val="en-US" w:eastAsia="zh-CN" w:bidi="ar"/>
              </w:rPr>
              <w:t>双下降</w:t>
            </w:r>
            <w:r>
              <w:rPr>
                <w:rStyle w:val="22"/>
                <w:rFonts w:hint="default" w:ascii="Times New Roman" w:hAnsi="Times New Roman" w:eastAsia="方正仿宋_GBK" w:cs="Times New Roman"/>
                <w:color w:val="auto"/>
                <w:highlight w:val="none"/>
                <w:lang w:val="en-US" w:eastAsia="zh-CN" w:bidi="ar"/>
              </w:rPr>
              <w:t>”</w:t>
            </w:r>
          </w:p>
        </w:tc>
      </w:tr>
      <w:tr w14:paraId="72B04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92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174</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7B6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color w:val="auto"/>
                <w:kern w:val="2"/>
                <w:sz w:val="24"/>
                <w:szCs w:val="24"/>
                <w:highlight w:val="none"/>
                <w:u w:val="none"/>
                <w:lang w:val="en-US" w:eastAsia="zh-CN" w:bidi="ar"/>
              </w:rPr>
            </w:pPr>
            <w:r>
              <w:rPr>
                <w:rStyle w:val="22"/>
                <w:rFonts w:hint="default" w:ascii="Times New Roman" w:hAnsi="Times New Roman" w:eastAsia="方正仿宋_GBK" w:cs="Times New Roman"/>
                <w:color w:val="auto"/>
                <w:highlight w:val="none"/>
                <w:lang w:val="en-US" w:eastAsia="zh-CN" w:bidi="ar"/>
              </w:rPr>
              <w:t>12345</w:t>
            </w:r>
            <w:r>
              <w:rPr>
                <w:rStyle w:val="21"/>
                <w:rFonts w:hint="default" w:ascii="Times New Roman" w:hAnsi="Times New Roman" w:cs="Times New Roman"/>
                <w:color w:val="auto"/>
                <w:highlight w:val="none"/>
                <w:lang w:val="en-US" w:eastAsia="zh-CN" w:bidi="ar"/>
              </w:rPr>
              <w:t>政务服务便民热线问题解决率超</w:t>
            </w:r>
            <w:r>
              <w:rPr>
                <w:rStyle w:val="22"/>
                <w:rFonts w:hint="default" w:ascii="Times New Roman" w:hAnsi="Times New Roman" w:eastAsia="方正仿宋_GBK" w:cs="Times New Roman"/>
                <w:color w:val="auto"/>
                <w:highlight w:val="none"/>
                <w:lang w:val="en-US" w:eastAsia="zh-CN" w:bidi="ar"/>
              </w:rPr>
              <w:t>82%</w:t>
            </w:r>
            <w:r>
              <w:rPr>
                <w:rStyle w:val="21"/>
                <w:rFonts w:hint="default" w:ascii="Times New Roman" w:hAnsi="Times New Roman" w:cs="Times New Roman"/>
                <w:color w:val="auto"/>
                <w:highlight w:val="none"/>
                <w:lang w:val="en-US" w:eastAsia="zh-CN" w:bidi="ar"/>
              </w:rPr>
              <w:t>，群众满意度超</w:t>
            </w:r>
            <w:r>
              <w:rPr>
                <w:rStyle w:val="22"/>
                <w:rFonts w:hint="default" w:ascii="Times New Roman" w:hAnsi="Times New Roman" w:eastAsia="方正仿宋_GBK" w:cs="Times New Roman"/>
                <w:color w:val="auto"/>
                <w:highlight w:val="none"/>
                <w:lang w:val="en-US" w:eastAsia="zh-CN" w:bidi="ar"/>
              </w:rPr>
              <w:t>95%</w:t>
            </w:r>
          </w:p>
        </w:tc>
      </w:tr>
      <w:tr w14:paraId="29775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9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604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4、强化数据治理能力</w:t>
            </w:r>
          </w:p>
        </w:tc>
      </w:tr>
      <w:tr w14:paraId="46AB3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41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lang w:val="en-US" w:eastAsia="zh-CN"/>
              </w:rPr>
            </w:pPr>
            <w:r>
              <w:rPr>
                <w:rFonts w:hint="eastAsia" w:ascii="Times New Roman" w:hAnsi="Times New Roman" w:eastAsia="方正仿宋_GBK" w:cs="Times New Roman"/>
                <w:i w:val="0"/>
                <w:iCs w:val="0"/>
                <w:color w:val="auto"/>
                <w:sz w:val="24"/>
                <w:szCs w:val="24"/>
                <w:highlight w:val="none"/>
                <w:u w:val="none"/>
                <w:lang w:val="en-US" w:eastAsia="zh-CN"/>
              </w:rPr>
              <w:t>175</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E22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系统推进区城一体的物联感知和事件中台开发建设</w:t>
            </w:r>
          </w:p>
        </w:tc>
      </w:tr>
      <w:tr w14:paraId="6211B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F1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176</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4A6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创新开发应急等各类服务场景，不断提升城市治理的感知预警和快速反应能力</w:t>
            </w:r>
          </w:p>
        </w:tc>
      </w:tr>
      <w:tr w14:paraId="214A3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99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sz w:val="24"/>
                <w:szCs w:val="24"/>
                <w:highlight w:val="none"/>
                <w:u w:val="none"/>
                <w:lang w:val="en-US" w:eastAsia="zh-CN"/>
              </w:rPr>
              <w:t>177</w:t>
            </w:r>
          </w:p>
        </w:tc>
        <w:tc>
          <w:tcPr>
            <w:tcW w:w="8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EFD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Style w:val="21"/>
                <w:rFonts w:hint="default" w:ascii="Times New Roman" w:hAnsi="Times New Roman" w:cs="Times New Roman"/>
                <w:color w:val="auto"/>
                <w:highlight w:val="none"/>
                <w:lang w:val="en-US" w:eastAsia="zh-CN" w:bidi="ar"/>
              </w:rPr>
              <w:t>新建全区统一安全防护和运维升级改造等政务信息化项目11个</w:t>
            </w:r>
          </w:p>
        </w:tc>
      </w:tr>
    </w:tbl>
    <w:p w14:paraId="7E70B3D1">
      <w:pPr>
        <w:rPr>
          <w:rFonts w:hint="default" w:ascii="Times New Roman" w:hAnsi="Times New Roman" w:eastAsia="方正仿宋_GBK" w:cs="Times New Roman"/>
          <w:color w:val="auto"/>
          <w:sz w:val="24"/>
          <w:szCs w:val="24"/>
          <w:highlight w:val="none"/>
          <w:lang w:val="en-US" w:eastAsia="zh-CN"/>
        </w:rPr>
        <w:sectPr>
          <w:footerReference r:id="rId4" w:type="default"/>
          <w:pgSz w:w="11906" w:h="16838"/>
          <w:pgMar w:top="1814" w:right="1587" w:bottom="181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05D7F58">
      <w:pPr>
        <w:pStyle w:val="9"/>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附件2</w:t>
      </w:r>
    </w:p>
    <w:p w14:paraId="61FD31E1">
      <w:pPr>
        <w:jc w:val="center"/>
        <w:rPr>
          <w:rFonts w:hint="default" w:ascii="Times New Roman" w:hAnsi="Times New Roman" w:eastAsia="方正黑体_GBK" w:cs="Times New Roman"/>
          <w:color w:val="auto"/>
          <w:sz w:val="36"/>
          <w:szCs w:val="36"/>
          <w:highlight w:val="none"/>
          <w:lang w:eastAsia="zh-CN"/>
        </w:rPr>
      </w:pPr>
      <w:r>
        <w:rPr>
          <w:rFonts w:hint="default" w:ascii="Times New Roman" w:hAnsi="Times New Roman" w:eastAsia="方正黑体_GBK" w:cs="Times New Roman"/>
          <w:color w:val="auto"/>
          <w:sz w:val="36"/>
          <w:szCs w:val="36"/>
          <w:highlight w:val="none"/>
        </w:rPr>
        <w:t>秦淮区2024年</w:t>
      </w:r>
      <w:r>
        <w:rPr>
          <w:rFonts w:hint="default" w:ascii="Times New Roman" w:hAnsi="Times New Roman" w:eastAsia="方正黑体_GBK" w:cs="Times New Roman"/>
          <w:color w:val="auto"/>
          <w:sz w:val="36"/>
          <w:szCs w:val="36"/>
          <w:highlight w:val="none"/>
          <w:lang w:eastAsia="zh-CN"/>
        </w:rPr>
        <w:t>度</w:t>
      </w:r>
      <w:r>
        <w:rPr>
          <w:rFonts w:hint="default" w:ascii="Times New Roman" w:hAnsi="Times New Roman" w:eastAsia="方正黑体_GBK" w:cs="Times New Roman"/>
          <w:color w:val="auto"/>
          <w:sz w:val="36"/>
          <w:szCs w:val="36"/>
          <w:highlight w:val="none"/>
        </w:rPr>
        <w:t>重大项目</w:t>
      </w:r>
      <w:r>
        <w:rPr>
          <w:rFonts w:hint="default" w:ascii="Times New Roman" w:hAnsi="Times New Roman" w:eastAsia="方正黑体_GBK" w:cs="Times New Roman"/>
          <w:color w:val="auto"/>
          <w:sz w:val="36"/>
          <w:szCs w:val="36"/>
          <w:highlight w:val="none"/>
          <w:lang w:eastAsia="zh-CN"/>
        </w:rPr>
        <w:t>一览表</w:t>
      </w:r>
    </w:p>
    <w:tbl>
      <w:tblPr>
        <w:tblStyle w:val="13"/>
        <w:tblW w:w="95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4920"/>
        <w:gridCol w:w="3885"/>
      </w:tblGrid>
      <w:tr w14:paraId="3EEA0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9" w:hRule="atLeast"/>
          <w:tblHeader/>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93F96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auto"/>
                <w:sz w:val="24"/>
                <w:szCs w:val="24"/>
                <w:highlight w:val="none"/>
                <w:u w:val="none"/>
              </w:rPr>
            </w:pPr>
            <w:r>
              <w:rPr>
                <w:rFonts w:hint="default" w:ascii="Times New Roman" w:hAnsi="Times New Roman" w:eastAsia="方正黑体_GBK" w:cs="Times New Roman"/>
                <w:b w:val="0"/>
                <w:bCs w:val="0"/>
                <w:i w:val="0"/>
                <w:iCs w:val="0"/>
                <w:color w:val="auto"/>
                <w:kern w:val="0"/>
                <w:sz w:val="24"/>
                <w:szCs w:val="24"/>
                <w:highlight w:val="none"/>
                <w:u w:val="none"/>
                <w:lang w:val="en-US" w:eastAsia="zh-CN" w:bidi="ar"/>
              </w:rPr>
              <w:t>序号</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343EA0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auto"/>
                <w:sz w:val="24"/>
                <w:szCs w:val="24"/>
                <w:highlight w:val="none"/>
                <w:u w:val="none"/>
              </w:rPr>
            </w:pPr>
            <w:r>
              <w:rPr>
                <w:rFonts w:hint="default" w:ascii="Times New Roman" w:hAnsi="Times New Roman" w:eastAsia="方正黑体_GBK" w:cs="Times New Roman"/>
                <w:b w:val="0"/>
                <w:bCs w:val="0"/>
                <w:i w:val="0"/>
                <w:iCs w:val="0"/>
                <w:color w:val="auto"/>
                <w:kern w:val="0"/>
                <w:sz w:val="24"/>
                <w:szCs w:val="24"/>
                <w:highlight w:val="none"/>
                <w:u w:val="none"/>
                <w:lang w:val="en-US" w:eastAsia="zh-CN" w:bidi="ar"/>
              </w:rPr>
              <w:t>项目名称</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7DC9E3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auto"/>
                <w:sz w:val="24"/>
                <w:szCs w:val="24"/>
                <w:highlight w:val="none"/>
                <w:u w:val="none"/>
              </w:rPr>
            </w:pPr>
            <w:r>
              <w:rPr>
                <w:rFonts w:hint="default" w:ascii="Times New Roman" w:hAnsi="Times New Roman" w:eastAsia="方正黑体_GBK" w:cs="Times New Roman"/>
                <w:b w:val="0"/>
                <w:bCs w:val="0"/>
                <w:i w:val="0"/>
                <w:iCs w:val="0"/>
                <w:color w:val="auto"/>
                <w:kern w:val="0"/>
                <w:sz w:val="24"/>
                <w:szCs w:val="24"/>
                <w:highlight w:val="none"/>
                <w:u w:val="none"/>
                <w:lang w:val="en-US" w:eastAsia="zh-CN" w:bidi="ar"/>
              </w:rPr>
              <w:t>年度形象进度目标</w:t>
            </w:r>
          </w:p>
        </w:tc>
      </w:tr>
      <w:tr w14:paraId="44065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955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2773C0C">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一、新开工项目</w:t>
            </w:r>
          </w:p>
        </w:tc>
      </w:tr>
      <w:tr w14:paraId="37FE5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955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B16A262">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（一）产业类项目</w:t>
            </w:r>
          </w:p>
        </w:tc>
      </w:tr>
      <w:tr w14:paraId="4BBB5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A8125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393628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★华熙健康华东总部</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2038AF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桩基施工</w:t>
            </w:r>
          </w:p>
        </w:tc>
      </w:tr>
      <w:tr w14:paraId="4ED52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850DA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2</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68705C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★天安数码城三期</w:t>
            </w:r>
          </w:p>
        </w:tc>
        <w:tc>
          <w:tcPr>
            <w:tcW w:w="3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EB4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桩基施工</w:t>
            </w:r>
          </w:p>
        </w:tc>
      </w:tr>
      <w:tr w14:paraId="46D73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955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F9D243B">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（二）楼宇改造类项目</w:t>
            </w:r>
          </w:p>
        </w:tc>
      </w:tr>
      <w:tr w14:paraId="4C82A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FD8F6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3</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7C9B5A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文和友项目（一期）</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782EAF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开工建设</w:t>
            </w:r>
          </w:p>
        </w:tc>
      </w:tr>
      <w:tr w14:paraId="286EF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E2E4D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4</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516E26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报业大厦</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5EA7F6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4763B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7901A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5</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07916C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友谊河锦创产业园</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79BF1C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开工建设</w:t>
            </w:r>
          </w:p>
        </w:tc>
      </w:tr>
      <w:tr w14:paraId="5ECF7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955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A96B3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（三）房地产类项目</w:t>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087" name="AutoShape_2_SpCnt_1"/>
                  <wp:cNvGraphicFramePr/>
                  <a:graphic xmlns:a="http://schemas.openxmlformats.org/drawingml/2006/main">
                    <a:graphicData uri="http://schemas.openxmlformats.org/drawingml/2006/picture">
                      <pic:pic xmlns:pic="http://schemas.openxmlformats.org/drawingml/2006/picture">
                        <pic:nvPicPr>
                          <pic:cNvPr id="1087" name="AutoShape_2_SpCnt_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090" name="AutoShape_2_SpCnt_2"/>
                  <wp:cNvGraphicFramePr/>
                  <a:graphic xmlns:a="http://schemas.openxmlformats.org/drawingml/2006/main">
                    <a:graphicData uri="http://schemas.openxmlformats.org/drawingml/2006/picture">
                      <pic:pic xmlns:pic="http://schemas.openxmlformats.org/drawingml/2006/picture">
                        <pic:nvPicPr>
                          <pic:cNvPr id="1090" name="AutoShape_2_SpCnt_2"/>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02" name="AutoShape_2_SpCnt_3"/>
                  <wp:cNvGraphicFramePr/>
                  <a:graphic xmlns:a="http://schemas.openxmlformats.org/drawingml/2006/main">
                    <a:graphicData uri="http://schemas.openxmlformats.org/drawingml/2006/picture">
                      <pic:pic xmlns:pic="http://schemas.openxmlformats.org/drawingml/2006/picture">
                        <pic:nvPicPr>
                          <pic:cNvPr id="1102" name="AutoShape_2_SpCnt_3"/>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088" name="AutoShape_2_SpCnt_4"/>
                  <wp:cNvGraphicFramePr/>
                  <a:graphic xmlns:a="http://schemas.openxmlformats.org/drawingml/2006/main">
                    <a:graphicData uri="http://schemas.openxmlformats.org/drawingml/2006/picture">
                      <pic:pic xmlns:pic="http://schemas.openxmlformats.org/drawingml/2006/picture">
                        <pic:nvPicPr>
                          <pic:cNvPr id="1088" name="AutoShape_2_SpCnt_4"/>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092" name="AutoShape_2_SpCnt_5"/>
                  <wp:cNvGraphicFramePr/>
                  <a:graphic xmlns:a="http://schemas.openxmlformats.org/drawingml/2006/main">
                    <a:graphicData uri="http://schemas.openxmlformats.org/drawingml/2006/picture">
                      <pic:pic xmlns:pic="http://schemas.openxmlformats.org/drawingml/2006/picture">
                        <pic:nvPicPr>
                          <pic:cNvPr id="1092" name="AutoShape_2_SpCnt_5"/>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094" name="AutoShape_2_SpCnt_6"/>
                  <wp:cNvGraphicFramePr/>
                  <a:graphic xmlns:a="http://schemas.openxmlformats.org/drawingml/2006/main">
                    <a:graphicData uri="http://schemas.openxmlformats.org/drawingml/2006/picture">
                      <pic:pic xmlns:pic="http://schemas.openxmlformats.org/drawingml/2006/picture">
                        <pic:nvPicPr>
                          <pic:cNvPr id="1094" name="AutoShape_2_SpCnt_6"/>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097" name="AutoShape_1"/>
                  <wp:cNvGraphicFramePr/>
                  <a:graphic xmlns:a="http://schemas.openxmlformats.org/drawingml/2006/main">
                    <a:graphicData uri="http://schemas.openxmlformats.org/drawingml/2006/picture">
                      <pic:pic xmlns:pic="http://schemas.openxmlformats.org/drawingml/2006/picture">
                        <pic:nvPicPr>
                          <pic:cNvPr id="1097" name="AutoShape_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093" name="AutoShape_2_SpCnt_7"/>
                  <wp:cNvGraphicFramePr/>
                  <a:graphic xmlns:a="http://schemas.openxmlformats.org/drawingml/2006/main">
                    <a:graphicData uri="http://schemas.openxmlformats.org/drawingml/2006/picture">
                      <pic:pic xmlns:pic="http://schemas.openxmlformats.org/drawingml/2006/picture">
                        <pic:nvPicPr>
                          <pic:cNvPr id="1093" name="AutoShape_2_SpCnt_7"/>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095" name="AutoShape_1_SpCnt_1"/>
                  <wp:cNvGraphicFramePr/>
                  <a:graphic xmlns:a="http://schemas.openxmlformats.org/drawingml/2006/main">
                    <a:graphicData uri="http://schemas.openxmlformats.org/drawingml/2006/picture">
                      <pic:pic xmlns:pic="http://schemas.openxmlformats.org/drawingml/2006/picture">
                        <pic:nvPicPr>
                          <pic:cNvPr id="1095" name="AutoShape_1_SpCnt_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17" name="AutoShape_1_SpCnt_2"/>
                  <wp:cNvGraphicFramePr/>
                  <a:graphic xmlns:a="http://schemas.openxmlformats.org/drawingml/2006/main">
                    <a:graphicData uri="http://schemas.openxmlformats.org/drawingml/2006/picture">
                      <pic:pic xmlns:pic="http://schemas.openxmlformats.org/drawingml/2006/picture">
                        <pic:nvPicPr>
                          <pic:cNvPr id="1117" name="AutoShape_1_SpCnt_2"/>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12" name="AutoShape_2_SpCnt_8"/>
                  <wp:cNvGraphicFramePr/>
                  <a:graphic xmlns:a="http://schemas.openxmlformats.org/drawingml/2006/main">
                    <a:graphicData uri="http://schemas.openxmlformats.org/drawingml/2006/picture">
                      <pic:pic xmlns:pic="http://schemas.openxmlformats.org/drawingml/2006/picture">
                        <pic:nvPicPr>
                          <pic:cNvPr id="1112" name="AutoShape_2_SpCnt_8"/>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089" name="AutoShape_1_SpCnt_3"/>
                  <wp:cNvGraphicFramePr/>
                  <a:graphic xmlns:a="http://schemas.openxmlformats.org/drawingml/2006/main">
                    <a:graphicData uri="http://schemas.openxmlformats.org/drawingml/2006/picture">
                      <pic:pic xmlns:pic="http://schemas.openxmlformats.org/drawingml/2006/picture">
                        <pic:nvPicPr>
                          <pic:cNvPr id="1089" name="AutoShape_1_SpCnt_3"/>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07" name="AutoShape_2_SpCnt_9"/>
                  <wp:cNvGraphicFramePr/>
                  <a:graphic xmlns:a="http://schemas.openxmlformats.org/drawingml/2006/main">
                    <a:graphicData uri="http://schemas.openxmlformats.org/drawingml/2006/picture">
                      <pic:pic xmlns:pic="http://schemas.openxmlformats.org/drawingml/2006/picture">
                        <pic:nvPicPr>
                          <pic:cNvPr id="1107" name="AutoShape_2_SpCnt_9"/>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09" name="AutoShape_1_SpCnt_4"/>
                  <wp:cNvGraphicFramePr/>
                  <a:graphic xmlns:a="http://schemas.openxmlformats.org/drawingml/2006/main">
                    <a:graphicData uri="http://schemas.openxmlformats.org/drawingml/2006/picture">
                      <pic:pic xmlns:pic="http://schemas.openxmlformats.org/drawingml/2006/picture">
                        <pic:nvPicPr>
                          <pic:cNvPr id="1109" name="AutoShape_1_SpCnt_4"/>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091" name="AutoShape_2_SpCnt_10"/>
                  <wp:cNvGraphicFramePr/>
                  <a:graphic xmlns:a="http://schemas.openxmlformats.org/drawingml/2006/main">
                    <a:graphicData uri="http://schemas.openxmlformats.org/drawingml/2006/picture">
                      <pic:pic xmlns:pic="http://schemas.openxmlformats.org/drawingml/2006/picture">
                        <pic:nvPicPr>
                          <pic:cNvPr id="1091" name="AutoShape_2_SpCnt_10"/>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08" name="AutoShape_1_SpCnt_5"/>
                  <wp:cNvGraphicFramePr/>
                  <a:graphic xmlns:a="http://schemas.openxmlformats.org/drawingml/2006/main">
                    <a:graphicData uri="http://schemas.openxmlformats.org/drawingml/2006/picture">
                      <pic:pic xmlns:pic="http://schemas.openxmlformats.org/drawingml/2006/picture">
                        <pic:nvPicPr>
                          <pic:cNvPr id="1108" name="AutoShape_1_SpCnt_5"/>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086" name="AutoShape_1_SpCnt_6"/>
                  <wp:cNvGraphicFramePr/>
                  <a:graphic xmlns:a="http://schemas.openxmlformats.org/drawingml/2006/main">
                    <a:graphicData uri="http://schemas.openxmlformats.org/drawingml/2006/picture">
                      <pic:pic xmlns:pic="http://schemas.openxmlformats.org/drawingml/2006/picture">
                        <pic:nvPicPr>
                          <pic:cNvPr id="1086" name="AutoShape_1_SpCnt_6"/>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01" name="AutoShape_2_SpCnt_11"/>
                  <wp:cNvGraphicFramePr/>
                  <a:graphic xmlns:a="http://schemas.openxmlformats.org/drawingml/2006/main">
                    <a:graphicData uri="http://schemas.openxmlformats.org/drawingml/2006/picture">
                      <pic:pic xmlns:pic="http://schemas.openxmlformats.org/drawingml/2006/picture">
                        <pic:nvPicPr>
                          <pic:cNvPr id="1101" name="AutoShape_2_SpCnt_1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099" name="AutoShape_1_SpCnt_7"/>
                  <wp:cNvGraphicFramePr/>
                  <a:graphic xmlns:a="http://schemas.openxmlformats.org/drawingml/2006/main">
                    <a:graphicData uri="http://schemas.openxmlformats.org/drawingml/2006/picture">
                      <pic:pic xmlns:pic="http://schemas.openxmlformats.org/drawingml/2006/picture">
                        <pic:nvPicPr>
                          <pic:cNvPr id="1099" name="AutoShape_1_SpCnt_7"/>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06" name="AutoShape_2_SpCnt_12"/>
                  <wp:cNvGraphicFramePr/>
                  <a:graphic xmlns:a="http://schemas.openxmlformats.org/drawingml/2006/main">
                    <a:graphicData uri="http://schemas.openxmlformats.org/drawingml/2006/picture">
                      <pic:pic xmlns:pic="http://schemas.openxmlformats.org/drawingml/2006/picture">
                        <pic:nvPicPr>
                          <pic:cNvPr id="1106" name="AutoShape_2_SpCnt_12"/>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13" name="AutoShape_2_SpCnt_13"/>
                  <wp:cNvGraphicFramePr/>
                  <a:graphic xmlns:a="http://schemas.openxmlformats.org/drawingml/2006/main">
                    <a:graphicData uri="http://schemas.openxmlformats.org/drawingml/2006/picture">
                      <pic:pic xmlns:pic="http://schemas.openxmlformats.org/drawingml/2006/picture">
                        <pic:nvPicPr>
                          <pic:cNvPr id="1113" name="AutoShape_2_SpCnt_13"/>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00" name="AutoShape_1_SpCnt_8"/>
                  <wp:cNvGraphicFramePr/>
                  <a:graphic xmlns:a="http://schemas.openxmlformats.org/drawingml/2006/main">
                    <a:graphicData uri="http://schemas.openxmlformats.org/drawingml/2006/picture">
                      <pic:pic xmlns:pic="http://schemas.openxmlformats.org/drawingml/2006/picture">
                        <pic:nvPicPr>
                          <pic:cNvPr id="1100" name="AutoShape_1_SpCnt_8"/>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03" name="AutoShape_1_SpCnt_9"/>
                  <wp:cNvGraphicFramePr/>
                  <a:graphic xmlns:a="http://schemas.openxmlformats.org/drawingml/2006/main">
                    <a:graphicData uri="http://schemas.openxmlformats.org/drawingml/2006/picture">
                      <pic:pic xmlns:pic="http://schemas.openxmlformats.org/drawingml/2006/picture">
                        <pic:nvPicPr>
                          <pic:cNvPr id="1103" name="AutoShape_1_SpCnt_9"/>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10" name="AutoShape_1_SpCnt_10"/>
                  <wp:cNvGraphicFramePr/>
                  <a:graphic xmlns:a="http://schemas.openxmlformats.org/drawingml/2006/main">
                    <a:graphicData uri="http://schemas.openxmlformats.org/drawingml/2006/picture">
                      <pic:pic xmlns:pic="http://schemas.openxmlformats.org/drawingml/2006/picture">
                        <pic:nvPicPr>
                          <pic:cNvPr id="1110" name="AutoShape_1_SpCnt_10"/>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14" name="AutoShape_2_SpCnt_14"/>
                  <wp:cNvGraphicFramePr/>
                  <a:graphic xmlns:a="http://schemas.openxmlformats.org/drawingml/2006/main">
                    <a:graphicData uri="http://schemas.openxmlformats.org/drawingml/2006/picture">
                      <pic:pic xmlns:pic="http://schemas.openxmlformats.org/drawingml/2006/picture">
                        <pic:nvPicPr>
                          <pic:cNvPr id="1114" name="AutoShape_2_SpCnt_14"/>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04" name="AutoShape_1_SpCnt_11"/>
                  <wp:cNvGraphicFramePr/>
                  <a:graphic xmlns:a="http://schemas.openxmlformats.org/drawingml/2006/main">
                    <a:graphicData uri="http://schemas.openxmlformats.org/drawingml/2006/picture">
                      <pic:pic xmlns:pic="http://schemas.openxmlformats.org/drawingml/2006/picture">
                        <pic:nvPicPr>
                          <pic:cNvPr id="1104" name="AutoShape_1_SpCnt_1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11" name="AutoShape_1_SpCnt_12"/>
                  <wp:cNvGraphicFramePr/>
                  <a:graphic xmlns:a="http://schemas.openxmlformats.org/drawingml/2006/main">
                    <a:graphicData uri="http://schemas.openxmlformats.org/drawingml/2006/picture">
                      <pic:pic xmlns:pic="http://schemas.openxmlformats.org/drawingml/2006/picture">
                        <pic:nvPicPr>
                          <pic:cNvPr id="1111" name="AutoShape_1_SpCnt_12"/>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05" name="AutoShape_1_SpCnt_13"/>
                  <wp:cNvGraphicFramePr/>
                  <a:graphic xmlns:a="http://schemas.openxmlformats.org/drawingml/2006/main">
                    <a:graphicData uri="http://schemas.openxmlformats.org/drawingml/2006/picture">
                      <pic:pic xmlns:pic="http://schemas.openxmlformats.org/drawingml/2006/picture">
                        <pic:nvPicPr>
                          <pic:cNvPr id="1105" name="AutoShape_1_SpCnt_13"/>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098" name="AutoShape_2_SpCnt_15"/>
                  <wp:cNvGraphicFramePr/>
                  <a:graphic xmlns:a="http://schemas.openxmlformats.org/drawingml/2006/main">
                    <a:graphicData uri="http://schemas.openxmlformats.org/drawingml/2006/picture">
                      <pic:pic xmlns:pic="http://schemas.openxmlformats.org/drawingml/2006/picture">
                        <pic:nvPicPr>
                          <pic:cNvPr id="1098" name="AutoShape_2_SpCnt_15"/>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15" name="AutoShape_1_SpCnt_14"/>
                  <wp:cNvGraphicFramePr/>
                  <a:graphic xmlns:a="http://schemas.openxmlformats.org/drawingml/2006/main">
                    <a:graphicData uri="http://schemas.openxmlformats.org/drawingml/2006/picture">
                      <pic:pic xmlns:pic="http://schemas.openxmlformats.org/drawingml/2006/picture">
                        <pic:nvPicPr>
                          <pic:cNvPr id="1115" name="AutoShape_1_SpCnt_14"/>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096" name="AutoShape_2_SpCnt_16"/>
                  <wp:cNvGraphicFramePr/>
                  <a:graphic xmlns:a="http://schemas.openxmlformats.org/drawingml/2006/main">
                    <a:graphicData uri="http://schemas.openxmlformats.org/drawingml/2006/picture">
                      <pic:pic xmlns:pic="http://schemas.openxmlformats.org/drawingml/2006/picture">
                        <pic:nvPicPr>
                          <pic:cNvPr id="1096" name="AutoShape_2_SpCnt_16"/>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16" name="AutoShape_2_SpCnt_17"/>
                  <wp:cNvGraphicFramePr/>
                  <a:graphic xmlns:a="http://schemas.openxmlformats.org/drawingml/2006/main">
                    <a:graphicData uri="http://schemas.openxmlformats.org/drawingml/2006/picture">
                      <pic:pic xmlns:pic="http://schemas.openxmlformats.org/drawingml/2006/picture">
                        <pic:nvPicPr>
                          <pic:cNvPr id="1116" name="AutoShape_2_SpCnt_17"/>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18" name="AutoShape_1_SpCnt_15"/>
                  <wp:cNvGraphicFramePr/>
                  <a:graphic xmlns:a="http://schemas.openxmlformats.org/drawingml/2006/main">
                    <a:graphicData uri="http://schemas.openxmlformats.org/drawingml/2006/picture">
                      <pic:pic xmlns:pic="http://schemas.openxmlformats.org/drawingml/2006/picture">
                        <pic:nvPicPr>
                          <pic:cNvPr id="1118" name="AutoShape_1_SpCnt_15"/>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19" name="AutoShape_1_SpCnt_16"/>
                  <wp:cNvGraphicFramePr/>
                  <a:graphic xmlns:a="http://schemas.openxmlformats.org/drawingml/2006/main">
                    <a:graphicData uri="http://schemas.openxmlformats.org/drawingml/2006/picture">
                      <pic:pic xmlns:pic="http://schemas.openxmlformats.org/drawingml/2006/picture">
                        <pic:nvPicPr>
                          <pic:cNvPr id="1119" name="AutoShape_1_SpCnt_16"/>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20" name="AutoShape_1_SpCnt_17"/>
                  <wp:cNvGraphicFramePr/>
                  <a:graphic xmlns:a="http://schemas.openxmlformats.org/drawingml/2006/main">
                    <a:graphicData uri="http://schemas.openxmlformats.org/drawingml/2006/picture">
                      <pic:pic xmlns:pic="http://schemas.openxmlformats.org/drawingml/2006/picture">
                        <pic:nvPicPr>
                          <pic:cNvPr id="1120" name="AutoShape_1_SpCnt_17"/>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21" name="AutoShape_2_SpCnt_18"/>
                  <wp:cNvGraphicFramePr/>
                  <a:graphic xmlns:a="http://schemas.openxmlformats.org/drawingml/2006/main">
                    <a:graphicData uri="http://schemas.openxmlformats.org/drawingml/2006/picture">
                      <pic:pic xmlns:pic="http://schemas.openxmlformats.org/drawingml/2006/picture">
                        <pic:nvPicPr>
                          <pic:cNvPr id="1121" name="AutoShape_2_SpCnt_18"/>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22" name="AutoShape_1_SpCnt_18"/>
                  <wp:cNvGraphicFramePr/>
                  <a:graphic xmlns:a="http://schemas.openxmlformats.org/drawingml/2006/main">
                    <a:graphicData uri="http://schemas.openxmlformats.org/drawingml/2006/picture">
                      <pic:pic xmlns:pic="http://schemas.openxmlformats.org/drawingml/2006/picture">
                        <pic:nvPicPr>
                          <pic:cNvPr id="1122" name="AutoShape_1_SpCnt_18"/>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23" name="AutoShape_2_SpCnt_19"/>
                  <wp:cNvGraphicFramePr/>
                  <a:graphic xmlns:a="http://schemas.openxmlformats.org/drawingml/2006/main">
                    <a:graphicData uri="http://schemas.openxmlformats.org/drawingml/2006/picture">
                      <pic:pic xmlns:pic="http://schemas.openxmlformats.org/drawingml/2006/picture">
                        <pic:nvPicPr>
                          <pic:cNvPr id="1123" name="AutoShape_2_SpCnt_19"/>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24" name="AutoShape_1_SpCnt_19"/>
                  <wp:cNvGraphicFramePr/>
                  <a:graphic xmlns:a="http://schemas.openxmlformats.org/drawingml/2006/main">
                    <a:graphicData uri="http://schemas.openxmlformats.org/drawingml/2006/picture">
                      <pic:pic xmlns:pic="http://schemas.openxmlformats.org/drawingml/2006/picture">
                        <pic:nvPicPr>
                          <pic:cNvPr id="1124" name="AutoShape_1_SpCnt_19"/>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25" name="AutoShape_2_SpCnt_20"/>
                  <wp:cNvGraphicFramePr/>
                  <a:graphic xmlns:a="http://schemas.openxmlformats.org/drawingml/2006/main">
                    <a:graphicData uri="http://schemas.openxmlformats.org/drawingml/2006/picture">
                      <pic:pic xmlns:pic="http://schemas.openxmlformats.org/drawingml/2006/picture">
                        <pic:nvPicPr>
                          <pic:cNvPr id="1125" name="AutoShape_2_SpCnt_20"/>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26" name="AutoShape_2_SpCnt_21"/>
                  <wp:cNvGraphicFramePr/>
                  <a:graphic xmlns:a="http://schemas.openxmlformats.org/drawingml/2006/main">
                    <a:graphicData uri="http://schemas.openxmlformats.org/drawingml/2006/picture">
                      <pic:pic xmlns:pic="http://schemas.openxmlformats.org/drawingml/2006/picture">
                        <pic:nvPicPr>
                          <pic:cNvPr id="1126" name="AutoShape_2_SpCnt_2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27" name="AutoShape_1_SpCnt_20"/>
                  <wp:cNvGraphicFramePr/>
                  <a:graphic xmlns:a="http://schemas.openxmlformats.org/drawingml/2006/main">
                    <a:graphicData uri="http://schemas.openxmlformats.org/drawingml/2006/picture">
                      <pic:pic xmlns:pic="http://schemas.openxmlformats.org/drawingml/2006/picture">
                        <pic:nvPicPr>
                          <pic:cNvPr id="1127" name="AutoShape_1_SpCnt_20"/>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28" name="AutoShape_1_SpCnt_21"/>
                  <wp:cNvGraphicFramePr/>
                  <a:graphic xmlns:a="http://schemas.openxmlformats.org/drawingml/2006/main">
                    <a:graphicData uri="http://schemas.openxmlformats.org/drawingml/2006/picture">
                      <pic:pic xmlns:pic="http://schemas.openxmlformats.org/drawingml/2006/picture">
                        <pic:nvPicPr>
                          <pic:cNvPr id="1128" name="AutoShape_1_SpCnt_2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29" name="AutoShape_1_SpCnt_22"/>
                  <wp:cNvGraphicFramePr/>
                  <a:graphic xmlns:a="http://schemas.openxmlformats.org/drawingml/2006/main">
                    <a:graphicData uri="http://schemas.openxmlformats.org/drawingml/2006/picture">
                      <pic:pic xmlns:pic="http://schemas.openxmlformats.org/drawingml/2006/picture">
                        <pic:nvPicPr>
                          <pic:cNvPr id="1129" name="AutoShape_1_SpCnt_22"/>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30" name="AutoShape_2_SpCnt_22"/>
                  <wp:cNvGraphicFramePr/>
                  <a:graphic xmlns:a="http://schemas.openxmlformats.org/drawingml/2006/main">
                    <a:graphicData uri="http://schemas.openxmlformats.org/drawingml/2006/picture">
                      <pic:pic xmlns:pic="http://schemas.openxmlformats.org/drawingml/2006/picture">
                        <pic:nvPicPr>
                          <pic:cNvPr id="1130" name="AutoShape_2_SpCnt_22"/>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31" name="AutoShape_1_SpCnt_23"/>
                  <wp:cNvGraphicFramePr/>
                  <a:graphic xmlns:a="http://schemas.openxmlformats.org/drawingml/2006/main">
                    <a:graphicData uri="http://schemas.openxmlformats.org/drawingml/2006/picture">
                      <pic:pic xmlns:pic="http://schemas.openxmlformats.org/drawingml/2006/picture">
                        <pic:nvPicPr>
                          <pic:cNvPr id="1131" name="AutoShape_1_SpCnt_23"/>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32" name="AutoShape_2_SpCnt_23"/>
                  <wp:cNvGraphicFramePr/>
                  <a:graphic xmlns:a="http://schemas.openxmlformats.org/drawingml/2006/main">
                    <a:graphicData uri="http://schemas.openxmlformats.org/drawingml/2006/picture">
                      <pic:pic xmlns:pic="http://schemas.openxmlformats.org/drawingml/2006/picture">
                        <pic:nvPicPr>
                          <pic:cNvPr id="1132" name="AutoShape_2_SpCnt_23"/>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33" name="AutoShape_2_SpCnt_24"/>
                  <wp:cNvGraphicFramePr/>
                  <a:graphic xmlns:a="http://schemas.openxmlformats.org/drawingml/2006/main">
                    <a:graphicData uri="http://schemas.openxmlformats.org/drawingml/2006/picture">
                      <pic:pic xmlns:pic="http://schemas.openxmlformats.org/drawingml/2006/picture">
                        <pic:nvPicPr>
                          <pic:cNvPr id="1133" name="AutoShape_2_SpCnt_24"/>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34" name="AutoShape_1_SpCnt_24"/>
                  <wp:cNvGraphicFramePr/>
                  <a:graphic xmlns:a="http://schemas.openxmlformats.org/drawingml/2006/main">
                    <a:graphicData uri="http://schemas.openxmlformats.org/drawingml/2006/picture">
                      <pic:pic xmlns:pic="http://schemas.openxmlformats.org/drawingml/2006/picture">
                        <pic:nvPicPr>
                          <pic:cNvPr id="1134" name="AutoShape_1_SpCnt_24"/>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35" name="AutoShape_2_SpCnt_25"/>
                  <wp:cNvGraphicFramePr/>
                  <a:graphic xmlns:a="http://schemas.openxmlformats.org/drawingml/2006/main">
                    <a:graphicData uri="http://schemas.openxmlformats.org/drawingml/2006/picture">
                      <pic:pic xmlns:pic="http://schemas.openxmlformats.org/drawingml/2006/picture">
                        <pic:nvPicPr>
                          <pic:cNvPr id="1135" name="AutoShape_2_SpCnt_25"/>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36" name="AutoShape_2_SpCnt_26"/>
                  <wp:cNvGraphicFramePr/>
                  <a:graphic xmlns:a="http://schemas.openxmlformats.org/drawingml/2006/main">
                    <a:graphicData uri="http://schemas.openxmlformats.org/drawingml/2006/picture">
                      <pic:pic xmlns:pic="http://schemas.openxmlformats.org/drawingml/2006/picture">
                        <pic:nvPicPr>
                          <pic:cNvPr id="1136" name="AutoShape_2_SpCnt_26"/>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37" name="AutoShape_1_SpCnt_25"/>
                  <wp:cNvGraphicFramePr/>
                  <a:graphic xmlns:a="http://schemas.openxmlformats.org/drawingml/2006/main">
                    <a:graphicData uri="http://schemas.openxmlformats.org/drawingml/2006/picture">
                      <pic:pic xmlns:pic="http://schemas.openxmlformats.org/drawingml/2006/picture">
                        <pic:nvPicPr>
                          <pic:cNvPr id="1137" name="AutoShape_1_SpCnt_25"/>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38" name="AutoShape_2_SpCnt_27"/>
                  <wp:cNvGraphicFramePr/>
                  <a:graphic xmlns:a="http://schemas.openxmlformats.org/drawingml/2006/main">
                    <a:graphicData uri="http://schemas.openxmlformats.org/drawingml/2006/picture">
                      <pic:pic xmlns:pic="http://schemas.openxmlformats.org/drawingml/2006/picture">
                        <pic:nvPicPr>
                          <pic:cNvPr id="1138" name="AutoShape_2_SpCnt_27"/>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39" name="AutoShape_1_SpCnt_26"/>
                  <wp:cNvGraphicFramePr/>
                  <a:graphic xmlns:a="http://schemas.openxmlformats.org/drawingml/2006/main">
                    <a:graphicData uri="http://schemas.openxmlformats.org/drawingml/2006/picture">
                      <pic:pic xmlns:pic="http://schemas.openxmlformats.org/drawingml/2006/picture">
                        <pic:nvPicPr>
                          <pic:cNvPr id="1139" name="AutoShape_1_SpCnt_26"/>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40" name="AutoShape_2_SpCnt_28"/>
                  <wp:cNvGraphicFramePr/>
                  <a:graphic xmlns:a="http://schemas.openxmlformats.org/drawingml/2006/main">
                    <a:graphicData uri="http://schemas.openxmlformats.org/drawingml/2006/picture">
                      <pic:pic xmlns:pic="http://schemas.openxmlformats.org/drawingml/2006/picture">
                        <pic:nvPicPr>
                          <pic:cNvPr id="1140" name="AutoShape_2_SpCnt_28"/>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41" name="AutoShape_2_SpCnt_29"/>
                  <wp:cNvGraphicFramePr/>
                  <a:graphic xmlns:a="http://schemas.openxmlformats.org/drawingml/2006/main">
                    <a:graphicData uri="http://schemas.openxmlformats.org/drawingml/2006/picture">
                      <pic:pic xmlns:pic="http://schemas.openxmlformats.org/drawingml/2006/picture">
                        <pic:nvPicPr>
                          <pic:cNvPr id="1141" name="AutoShape_2_SpCnt_29"/>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42" name="AutoShape_1_SpCnt_27"/>
                  <wp:cNvGraphicFramePr/>
                  <a:graphic xmlns:a="http://schemas.openxmlformats.org/drawingml/2006/main">
                    <a:graphicData uri="http://schemas.openxmlformats.org/drawingml/2006/picture">
                      <pic:pic xmlns:pic="http://schemas.openxmlformats.org/drawingml/2006/picture">
                        <pic:nvPicPr>
                          <pic:cNvPr id="1142" name="AutoShape_1_SpCnt_27"/>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43" name="AutoShape_1_SpCnt_28"/>
                  <wp:cNvGraphicFramePr/>
                  <a:graphic xmlns:a="http://schemas.openxmlformats.org/drawingml/2006/main">
                    <a:graphicData uri="http://schemas.openxmlformats.org/drawingml/2006/picture">
                      <pic:pic xmlns:pic="http://schemas.openxmlformats.org/drawingml/2006/picture">
                        <pic:nvPicPr>
                          <pic:cNvPr id="1143" name="AutoShape_1_SpCnt_28"/>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44" name="AutoShape_1_SpCnt_29"/>
                  <wp:cNvGraphicFramePr/>
                  <a:graphic xmlns:a="http://schemas.openxmlformats.org/drawingml/2006/main">
                    <a:graphicData uri="http://schemas.openxmlformats.org/drawingml/2006/picture">
                      <pic:pic xmlns:pic="http://schemas.openxmlformats.org/drawingml/2006/picture">
                        <pic:nvPicPr>
                          <pic:cNvPr id="1144" name="AutoShape_1_SpCnt_29"/>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45" name="AutoShape_2_SpCnt_30"/>
                  <wp:cNvGraphicFramePr/>
                  <a:graphic xmlns:a="http://schemas.openxmlformats.org/drawingml/2006/main">
                    <a:graphicData uri="http://schemas.openxmlformats.org/drawingml/2006/picture">
                      <pic:pic xmlns:pic="http://schemas.openxmlformats.org/drawingml/2006/picture">
                        <pic:nvPicPr>
                          <pic:cNvPr id="1145" name="AutoShape_2_SpCnt_30"/>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46" name="AutoShape_1_SpCnt_30"/>
                  <wp:cNvGraphicFramePr/>
                  <a:graphic xmlns:a="http://schemas.openxmlformats.org/drawingml/2006/main">
                    <a:graphicData uri="http://schemas.openxmlformats.org/drawingml/2006/picture">
                      <pic:pic xmlns:pic="http://schemas.openxmlformats.org/drawingml/2006/picture">
                        <pic:nvPicPr>
                          <pic:cNvPr id="1146" name="AutoShape_1_SpCnt_30"/>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47" name="AutoShape_2_SpCnt_31"/>
                  <wp:cNvGraphicFramePr/>
                  <a:graphic xmlns:a="http://schemas.openxmlformats.org/drawingml/2006/main">
                    <a:graphicData uri="http://schemas.openxmlformats.org/drawingml/2006/picture">
                      <pic:pic xmlns:pic="http://schemas.openxmlformats.org/drawingml/2006/picture">
                        <pic:nvPicPr>
                          <pic:cNvPr id="1147" name="AutoShape_2_SpCnt_3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48" name="AutoShape_2_SpCnt_32"/>
                  <wp:cNvGraphicFramePr/>
                  <a:graphic xmlns:a="http://schemas.openxmlformats.org/drawingml/2006/main">
                    <a:graphicData uri="http://schemas.openxmlformats.org/drawingml/2006/picture">
                      <pic:pic xmlns:pic="http://schemas.openxmlformats.org/drawingml/2006/picture">
                        <pic:nvPicPr>
                          <pic:cNvPr id="1148" name="AutoShape_2_SpCnt_32"/>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49" name="AutoShape_1_SpCnt_31"/>
                  <wp:cNvGraphicFramePr/>
                  <a:graphic xmlns:a="http://schemas.openxmlformats.org/drawingml/2006/main">
                    <a:graphicData uri="http://schemas.openxmlformats.org/drawingml/2006/picture">
                      <pic:pic xmlns:pic="http://schemas.openxmlformats.org/drawingml/2006/picture">
                        <pic:nvPicPr>
                          <pic:cNvPr id="1149" name="AutoShape_1_SpCnt_3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50" name="AutoShape_1_SpCnt_32"/>
                  <wp:cNvGraphicFramePr/>
                  <a:graphic xmlns:a="http://schemas.openxmlformats.org/drawingml/2006/main">
                    <a:graphicData uri="http://schemas.openxmlformats.org/drawingml/2006/picture">
                      <pic:pic xmlns:pic="http://schemas.openxmlformats.org/drawingml/2006/picture">
                        <pic:nvPicPr>
                          <pic:cNvPr id="1150" name="AutoShape_1_SpCnt_32"/>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51" name="AutoShape_2_SpCnt_33"/>
                  <wp:cNvGraphicFramePr/>
                  <a:graphic xmlns:a="http://schemas.openxmlformats.org/drawingml/2006/main">
                    <a:graphicData uri="http://schemas.openxmlformats.org/drawingml/2006/picture">
                      <pic:pic xmlns:pic="http://schemas.openxmlformats.org/drawingml/2006/picture">
                        <pic:nvPicPr>
                          <pic:cNvPr id="1151" name="AutoShape_2_SpCnt_33"/>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52" name="AutoShape_1_SpCnt_33"/>
                  <wp:cNvGraphicFramePr/>
                  <a:graphic xmlns:a="http://schemas.openxmlformats.org/drawingml/2006/main">
                    <a:graphicData uri="http://schemas.openxmlformats.org/drawingml/2006/picture">
                      <pic:pic xmlns:pic="http://schemas.openxmlformats.org/drawingml/2006/picture">
                        <pic:nvPicPr>
                          <pic:cNvPr id="1152" name="AutoShape_1_SpCnt_33"/>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53" name="AutoShape_2_SpCnt_34"/>
                  <wp:cNvGraphicFramePr/>
                  <a:graphic xmlns:a="http://schemas.openxmlformats.org/drawingml/2006/main">
                    <a:graphicData uri="http://schemas.openxmlformats.org/drawingml/2006/picture">
                      <pic:pic xmlns:pic="http://schemas.openxmlformats.org/drawingml/2006/picture">
                        <pic:nvPicPr>
                          <pic:cNvPr id="1153" name="AutoShape_2_SpCnt_34"/>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54" name="AutoShape_1_SpCnt_34"/>
                  <wp:cNvGraphicFramePr/>
                  <a:graphic xmlns:a="http://schemas.openxmlformats.org/drawingml/2006/main">
                    <a:graphicData uri="http://schemas.openxmlformats.org/drawingml/2006/picture">
                      <pic:pic xmlns:pic="http://schemas.openxmlformats.org/drawingml/2006/picture">
                        <pic:nvPicPr>
                          <pic:cNvPr id="1154" name="AutoShape_1_SpCnt_34"/>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55" name="AutoShape_2_SpCnt_35"/>
                  <wp:cNvGraphicFramePr/>
                  <a:graphic xmlns:a="http://schemas.openxmlformats.org/drawingml/2006/main">
                    <a:graphicData uri="http://schemas.openxmlformats.org/drawingml/2006/picture">
                      <pic:pic xmlns:pic="http://schemas.openxmlformats.org/drawingml/2006/picture">
                        <pic:nvPicPr>
                          <pic:cNvPr id="1155" name="AutoShape_2_SpCnt_35"/>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56" name="AutoShape_1_SpCnt_35"/>
                  <wp:cNvGraphicFramePr/>
                  <a:graphic xmlns:a="http://schemas.openxmlformats.org/drawingml/2006/main">
                    <a:graphicData uri="http://schemas.openxmlformats.org/drawingml/2006/picture">
                      <pic:pic xmlns:pic="http://schemas.openxmlformats.org/drawingml/2006/picture">
                        <pic:nvPicPr>
                          <pic:cNvPr id="1156" name="AutoShape_1_SpCnt_35"/>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57" name="AutoShape_1_SpCnt_36"/>
                  <wp:cNvGraphicFramePr/>
                  <a:graphic xmlns:a="http://schemas.openxmlformats.org/drawingml/2006/main">
                    <a:graphicData uri="http://schemas.openxmlformats.org/drawingml/2006/picture">
                      <pic:pic xmlns:pic="http://schemas.openxmlformats.org/drawingml/2006/picture">
                        <pic:nvPicPr>
                          <pic:cNvPr id="1157" name="AutoShape_1_SpCnt_36"/>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58" name="AutoShape_2_SpCnt_36"/>
                  <wp:cNvGraphicFramePr/>
                  <a:graphic xmlns:a="http://schemas.openxmlformats.org/drawingml/2006/main">
                    <a:graphicData uri="http://schemas.openxmlformats.org/drawingml/2006/picture">
                      <pic:pic xmlns:pic="http://schemas.openxmlformats.org/drawingml/2006/picture">
                        <pic:nvPicPr>
                          <pic:cNvPr id="1158" name="AutoShape_2_SpCnt_36"/>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59" name="AutoShape_1_SpCnt_37"/>
                  <wp:cNvGraphicFramePr/>
                  <a:graphic xmlns:a="http://schemas.openxmlformats.org/drawingml/2006/main">
                    <a:graphicData uri="http://schemas.openxmlformats.org/drawingml/2006/picture">
                      <pic:pic xmlns:pic="http://schemas.openxmlformats.org/drawingml/2006/picture">
                        <pic:nvPicPr>
                          <pic:cNvPr id="1159" name="AutoShape_1_SpCnt_37"/>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60" name="AutoShape_1_SpCnt_38"/>
                  <wp:cNvGraphicFramePr/>
                  <a:graphic xmlns:a="http://schemas.openxmlformats.org/drawingml/2006/main">
                    <a:graphicData uri="http://schemas.openxmlformats.org/drawingml/2006/picture">
                      <pic:pic xmlns:pic="http://schemas.openxmlformats.org/drawingml/2006/picture">
                        <pic:nvPicPr>
                          <pic:cNvPr id="1160" name="AutoShape_1_SpCnt_38"/>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61" name="AutoShape_2_SpCnt_37"/>
                  <wp:cNvGraphicFramePr/>
                  <a:graphic xmlns:a="http://schemas.openxmlformats.org/drawingml/2006/main">
                    <a:graphicData uri="http://schemas.openxmlformats.org/drawingml/2006/picture">
                      <pic:pic xmlns:pic="http://schemas.openxmlformats.org/drawingml/2006/picture">
                        <pic:nvPicPr>
                          <pic:cNvPr id="1161" name="AutoShape_2_SpCnt_37"/>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62" name="AutoShape_2_SpCnt_38"/>
                  <wp:cNvGraphicFramePr/>
                  <a:graphic xmlns:a="http://schemas.openxmlformats.org/drawingml/2006/main">
                    <a:graphicData uri="http://schemas.openxmlformats.org/drawingml/2006/picture">
                      <pic:pic xmlns:pic="http://schemas.openxmlformats.org/drawingml/2006/picture">
                        <pic:nvPicPr>
                          <pic:cNvPr id="1162" name="AutoShape_2_SpCnt_38"/>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163" name="AutoShape_1_SpCnt_39"/>
                  <wp:cNvGraphicFramePr/>
                  <a:graphic xmlns:a="http://schemas.openxmlformats.org/drawingml/2006/main">
                    <a:graphicData uri="http://schemas.openxmlformats.org/drawingml/2006/picture">
                      <pic:pic xmlns:pic="http://schemas.openxmlformats.org/drawingml/2006/picture">
                        <pic:nvPicPr>
                          <pic:cNvPr id="1163" name="AutoShape_1_SpCnt_39"/>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735" name="AutoShape_1_SpCnt_40"/>
                  <wp:cNvGraphicFramePr/>
                  <a:graphic xmlns:a="http://schemas.openxmlformats.org/drawingml/2006/main">
                    <a:graphicData uri="http://schemas.openxmlformats.org/drawingml/2006/picture">
                      <pic:pic xmlns:pic="http://schemas.openxmlformats.org/drawingml/2006/picture">
                        <pic:nvPicPr>
                          <pic:cNvPr id="735" name="AutoShape_1_SpCnt_40"/>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736" name="AutoShape_2_SpCnt_39"/>
                  <wp:cNvGraphicFramePr/>
                  <a:graphic xmlns:a="http://schemas.openxmlformats.org/drawingml/2006/main">
                    <a:graphicData uri="http://schemas.openxmlformats.org/drawingml/2006/picture">
                      <pic:pic xmlns:pic="http://schemas.openxmlformats.org/drawingml/2006/picture">
                        <pic:nvPicPr>
                          <pic:cNvPr id="736" name="AutoShape_2_SpCnt_39"/>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737" name="AutoShape_1_SpCnt_41"/>
                  <wp:cNvGraphicFramePr/>
                  <a:graphic xmlns:a="http://schemas.openxmlformats.org/drawingml/2006/main">
                    <a:graphicData uri="http://schemas.openxmlformats.org/drawingml/2006/picture">
                      <pic:pic xmlns:pic="http://schemas.openxmlformats.org/drawingml/2006/picture">
                        <pic:nvPicPr>
                          <pic:cNvPr id="737" name="AutoShape_1_SpCnt_4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738" name="AutoShape_2_SpCnt_40"/>
                  <wp:cNvGraphicFramePr/>
                  <a:graphic xmlns:a="http://schemas.openxmlformats.org/drawingml/2006/main">
                    <a:graphicData uri="http://schemas.openxmlformats.org/drawingml/2006/picture">
                      <pic:pic xmlns:pic="http://schemas.openxmlformats.org/drawingml/2006/picture">
                        <pic:nvPicPr>
                          <pic:cNvPr id="738" name="AutoShape_2_SpCnt_40"/>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739" name="AutoShape_2_SpCnt_41"/>
                  <wp:cNvGraphicFramePr/>
                  <a:graphic xmlns:a="http://schemas.openxmlformats.org/drawingml/2006/main">
                    <a:graphicData uri="http://schemas.openxmlformats.org/drawingml/2006/picture">
                      <pic:pic xmlns:pic="http://schemas.openxmlformats.org/drawingml/2006/picture">
                        <pic:nvPicPr>
                          <pic:cNvPr id="739" name="AutoShape_2_SpCnt_4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740" name="AutoShape_2_SpCnt_42"/>
                  <wp:cNvGraphicFramePr/>
                  <a:graphic xmlns:a="http://schemas.openxmlformats.org/drawingml/2006/main">
                    <a:graphicData uri="http://schemas.openxmlformats.org/drawingml/2006/picture">
                      <pic:pic xmlns:pic="http://schemas.openxmlformats.org/drawingml/2006/picture">
                        <pic:nvPicPr>
                          <pic:cNvPr id="740" name="AutoShape_2_SpCnt_42"/>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741" name="AutoShape_2_SpCnt_43"/>
                  <wp:cNvGraphicFramePr/>
                  <a:graphic xmlns:a="http://schemas.openxmlformats.org/drawingml/2006/main">
                    <a:graphicData uri="http://schemas.openxmlformats.org/drawingml/2006/picture">
                      <pic:pic xmlns:pic="http://schemas.openxmlformats.org/drawingml/2006/picture">
                        <pic:nvPicPr>
                          <pic:cNvPr id="741" name="AutoShape_2_SpCnt_43"/>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742" name="AutoShape_1_SpCnt_42"/>
                  <wp:cNvGraphicFramePr/>
                  <a:graphic xmlns:a="http://schemas.openxmlformats.org/drawingml/2006/main">
                    <a:graphicData uri="http://schemas.openxmlformats.org/drawingml/2006/picture">
                      <pic:pic xmlns:pic="http://schemas.openxmlformats.org/drawingml/2006/picture">
                        <pic:nvPicPr>
                          <pic:cNvPr id="742" name="AutoShape_1_SpCnt_42"/>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743" name="AutoShape_1_SpCnt_43"/>
                  <wp:cNvGraphicFramePr/>
                  <a:graphic xmlns:a="http://schemas.openxmlformats.org/drawingml/2006/main">
                    <a:graphicData uri="http://schemas.openxmlformats.org/drawingml/2006/picture">
                      <pic:pic xmlns:pic="http://schemas.openxmlformats.org/drawingml/2006/picture">
                        <pic:nvPicPr>
                          <pic:cNvPr id="743" name="AutoShape_1_SpCnt_43"/>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744" name="AutoShape_2_SpCnt_44"/>
                  <wp:cNvGraphicFramePr/>
                  <a:graphic xmlns:a="http://schemas.openxmlformats.org/drawingml/2006/main">
                    <a:graphicData uri="http://schemas.openxmlformats.org/drawingml/2006/picture">
                      <pic:pic xmlns:pic="http://schemas.openxmlformats.org/drawingml/2006/picture">
                        <pic:nvPicPr>
                          <pic:cNvPr id="744" name="AutoShape_2_SpCnt_44"/>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745" name="AutoShape_1_SpCnt_44"/>
                  <wp:cNvGraphicFramePr/>
                  <a:graphic xmlns:a="http://schemas.openxmlformats.org/drawingml/2006/main">
                    <a:graphicData uri="http://schemas.openxmlformats.org/drawingml/2006/picture">
                      <pic:pic xmlns:pic="http://schemas.openxmlformats.org/drawingml/2006/picture">
                        <pic:nvPicPr>
                          <pic:cNvPr id="745" name="AutoShape_1_SpCnt_44"/>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746" name="AutoShape_1_SpCnt_45"/>
                  <wp:cNvGraphicFramePr/>
                  <a:graphic xmlns:a="http://schemas.openxmlformats.org/drawingml/2006/main">
                    <a:graphicData uri="http://schemas.openxmlformats.org/drawingml/2006/picture">
                      <pic:pic xmlns:pic="http://schemas.openxmlformats.org/drawingml/2006/picture">
                        <pic:nvPicPr>
                          <pic:cNvPr id="746" name="AutoShape_1_SpCnt_45"/>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747" name="AutoShape_2_SpCnt_45"/>
                  <wp:cNvGraphicFramePr/>
                  <a:graphic xmlns:a="http://schemas.openxmlformats.org/drawingml/2006/main">
                    <a:graphicData uri="http://schemas.openxmlformats.org/drawingml/2006/picture">
                      <pic:pic xmlns:pic="http://schemas.openxmlformats.org/drawingml/2006/picture">
                        <pic:nvPicPr>
                          <pic:cNvPr id="747" name="AutoShape_2_SpCnt_45"/>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748" name="AutoShape_1_SpCnt_46"/>
                  <wp:cNvGraphicFramePr/>
                  <a:graphic xmlns:a="http://schemas.openxmlformats.org/drawingml/2006/main">
                    <a:graphicData uri="http://schemas.openxmlformats.org/drawingml/2006/picture">
                      <pic:pic xmlns:pic="http://schemas.openxmlformats.org/drawingml/2006/picture">
                        <pic:nvPicPr>
                          <pic:cNvPr id="748" name="AutoShape_1_SpCnt_46"/>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749" name="AutoShape_2_SpCnt_46"/>
                  <wp:cNvGraphicFramePr/>
                  <a:graphic xmlns:a="http://schemas.openxmlformats.org/drawingml/2006/main">
                    <a:graphicData uri="http://schemas.openxmlformats.org/drawingml/2006/picture">
                      <pic:pic xmlns:pic="http://schemas.openxmlformats.org/drawingml/2006/picture">
                        <pic:nvPicPr>
                          <pic:cNvPr id="749" name="AutoShape_2_SpCnt_46"/>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750" name="AutoShape_1_SpCnt_47"/>
                  <wp:cNvGraphicFramePr/>
                  <a:graphic xmlns:a="http://schemas.openxmlformats.org/drawingml/2006/main">
                    <a:graphicData uri="http://schemas.openxmlformats.org/drawingml/2006/picture">
                      <pic:pic xmlns:pic="http://schemas.openxmlformats.org/drawingml/2006/picture">
                        <pic:nvPicPr>
                          <pic:cNvPr id="750" name="AutoShape_1_SpCnt_47"/>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751" name="AutoShape_1_SpCnt_48"/>
                  <wp:cNvGraphicFramePr/>
                  <a:graphic xmlns:a="http://schemas.openxmlformats.org/drawingml/2006/main">
                    <a:graphicData uri="http://schemas.openxmlformats.org/drawingml/2006/picture">
                      <pic:pic xmlns:pic="http://schemas.openxmlformats.org/drawingml/2006/picture">
                        <pic:nvPicPr>
                          <pic:cNvPr id="751" name="AutoShape_1_SpCnt_48"/>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752" name="AutoShape_2_SpCnt_47"/>
                  <wp:cNvGraphicFramePr/>
                  <a:graphic xmlns:a="http://schemas.openxmlformats.org/drawingml/2006/main">
                    <a:graphicData uri="http://schemas.openxmlformats.org/drawingml/2006/picture">
                      <pic:pic xmlns:pic="http://schemas.openxmlformats.org/drawingml/2006/picture">
                        <pic:nvPicPr>
                          <pic:cNvPr id="752" name="AutoShape_2_SpCnt_47"/>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753" name="AutoShape_1_SpCnt_49"/>
                  <wp:cNvGraphicFramePr/>
                  <a:graphic xmlns:a="http://schemas.openxmlformats.org/drawingml/2006/main">
                    <a:graphicData uri="http://schemas.openxmlformats.org/drawingml/2006/picture">
                      <pic:pic xmlns:pic="http://schemas.openxmlformats.org/drawingml/2006/picture">
                        <pic:nvPicPr>
                          <pic:cNvPr id="753" name="AutoShape_1_SpCnt_49"/>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755" name="AutoShape_1_SpCnt_50"/>
                  <wp:cNvGraphicFramePr/>
                  <a:graphic xmlns:a="http://schemas.openxmlformats.org/drawingml/2006/main">
                    <a:graphicData uri="http://schemas.openxmlformats.org/drawingml/2006/picture">
                      <pic:pic xmlns:pic="http://schemas.openxmlformats.org/drawingml/2006/picture">
                        <pic:nvPicPr>
                          <pic:cNvPr id="755" name="AutoShape_1_SpCnt_50"/>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756" name="AutoShape_2_SpCnt_48"/>
                  <wp:cNvGraphicFramePr/>
                  <a:graphic xmlns:a="http://schemas.openxmlformats.org/drawingml/2006/main">
                    <a:graphicData uri="http://schemas.openxmlformats.org/drawingml/2006/picture">
                      <pic:pic xmlns:pic="http://schemas.openxmlformats.org/drawingml/2006/picture">
                        <pic:nvPicPr>
                          <pic:cNvPr id="756" name="AutoShape_2_SpCnt_48"/>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757" name="AutoShape_2_SpCnt_49"/>
                  <wp:cNvGraphicFramePr/>
                  <a:graphic xmlns:a="http://schemas.openxmlformats.org/drawingml/2006/main">
                    <a:graphicData uri="http://schemas.openxmlformats.org/drawingml/2006/picture">
                      <pic:pic xmlns:pic="http://schemas.openxmlformats.org/drawingml/2006/picture">
                        <pic:nvPicPr>
                          <pic:cNvPr id="757" name="AutoShape_2_SpCnt_49"/>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758" name="AutoShape_1_SpCnt_51"/>
                  <wp:cNvGraphicFramePr/>
                  <a:graphic xmlns:a="http://schemas.openxmlformats.org/drawingml/2006/main">
                    <a:graphicData uri="http://schemas.openxmlformats.org/drawingml/2006/picture">
                      <pic:pic xmlns:pic="http://schemas.openxmlformats.org/drawingml/2006/picture">
                        <pic:nvPicPr>
                          <pic:cNvPr id="758" name="AutoShape_1_SpCnt_5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754" name="AutoShape_2_SpCnt_50"/>
                  <wp:cNvGraphicFramePr/>
                  <a:graphic xmlns:a="http://schemas.openxmlformats.org/drawingml/2006/main">
                    <a:graphicData uri="http://schemas.openxmlformats.org/drawingml/2006/picture">
                      <pic:pic xmlns:pic="http://schemas.openxmlformats.org/drawingml/2006/picture">
                        <pic:nvPicPr>
                          <pic:cNvPr id="754" name="AutoShape_2_SpCnt_50"/>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25" name="AutoShape_1_SpCnt_52"/>
                  <wp:cNvGraphicFramePr/>
                  <a:graphic xmlns:a="http://schemas.openxmlformats.org/drawingml/2006/main">
                    <a:graphicData uri="http://schemas.openxmlformats.org/drawingml/2006/picture">
                      <pic:pic xmlns:pic="http://schemas.openxmlformats.org/drawingml/2006/picture">
                        <pic:nvPicPr>
                          <pic:cNvPr id="1225" name="AutoShape_1_SpCnt_52"/>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26" name="AutoShape_1_SpCnt_53"/>
                  <wp:cNvGraphicFramePr/>
                  <a:graphic xmlns:a="http://schemas.openxmlformats.org/drawingml/2006/main">
                    <a:graphicData uri="http://schemas.openxmlformats.org/drawingml/2006/picture">
                      <pic:pic xmlns:pic="http://schemas.openxmlformats.org/drawingml/2006/picture">
                        <pic:nvPicPr>
                          <pic:cNvPr id="1226" name="AutoShape_1_SpCnt_53"/>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27" name="AutoShape_2_SpCnt_51"/>
                  <wp:cNvGraphicFramePr/>
                  <a:graphic xmlns:a="http://schemas.openxmlformats.org/drawingml/2006/main">
                    <a:graphicData uri="http://schemas.openxmlformats.org/drawingml/2006/picture">
                      <pic:pic xmlns:pic="http://schemas.openxmlformats.org/drawingml/2006/picture">
                        <pic:nvPicPr>
                          <pic:cNvPr id="1227" name="AutoShape_2_SpCnt_5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28" name="AutoShape_1_SpCnt_54"/>
                  <wp:cNvGraphicFramePr/>
                  <a:graphic xmlns:a="http://schemas.openxmlformats.org/drawingml/2006/main">
                    <a:graphicData uri="http://schemas.openxmlformats.org/drawingml/2006/picture">
                      <pic:pic xmlns:pic="http://schemas.openxmlformats.org/drawingml/2006/picture">
                        <pic:nvPicPr>
                          <pic:cNvPr id="1228" name="AutoShape_1_SpCnt_54"/>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29" name="AutoShape_2_SpCnt_52"/>
                  <wp:cNvGraphicFramePr/>
                  <a:graphic xmlns:a="http://schemas.openxmlformats.org/drawingml/2006/main">
                    <a:graphicData uri="http://schemas.openxmlformats.org/drawingml/2006/picture">
                      <pic:pic xmlns:pic="http://schemas.openxmlformats.org/drawingml/2006/picture">
                        <pic:nvPicPr>
                          <pic:cNvPr id="1229" name="AutoShape_2_SpCnt_52"/>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30" name="AutoShape_1_SpCnt_55"/>
                  <wp:cNvGraphicFramePr/>
                  <a:graphic xmlns:a="http://schemas.openxmlformats.org/drawingml/2006/main">
                    <a:graphicData uri="http://schemas.openxmlformats.org/drawingml/2006/picture">
                      <pic:pic xmlns:pic="http://schemas.openxmlformats.org/drawingml/2006/picture">
                        <pic:nvPicPr>
                          <pic:cNvPr id="1230" name="AutoShape_1_SpCnt_55"/>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31" name="AutoShape_2_SpCnt_53"/>
                  <wp:cNvGraphicFramePr/>
                  <a:graphic xmlns:a="http://schemas.openxmlformats.org/drawingml/2006/main">
                    <a:graphicData uri="http://schemas.openxmlformats.org/drawingml/2006/picture">
                      <pic:pic xmlns:pic="http://schemas.openxmlformats.org/drawingml/2006/picture">
                        <pic:nvPicPr>
                          <pic:cNvPr id="1231" name="AutoShape_2_SpCnt_53"/>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32" name="AutoShape_1_SpCnt_56"/>
                  <wp:cNvGraphicFramePr/>
                  <a:graphic xmlns:a="http://schemas.openxmlformats.org/drawingml/2006/main">
                    <a:graphicData uri="http://schemas.openxmlformats.org/drawingml/2006/picture">
                      <pic:pic xmlns:pic="http://schemas.openxmlformats.org/drawingml/2006/picture">
                        <pic:nvPicPr>
                          <pic:cNvPr id="1232" name="AutoShape_1_SpCnt_56"/>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33" name="AutoShape_1_SpCnt_57"/>
                  <wp:cNvGraphicFramePr/>
                  <a:graphic xmlns:a="http://schemas.openxmlformats.org/drawingml/2006/main">
                    <a:graphicData uri="http://schemas.openxmlformats.org/drawingml/2006/picture">
                      <pic:pic xmlns:pic="http://schemas.openxmlformats.org/drawingml/2006/picture">
                        <pic:nvPicPr>
                          <pic:cNvPr id="1233" name="AutoShape_1_SpCnt_57"/>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34" name="AutoShape_1_SpCnt_58"/>
                  <wp:cNvGraphicFramePr/>
                  <a:graphic xmlns:a="http://schemas.openxmlformats.org/drawingml/2006/main">
                    <a:graphicData uri="http://schemas.openxmlformats.org/drawingml/2006/picture">
                      <pic:pic xmlns:pic="http://schemas.openxmlformats.org/drawingml/2006/picture">
                        <pic:nvPicPr>
                          <pic:cNvPr id="1234" name="AutoShape_1_SpCnt_58"/>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35" name="AutoShape_2_SpCnt_54"/>
                  <wp:cNvGraphicFramePr/>
                  <a:graphic xmlns:a="http://schemas.openxmlformats.org/drawingml/2006/main">
                    <a:graphicData uri="http://schemas.openxmlformats.org/drawingml/2006/picture">
                      <pic:pic xmlns:pic="http://schemas.openxmlformats.org/drawingml/2006/picture">
                        <pic:nvPicPr>
                          <pic:cNvPr id="1235" name="AutoShape_2_SpCnt_54"/>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36" name="AutoShape_2_SpCnt_55"/>
                  <wp:cNvGraphicFramePr/>
                  <a:graphic xmlns:a="http://schemas.openxmlformats.org/drawingml/2006/main">
                    <a:graphicData uri="http://schemas.openxmlformats.org/drawingml/2006/picture">
                      <pic:pic xmlns:pic="http://schemas.openxmlformats.org/drawingml/2006/picture">
                        <pic:nvPicPr>
                          <pic:cNvPr id="1236" name="AutoShape_2_SpCnt_55"/>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37" name="AutoShape_2_SpCnt_56"/>
                  <wp:cNvGraphicFramePr/>
                  <a:graphic xmlns:a="http://schemas.openxmlformats.org/drawingml/2006/main">
                    <a:graphicData uri="http://schemas.openxmlformats.org/drawingml/2006/picture">
                      <pic:pic xmlns:pic="http://schemas.openxmlformats.org/drawingml/2006/picture">
                        <pic:nvPicPr>
                          <pic:cNvPr id="1237" name="AutoShape_2_SpCnt_56"/>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38" name="AutoShape_2_SpCnt_57"/>
                  <wp:cNvGraphicFramePr/>
                  <a:graphic xmlns:a="http://schemas.openxmlformats.org/drawingml/2006/main">
                    <a:graphicData uri="http://schemas.openxmlformats.org/drawingml/2006/picture">
                      <pic:pic xmlns:pic="http://schemas.openxmlformats.org/drawingml/2006/picture">
                        <pic:nvPicPr>
                          <pic:cNvPr id="1238" name="AutoShape_2_SpCnt_57"/>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39" name="AutoShape_1_SpCnt_59"/>
                  <wp:cNvGraphicFramePr/>
                  <a:graphic xmlns:a="http://schemas.openxmlformats.org/drawingml/2006/main">
                    <a:graphicData uri="http://schemas.openxmlformats.org/drawingml/2006/picture">
                      <pic:pic xmlns:pic="http://schemas.openxmlformats.org/drawingml/2006/picture">
                        <pic:nvPicPr>
                          <pic:cNvPr id="1239" name="AutoShape_1_SpCnt_59"/>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40" name="AutoShape_1_SpCnt_60"/>
                  <wp:cNvGraphicFramePr/>
                  <a:graphic xmlns:a="http://schemas.openxmlformats.org/drawingml/2006/main">
                    <a:graphicData uri="http://schemas.openxmlformats.org/drawingml/2006/picture">
                      <pic:pic xmlns:pic="http://schemas.openxmlformats.org/drawingml/2006/picture">
                        <pic:nvPicPr>
                          <pic:cNvPr id="1240" name="AutoShape_1_SpCnt_60"/>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41" name="AutoShape_2_SpCnt_58"/>
                  <wp:cNvGraphicFramePr/>
                  <a:graphic xmlns:a="http://schemas.openxmlformats.org/drawingml/2006/main">
                    <a:graphicData uri="http://schemas.openxmlformats.org/drawingml/2006/picture">
                      <pic:pic xmlns:pic="http://schemas.openxmlformats.org/drawingml/2006/picture">
                        <pic:nvPicPr>
                          <pic:cNvPr id="1241" name="AutoShape_2_SpCnt_58"/>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42" name="AutoShape_1_SpCnt_61"/>
                  <wp:cNvGraphicFramePr/>
                  <a:graphic xmlns:a="http://schemas.openxmlformats.org/drawingml/2006/main">
                    <a:graphicData uri="http://schemas.openxmlformats.org/drawingml/2006/picture">
                      <pic:pic xmlns:pic="http://schemas.openxmlformats.org/drawingml/2006/picture">
                        <pic:nvPicPr>
                          <pic:cNvPr id="1242" name="AutoShape_1_SpCnt_6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43" name="AutoShape_1_SpCnt_62"/>
                  <wp:cNvGraphicFramePr/>
                  <a:graphic xmlns:a="http://schemas.openxmlformats.org/drawingml/2006/main">
                    <a:graphicData uri="http://schemas.openxmlformats.org/drawingml/2006/picture">
                      <pic:pic xmlns:pic="http://schemas.openxmlformats.org/drawingml/2006/picture">
                        <pic:nvPicPr>
                          <pic:cNvPr id="1243" name="AutoShape_1_SpCnt_62"/>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44" name="AutoShape_2_SpCnt_59"/>
                  <wp:cNvGraphicFramePr/>
                  <a:graphic xmlns:a="http://schemas.openxmlformats.org/drawingml/2006/main">
                    <a:graphicData uri="http://schemas.openxmlformats.org/drawingml/2006/picture">
                      <pic:pic xmlns:pic="http://schemas.openxmlformats.org/drawingml/2006/picture">
                        <pic:nvPicPr>
                          <pic:cNvPr id="1244" name="AutoShape_2_SpCnt_59"/>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45" name="AutoShape_2_SpCnt_60"/>
                  <wp:cNvGraphicFramePr/>
                  <a:graphic xmlns:a="http://schemas.openxmlformats.org/drawingml/2006/main">
                    <a:graphicData uri="http://schemas.openxmlformats.org/drawingml/2006/picture">
                      <pic:pic xmlns:pic="http://schemas.openxmlformats.org/drawingml/2006/picture">
                        <pic:nvPicPr>
                          <pic:cNvPr id="1245" name="AutoShape_2_SpCnt_60"/>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46" name="AutoShape_1_SpCnt_63"/>
                  <wp:cNvGraphicFramePr/>
                  <a:graphic xmlns:a="http://schemas.openxmlformats.org/drawingml/2006/main">
                    <a:graphicData uri="http://schemas.openxmlformats.org/drawingml/2006/picture">
                      <pic:pic xmlns:pic="http://schemas.openxmlformats.org/drawingml/2006/picture">
                        <pic:nvPicPr>
                          <pic:cNvPr id="1246" name="AutoShape_1_SpCnt_63"/>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47" name="AutoShape_1_SpCnt_64"/>
                  <wp:cNvGraphicFramePr/>
                  <a:graphic xmlns:a="http://schemas.openxmlformats.org/drawingml/2006/main">
                    <a:graphicData uri="http://schemas.openxmlformats.org/drawingml/2006/picture">
                      <pic:pic xmlns:pic="http://schemas.openxmlformats.org/drawingml/2006/picture">
                        <pic:nvPicPr>
                          <pic:cNvPr id="1247" name="AutoShape_1_SpCnt_64"/>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48" name="AutoShape_2_SpCnt_61"/>
                  <wp:cNvGraphicFramePr/>
                  <a:graphic xmlns:a="http://schemas.openxmlformats.org/drawingml/2006/main">
                    <a:graphicData uri="http://schemas.openxmlformats.org/drawingml/2006/picture">
                      <pic:pic xmlns:pic="http://schemas.openxmlformats.org/drawingml/2006/picture">
                        <pic:nvPicPr>
                          <pic:cNvPr id="1248" name="AutoShape_2_SpCnt_6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49" name="AutoShape_1_SpCnt_65"/>
                  <wp:cNvGraphicFramePr/>
                  <a:graphic xmlns:a="http://schemas.openxmlformats.org/drawingml/2006/main">
                    <a:graphicData uri="http://schemas.openxmlformats.org/drawingml/2006/picture">
                      <pic:pic xmlns:pic="http://schemas.openxmlformats.org/drawingml/2006/picture">
                        <pic:nvPicPr>
                          <pic:cNvPr id="1249" name="AutoShape_1_SpCnt_65"/>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50" name="AutoShape_1_SpCnt_66"/>
                  <wp:cNvGraphicFramePr/>
                  <a:graphic xmlns:a="http://schemas.openxmlformats.org/drawingml/2006/main">
                    <a:graphicData uri="http://schemas.openxmlformats.org/drawingml/2006/picture">
                      <pic:pic xmlns:pic="http://schemas.openxmlformats.org/drawingml/2006/picture">
                        <pic:nvPicPr>
                          <pic:cNvPr id="1250" name="AutoShape_1_SpCnt_66"/>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51" name="AutoShape_2_SpCnt_62"/>
                  <wp:cNvGraphicFramePr/>
                  <a:graphic xmlns:a="http://schemas.openxmlformats.org/drawingml/2006/main">
                    <a:graphicData uri="http://schemas.openxmlformats.org/drawingml/2006/picture">
                      <pic:pic xmlns:pic="http://schemas.openxmlformats.org/drawingml/2006/picture">
                        <pic:nvPicPr>
                          <pic:cNvPr id="1251" name="AutoShape_2_SpCnt_62"/>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52" name="AutoShape_2_SpCnt_63"/>
                  <wp:cNvGraphicFramePr/>
                  <a:graphic xmlns:a="http://schemas.openxmlformats.org/drawingml/2006/main">
                    <a:graphicData uri="http://schemas.openxmlformats.org/drawingml/2006/picture">
                      <pic:pic xmlns:pic="http://schemas.openxmlformats.org/drawingml/2006/picture">
                        <pic:nvPicPr>
                          <pic:cNvPr id="1252" name="AutoShape_2_SpCnt_63"/>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53" name="AutoShape_1_SpCnt_67"/>
                  <wp:cNvGraphicFramePr/>
                  <a:graphic xmlns:a="http://schemas.openxmlformats.org/drawingml/2006/main">
                    <a:graphicData uri="http://schemas.openxmlformats.org/drawingml/2006/picture">
                      <pic:pic xmlns:pic="http://schemas.openxmlformats.org/drawingml/2006/picture">
                        <pic:nvPicPr>
                          <pic:cNvPr id="1253" name="AutoShape_1_SpCnt_67"/>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54" name="AutoShape_2_SpCnt_64"/>
                  <wp:cNvGraphicFramePr/>
                  <a:graphic xmlns:a="http://schemas.openxmlformats.org/drawingml/2006/main">
                    <a:graphicData uri="http://schemas.openxmlformats.org/drawingml/2006/picture">
                      <pic:pic xmlns:pic="http://schemas.openxmlformats.org/drawingml/2006/picture">
                        <pic:nvPicPr>
                          <pic:cNvPr id="1254" name="AutoShape_2_SpCnt_64"/>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55" name="AutoShape_2_SpCnt_65"/>
                  <wp:cNvGraphicFramePr/>
                  <a:graphic xmlns:a="http://schemas.openxmlformats.org/drawingml/2006/main">
                    <a:graphicData uri="http://schemas.openxmlformats.org/drawingml/2006/picture">
                      <pic:pic xmlns:pic="http://schemas.openxmlformats.org/drawingml/2006/picture">
                        <pic:nvPicPr>
                          <pic:cNvPr id="1255" name="AutoShape_2_SpCnt_65"/>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56" name="AutoShape_2_SpCnt_66"/>
                  <wp:cNvGraphicFramePr/>
                  <a:graphic xmlns:a="http://schemas.openxmlformats.org/drawingml/2006/main">
                    <a:graphicData uri="http://schemas.openxmlformats.org/drawingml/2006/picture">
                      <pic:pic xmlns:pic="http://schemas.openxmlformats.org/drawingml/2006/picture">
                        <pic:nvPicPr>
                          <pic:cNvPr id="1256" name="AutoShape_2_SpCnt_66"/>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57" name="AutoShape_1_SpCnt_68"/>
                  <wp:cNvGraphicFramePr/>
                  <a:graphic xmlns:a="http://schemas.openxmlformats.org/drawingml/2006/main">
                    <a:graphicData uri="http://schemas.openxmlformats.org/drawingml/2006/picture">
                      <pic:pic xmlns:pic="http://schemas.openxmlformats.org/drawingml/2006/picture">
                        <pic:nvPicPr>
                          <pic:cNvPr id="1257" name="AutoShape_1_SpCnt_68"/>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58" name="AutoShape_1_SpCnt_69"/>
                  <wp:cNvGraphicFramePr/>
                  <a:graphic xmlns:a="http://schemas.openxmlformats.org/drawingml/2006/main">
                    <a:graphicData uri="http://schemas.openxmlformats.org/drawingml/2006/picture">
                      <pic:pic xmlns:pic="http://schemas.openxmlformats.org/drawingml/2006/picture">
                        <pic:nvPicPr>
                          <pic:cNvPr id="1258" name="AutoShape_1_SpCnt_69"/>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59" name="AutoShape_2_SpCnt_67"/>
                  <wp:cNvGraphicFramePr/>
                  <a:graphic xmlns:a="http://schemas.openxmlformats.org/drawingml/2006/main">
                    <a:graphicData uri="http://schemas.openxmlformats.org/drawingml/2006/picture">
                      <pic:pic xmlns:pic="http://schemas.openxmlformats.org/drawingml/2006/picture">
                        <pic:nvPicPr>
                          <pic:cNvPr id="1259" name="AutoShape_2_SpCnt_67"/>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60" name="AutoShape_1_SpCnt_70"/>
                  <wp:cNvGraphicFramePr/>
                  <a:graphic xmlns:a="http://schemas.openxmlformats.org/drawingml/2006/main">
                    <a:graphicData uri="http://schemas.openxmlformats.org/drawingml/2006/picture">
                      <pic:pic xmlns:pic="http://schemas.openxmlformats.org/drawingml/2006/picture">
                        <pic:nvPicPr>
                          <pic:cNvPr id="1260" name="AutoShape_1_SpCnt_70"/>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61" name="AutoShape_1_SpCnt_71"/>
                  <wp:cNvGraphicFramePr/>
                  <a:graphic xmlns:a="http://schemas.openxmlformats.org/drawingml/2006/main">
                    <a:graphicData uri="http://schemas.openxmlformats.org/drawingml/2006/picture">
                      <pic:pic xmlns:pic="http://schemas.openxmlformats.org/drawingml/2006/picture">
                        <pic:nvPicPr>
                          <pic:cNvPr id="1261" name="AutoShape_1_SpCnt_7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62" name="AutoShape_2_SpCnt_68"/>
                  <wp:cNvGraphicFramePr/>
                  <a:graphic xmlns:a="http://schemas.openxmlformats.org/drawingml/2006/main">
                    <a:graphicData uri="http://schemas.openxmlformats.org/drawingml/2006/picture">
                      <pic:pic xmlns:pic="http://schemas.openxmlformats.org/drawingml/2006/picture">
                        <pic:nvPicPr>
                          <pic:cNvPr id="1262" name="AutoShape_2_SpCnt_68"/>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63" name="AutoShape_2_SpCnt_69"/>
                  <wp:cNvGraphicFramePr/>
                  <a:graphic xmlns:a="http://schemas.openxmlformats.org/drawingml/2006/main">
                    <a:graphicData uri="http://schemas.openxmlformats.org/drawingml/2006/picture">
                      <pic:pic xmlns:pic="http://schemas.openxmlformats.org/drawingml/2006/picture">
                        <pic:nvPicPr>
                          <pic:cNvPr id="1263" name="AutoShape_2_SpCnt_69"/>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64" name="AutoShape_1_SpCnt_72"/>
                  <wp:cNvGraphicFramePr/>
                  <a:graphic xmlns:a="http://schemas.openxmlformats.org/drawingml/2006/main">
                    <a:graphicData uri="http://schemas.openxmlformats.org/drawingml/2006/picture">
                      <pic:pic xmlns:pic="http://schemas.openxmlformats.org/drawingml/2006/picture">
                        <pic:nvPicPr>
                          <pic:cNvPr id="1264" name="AutoShape_1_SpCnt_72"/>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65" name="AutoShape_1_SpCnt_73"/>
                  <wp:cNvGraphicFramePr/>
                  <a:graphic xmlns:a="http://schemas.openxmlformats.org/drawingml/2006/main">
                    <a:graphicData uri="http://schemas.openxmlformats.org/drawingml/2006/picture">
                      <pic:pic xmlns:pic="http://schemas.openxmlformats.org/drawingml/2006/picture">
                        <pic:nvPicPr>
                          <pic:cNvPr id="1265" name="AutoShape_1_SpCnt_73"/>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66" name="AutoShape_2_SpCnt_70"/>
                  <wp:cNvGraphicFramePr/>
                  <a:graphic xmlns:a="http://schemas.openxmlformats.org/drawingml/2006/main">
                    <a:graphicData uri="http://schemas.openxmlformats.org/drawingml/2006/picture">
                      <pic:pic xmlns:pic="http://schemas.openxmlformats.org/drawingml/2006/picture">
                        <pic:nvPicPr>
                          <pic:cNvPr id="1266" name="AutoShape_2_SpCnt_70"/>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67" name="AutoShape_1_SpCnt_74"/>
                  <wp:cNvGraphicFramePr/>
                  <a:graphic xmlns:a="http://schemas.openxmlformats.org/drawingml/2006/main">
                    <a:graphicData uri="http://schemas.openxmlformats.org/drawingml/2006/picture">
                      <pic:pic xmlns:pic="http://schemas.openxmlformats.org/drawingml/2006/picture">
                        <pic:nvPicPr>
                          <pic:cNvPr id="1267" name="AutoShape_1_SpCnt_74"/>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68" name="AutoShape_2_SpCnt_71"/>
                  <wp:cNvGraphicFramePr/>
                  <a:graphic xmlns:a="http://schemas.openxmlformats.org/drawingml/2006/main">
                    <a:graphicData uri="http://schemas.openxmlformats.org/drawingml/2006/picture">
                      <pic:pic xmlns:pic="http://schemas.openxmlformats.org/drawingml/2006/picture">
                        <pic:nvPicPr>
                          <pic:cNvPr id="1268" name="AutoShape_2_SpCnt_7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69" name="AutoShape_2_SpCnt_72"/>
                  <wp:cNvGraphicFramePr/>
                  <a:graphic xmlns:a="http://schemas.openxmlformats.org/drawingml/2006/main">
                    <a:graphicData uri="http://schemas.openxmlformats.org/drawingml/2006/picture">
                      <pic:pic xmlns:pic="http://schemas.openxmlformats.org/drawingml/2006/picture">
                        <pic:nvPicPr>
                          <pic:cNvPr id="1269" name="AutoShape_2_SpCnt_72"/>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70" name="AutoShape_2_SpCnt_73"/>
                  <wp:cNvGraphicFramePr/>
                  <a:graphic xmlns:a="http://schemas.openxmlformats.org/drawingml/2006/main">
                    <a:graphicData uri="http://schemas.openxmlformats.org/drawingml/2006/picture">
                      <pic:pic xmlns:pic="http://schemas.openxmlformats.org/drawingml/2006/picture">
                        <pic:nvPicPr>
                          <pic:cNvPr id="1270" name="AutoShape_2_SpCnt_73"/>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71" name="AutoShape_2_SpCnt_74"/>
                  <wp:cNvGraphicFramePr/>
                  <a:graphic xmlns:a="http://schemas.openxmlformats.org/drawingml/2006/main">
                    <a:graphicData uri="http://schemas.openxmlformats.org/drawingml/2006/picture">
                      <pic:pic xmlns:pic="http://schemas.openxmlformats.org/drawingml/2006/picture">
                        <pic:nvPicPr>
                          <pic:cNvPr id="1271" name="AutoShape_2_SpCnt_74"/>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72" name="AutoShape_1_SpCnt_75"/>
                  <wp:cNvGraphicFramePr/>
                  <a:graphic xmlns:a="http://schemas.openxmlformats.org/drawingml/2006/main">
                    <a:graphicData uri="http://schemas.openxmlformats.org/drawingml/2006/picture">
                      <pic:pic xmlns:pic="http://schemas.openxmlformats.org/drawingml/2006/picture">
                        <pic:nvPicPr>
                          <pic:cNvPr id="1272" name="AutoShape_1_SpCnt_75"/>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73" name="AutoShape_1_SpCnt_76"/>
                  <wp:cNvGraphicFramePr/>
                  <a:graphic xmlns:a="http://schemas.openxmlformats.org/drawingml/2006/main">
                    <a:graphicData uri="http://schemas.openxmlformats.org/drawingml/2006/picture">
                      <pic:pic xmlns:pic="http://schemas.openxmlformats.org/drawingml/2006/picture">
                        <pic:nvPicPr>
                          <pic:cNvPr id="1273" name="AutoShape_1_SpCnt_76"/>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74" name="AutoShape_2_SpCnt_75"/>
                  <wp:cNvGraphicFramePr/>
                  <a:graphic xmlns:a="http://schemas.openxmlformats.org/drawingml/2006/main">
                    <a:graphicData uri="http://schemas.openxmlformats.org/drawingml/2006/picture">
                      <pic:pic xmlns:pic="http://schemas.openxmlformats.org/drawingml/2006/picture">
                        <pic:nvPicPr>
                          <pic:cNvPr id="1274" name="AutoShape_2_SpCnt_75"/>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75" name="AutoShape_1_SpCnt_77"/>
                  <wp:cNvGraphicFramePr/>
                  <a:graphic xmlns:a="http://schemas.openxmlformats.org/drawingml/2006/main">
                    <a:graphicData uri="http://schemas.openxmlformats.org/drawingml/2006/picture">
                      <pic:pic xmlns:pic="http://schemas.openxmlformats.org/drawingml/2006/picture">
                        <pic:nvPicPr>
                          <pic:cNvPr id="1275" name="AutoShape_1_SpCnt_77"/>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76" name="AutoShape_1_SpCnt_78"/>
                  <wp:cNvGraphicFramePr/>
                  <a:graphic xmlns:a="http://schemas.openxmlformats.org/drawingml/2006/main">
                    <a:graphicData uri="http://schemas.openxmlformats.org/drawingml/2006/picture">
                      <pic:pic xmlns:pic="http://schemas.openxmlformats.org/drawingml/2006/picture">
                        <pic:nvPicPr>
                          <pic:cNvPr id="1276" name="AutoShape_1_SpCnt_78"/>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77" name="AutoShape_2_SpCnt_76"/>
                  <wp:cNvGraphicFramePr/>
                  <a:graphic xmlns:a="http://schemas.openxmlformats.org/drawingml/2006/main">
                    <a:graphicData uri="http://schemas.openxmlformats.org/drawingml/2006/picture">
                      <pic:pic xmlns:pic="http://schemas.openxmlformats.org/drawingml/2006/picture">
                        <pic:nvPicPr>
                          <pic:cNvPr id="1277" name="AutoShape_2_SpCnt_76"/>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78" name="AutoShape_2_SpCnt_77"/>
                  <wp:cNvGraphicFramePr/>
                  <a:graphic xmlns:a="http://schemas.openxmlformats.org/drawingml/2006/main">
                    <a:graphicData uri="http://schemas.openxmlformats.org/drawingml/2006/picture">
                      <pic:pic xmlns:pic="http://schemas.openxmlformats.org/drawingml/2006/picture">
                        <pic:nvPicPr>
                          <pic:cNvPr id="1278" name="AutoShape_2_SpCnt_77"/>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79" name="AutoShape_1_SpCnt_79"/>
                  <wp:cNvGraphicFramePr/>
                  <a:graphic xmlns:a="http://schemas.openxmlformats.org/drawingml/2006/main">
                    <a:graphicData uri="http://schemas.openxmlformats.org/drawingml/2006/picture">
                      <pic:pic xmlns:pic="http://schemas.openxmlformats.org/drawingml/2006/picture">
                        <pic:nvPicPr>
                          <pic:cNvPr id="1279" name="AutoShape_1_SpCnt_79"/>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80" name="AutoShape_1_SpCnt_80"/>
                  <wp:cNvGraphicFramePr/>
                  <a:graphic xmlns:a="http://schemas.openxmlformats.org/drawingml/2006/main">
                    <a:graphicData uri="http://schemas.openxmlformats.org/drawingml/2006/picture">
                      <pic:pic xmlns:pic="http://schemas.openxmlformats.org/drawingml/2006/picture">
                        <pic:nvPicPr>
                          <pic:cNvPr id="1280" name="AutoShape_1_SpCnt_80"/>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81" name="AutoShape_2_SpCnt_78"/>
                  <wp:cNvGraphicFramePr/>
                  <a:graphic xmlns:a="http://schemas.openxmlformats.org/drawingml/2006/main">
                    <a:graphicData uri="http://schemas.openxmlformats.org/drawingml/2006/picture">
                      <pic:pic xmlns:pic="http://schemas.openxmlformats.org/drawingml/2006/picture">
                        <pic:nvPicPr>
                          <pic:cNvPr id="1281" name="AutoShape_2_SpCnt_78"/>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82" name="AutoShape_1_SpCnt_81"/>
                  <wp:cNvGraphicFramePr/>
                  <a:graphic xmlns:a="http://schemas.openxmlformats.org/drawingml/2006/main">
                    <a:graphicData uri="http://schemas.openxmlformats.org/drawingml/2006/picture">
                      <pic:pic xmlns:pic="http://schemas.openxmlformats.org/drawingml/2006/picture">
                        <pic:nvPicPr>
                          <pic:cNvPr id="1282" name="AutoShape_1_SpCnt_8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83" name="AutoShape_1_SpCnt_82"/>
                  <wp:cNvGraphicFramePr/>
                  <a:graphic xmlns:a="http://schemas.openxmlformats.org/drawingml/2006/main">
                    <a:graphicData uri="http://schemas.openxmlformats.org/drawingml/2006/picture">
                      <pic:pic xmlns:pic="http://schemas.openxmlformats.org/drawingml/2006/picture">
                        <pic:nvPicPr>
                          <pic:cNvPr id="1283" name="AutoShape_1_SpCnt_82"/>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84" name="AutoShape_1_SpCnt_83"/>
                  <wp:cNvGraphicFramePr/>
                  <a:graphic xmlns:a="http://schemas.openxmlformats.org/drawingml/2006/main">
                    <a:graphicData uri="http://schemas.openxmlformats.org/drawingml/2006/picture">
                      <pic:pic xmlns:pic="http://schemas.openxmlformats.org/drawingml/2006/picture">
                        <pic:nvPicPr>
                          <pic:cNvPr id="1284" name="AutoShape_1_SpCnt_83"/>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85" name="AutoShape_2_SpCnt_79"/>
                  <wp:cNvGraphicFramePr/>
                  <a:graphic xmlns:a="http://schemas.openxmlformats.org/drawingml/2006/main">
                    <a:graphicData uri="http://schemas.openxmlformats.org/drawingml/2006/picture">
                      <pic:pic xmlns:pic="http://schemas.openxmlformats.org/drawingml/2006/picture">
                        <pic:nvPicPr>
                          <pic:cNvPr id="1285" name="AutoShape_2_SpCnt_79"/>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86" name="AutoShape_2_SpCnt_80"/>
                  <wp:cNvGraphicFramePr/>
                  <a:graphic xmlns:a="http://schemas.openxmlformats.org/drawingml/2006/main">
                    <a:graphicData uri="http://schemas.openxmlformats.org/drawingml/2006/picture">
                      <pic:pic xmlns:pic="http://schemas.openxmlformats.org/drawingml/2006/picture">
                        <pic:nvPicPr>
                          <pic:cNvPr id="1286" name="AutoShape_2_SpCnt_80"/>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87" name="AutoShape_2_SpCnt_81"/>
                  <wp:cNvGraphicFramePr/>
                  <a:graphic xmlns:a="http://schemas.openxmlformats.org/drawingml/2006/main">
                    <a:graphicData uri="http://schemas.openxmlformats.org/drawingml/2006/picture">
                      <pic:pic xmlns:pic="http://schemas.openxmlformats.org/drawingml/2006/picture">
                        <pic:nvPicPr>
                          <pic:cNvPr id="1287" name="AutoShape_2_SpCnt_8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88" name="AutoShape_1_SpCnt_84"/>
                  <wp:cNvGraphicFramePr/>
                  <a:graphic xmlns:a="http://schemas.openxmlformats.org/drawingml/2006/main">
                    <a:graphicData uri="http://schemas.openxmlformats.org/drawingml/2006/picture">
                      <pic:pic xmlns:pic="http://schemas.openxmlformats.org/drawingml/2006/picture">
                        <pic:nvPicPr>
                          <pic:cNvPr id="1288" name="AutoShape_1_SpCnt_84"/>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89" name="AutoShape_1_SpCnt_85"/>
                  <wp:cNvGraphicFramePr/>
                  <a:graphic xmlns:a="http://schemas.openxmlformats.org/drawingml/2006/main">
                    <a:graphicData uri="http://schemas.openxmlformats.org/drawingml/2006/picture">
                      <pic:pic xmlns:pic="http://schemas.openxmlformats.org/drawingml/2006/picture">
                        <pic:nvPicPr>
                          <pic:cNvPr id="1289" name="AutoShape_1_SpCnt_85"/>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90" name="AutoShape_2_SpCnt_82"/>
                  <wp:cNvGraphicFramePr/>
                  <a:graphic xmlns:a="http://schemas.openxmlformats.org/drawingml/2006/main">
                    <a:graphicData uri="http://schemas.openxmlformats.org/drawingml/2006/picture">
                      <pic:pic xmlns:pic="http://schemas.openxmlformats.org/drawingml/2006/picture">
                        <pic:nvPicPr>
                          <pic:cNvPr id="1290" name="AutoShape_2_SpCnt_82"/>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91" name="AutoShape_1_SpCnt_86"/>
                  <wp:cNvGraphicFramePr/>
                  <a:graphic xmlns:a="http://schemas.openxmlformats.org/drawingml/2006/main">
                    <a:graphicData uri="http://schemas.openxmlformats.org/drawingml/2006/picture">
                      <pic:pic xmlns:pic="http://schemas.openxmlformats.org/drawingml/2006/picture">
                        <pic:nvPicPr>
                          <pic:cNvPr id="1291" name="AutoShape_1_SpCnt_86"/>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92" name="AutoShape_1_SpCnt_87"/>
                  <wp:cNvGraphicFramePr/>
                  <a:graphic xmlns:a="http://schemas.openxmlformats.org/drawingml/2006/main">
                    <a:graphicData uri="http://schemas.openxmlformats.org/drawingml/2006/picture">
                      <pic:pic xmlns:pic="http://schemas.openxmlformats.org/drawingml/2006/picture">
                        <pic:nvPicPr>
                          <pic:cNvPr id="1292" name="AutoShape_1_SpCnt_87"/>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93" name="AutoShape_2_SpCnt_83"/>
                  <wp:cNvGraphicFramePr/>
                  <a:graphic xmlns:a="http://schemas.openxmlformats.org/drawingml/2006/main">
                    <a:graphicData uri="http://schemas.openxmlformats.org/drawingml/2006/picture">
                      <pic:pic xmlns:pic="http://schemas.openxmlformats.org/drawingml/2006/picture">
                        <pic:nvPicPr>
                          <pic:cNvPr id="1293" name="AutoShape_2_SpCnt_83"/>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94" name="AutoShape_2_SpCnt_84"/>
                  <wp:cNvGraphicFramePr/>
                  <a:graphic xmlns:a="http://schemas.openxmlformats.org/drawingml/2006/main">
                    <a:graphicData uri="http://schemas.openxmlformats.org/drawingml/2006/picture">
                      <pic:pic xmlns:pic="http://schemas.openxmlformats.org/drawingml/2006/picture">
                        <pic:nvPicPr>
                          <pic:cNvPr id="1294" name="AutoShape_2_SpCnt_84"/>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95" name="AutoShape_1_SpCnt_88"/>
                  <wp:cNvGraphicFramePr/>
                  <a:graphic xmlns:a="http://schemas.openxmlformats.org/drawingml/2006/main">
                    <a:graphicData uri="http://schemas.openxmlformats.org/drawingml/2006/picture">
                      <pic:pic xmlns:pic="http://schemas.openxmlformats.org/drawingml/2006/picture">
                        <pic:nvPicPr>
                          <pic:cNvPr id="1295" name="AutoShape_1_SpCnt_88"/>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96" name="AutoShape_1_SpCnt_89"/>
                  <wp:cNvGraphicFramePr/>
                  <a:graphic xmlns:a="http://schemas.openxmlformats.org/drawingml/2006/main">
                    <a:graphicData uri="http://schemas.openxmlformats.org/drawingml/2006/picture">
                      <pic:pic xmlns:pic="http://schemas.openxmlformats.org/drawingml/2006/picture">
                        <pic:nvPicPr>
                          <pic:cNvPr id="1296" name="AutoShape_1_SpCnt_89"/>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97" name="AutoShape_2_SpCnt_85"/>
                  <wp:cNvGraphicFramePr/>
                  <a:graphic xmlns:a="http://schemas.openxmlformats.org/drawingml/2006/main">
                    <a:graphicData uri="http://schemas.openxmlformats.org/drawingml/2006/picture">
                      <pic:pic xmlns:pic="http://schemas.openxmlformats.org/drawingml/2006/picture">
                        <pic:nvPicPr>
                          <pic:cNvPr id="1297" name="AutoShape_2_SpCnt_85"/>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98" name="AutoShape_1_SpCnt_90"/>
                  <wp:cNvGraphicFramePr/>
                  <a:graphic xmlns:a="http://schemas.openxmlformats.org/drawingml/2006/main">
                    <a:graphicData uri="http://schemas.openxmlformats.org/drawingml/2006/picture">
                      <pic:pic xmlns:pic="http://schemas.openxmlformats.org/drawingml/2006/picture">
                        <pic:nvPicPr>
                          <pic:cNvPr id="1298" name="AutoShape_1_SpCnt_90"/>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299" name="AutoShape_2_SpCnt_86"/>
                  <wp:cNvGraphicFramePr/>
                  <a:graphic xmlns:a="http://schemas.openxmlformats.org/drawingml/2006/main">
                    <a:graphicData uri="http://schemas.openxmlformats.org/drawingml/2006/picture">
                      <pic:pic xmlns:pic="http://schemas.openxmlformats.org/drawingml/2006/picture">
                        <pic:nvPicPr>
                          <pic:cNvPr id="1299" name="AutoShape_2_SpCnt_86"/>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00" name="AutoShape_2_SpCnt_87"/>
                  <wp:cNvGraphicFramePr/>
                  <a:graphic xmlns:a="http://schemas.openxmlformats.org/drawingml/2006/main">
                    <a:graphicData uri="http://schemas.openxmlformats.org/drawingml/2006/picture">
                      <pic:pic xmlns:pic="http://schemas.openxmlformats.org/drawingml/2006/picture">
                        <pic:nvPicPr>
                          <pic:cNvPr id="1300" name="AutoShape_2_SpCnt_87"/>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01" name="AutoShape_2_SpCnt_88"/>
                  <wp:cNvGraphicFramePr/>
                  <a:graphic xmlns:a="http://schemas.openxmlformats.org/drawingml/2006/main">
                    <a:graphicData uri="http://schemas.openxmlformats.org/drawingml/2006/picture">
                      <pic:pic xmlns:pic="http://schemas.openxmlformats.org/drawingml/2006/picture">
                        <pic:nvPicPr>
                          <pic:cNvPr id="1301" name="AutoShape_2_SpCnt_88"/>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02" name="AutoShape_2_SpCnt_89"/>
                  <wp:cNvGraphicFramePr/>
                  <a:graphic xmlns:a="http://schemas.openxmlformats.org/drawingml/2006/main">
                    <a:graphicData uri="http://schemas.openxmlformats.org/drawingml/2006/picture">
                      <pic:pic xmlns:pic="http://schemas.openxmlformats.org/drawingml/2006/picture">
                        <pic:nvPicPr>
                          <pic:cNvPr id="1302" name="AutoShape_2_SpCnt_89"/>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03" name="AutoShape_1_SpCnt_91"/>
                  <wp:cNvGraphicFramePr/>
                  <a:graphic xmlns:a="http://schemas.openxmlformats.org/drawingml/2006/main">
                    <a:graphicData uri="http://schemas.openxmlformats.org/drawingml/2006/picture">
                      <pic:pic xmlns:pic="http://schemas.openxmlformats.org/drawingml/2006/picture">
                        <pic:nvPicPr>
                          <pic:cNvPr id="1303" name="AutoShape_1_SpCnt_9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04" name="AutoShape_1_SpCnt_92"/>
                  <wp:cNvGraphicFramePr/>
                  <a:graphic xmlns:a="http://schemas.openxmlformats.org/drawingml/2006/main">
                    <a:graphicData uri="http://schemas.openxmlformats.org/drawingml/2006/picture">
                      <pic:pic xmlns:pic="http://schemas.openxmlformats.org/drawingml/2006/picture">
                        <pic:nvPicPr>
                          <pic:cNvPr id="1304" name="AutoShape_1_SpCnt_92"/>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05" name="AutoShape_1_SpCnt_93"/>
                  <wp:cNvGraphicFramePr/>
                  <a:graphic xmlns:a="http://schemas.openxmlformats.org/drawingml/2006/main">
                    <a:graphicData uri="http://schemas.openxmlformats.org/drawingml/2006/picture">
                      <pic:pic xmlns:pic="http://schemas.openxmlformats.org/drawingml/2006/picture">
                        <pic:nvPicPr>
                          <pic:cNvPr id="1305" name="AutoShape_1_SpCnt_93"/>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06" name="AutoShape_2_SpCnt_90"/>
                  <wp:cNvGraphicFramePr/>
                  <a:graphic xmlns:a="http://schemas.openxmlformats.org/drawingml/2006/main">
                    <a:graphicData uri="http://schemas.openxmlformats.org/drawingml/2006/picture">
                      <pic:pic xmlns:pic="http://schemas.openxmlformats.org/drawingml/2006/picture">
                        <pic:nvPicPr>
                          <pic:cNvPr id="1306" name="AutoShape_2_SpCnt_90"/>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07" name="AutoShape_1_SpCnt_94"/>
                  <wp:cNvGraphicFramePr/>
                  <a:graphic xmlns:a="http://schemas.openxmlformats.org/drawingml/2006/main">
                    <a:graphicData uri="http://schemas.openxmlformats.org/drawingml/2006/picture">
                      <pic:pic xmlns:pic="http://schemas.openxmlformats.org/drawingml/2006/picture">
                        <pic:nvPicPr>
                          <pic:cNvPr id="1307" name="AutoShape_1_SpCnt_94"/>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08" name="AutoShape_2_SpCnt_91"/>
                  <wp:cNvGraphicFramePr/>
                  <a:graphic xmlns:a="http://schemas.openxmlformats.org/drawingml/2006/main">
                    <a:graphicData uri="http://schemas.openxmlformats.org/drawingml/2006/picture">
                      <pic:pic xmlns:pic="http://schemas.openxmlformats.org/drawingml/2006/picture">
                        <pic:nvPicPr>
                          <pic:cNvPr id="1308" name="AutoShape_2_SpCnt_9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09" name="AutoShape_1_SpCnt_95"/>
                  <wp:cNvGraphicFramePr/>
                  <a:graphic xmlns:a="http://schemas.openxmlformats.org/drawingml/2006/main">
                    <a:graphicData uri="http://schemas.openxmlformats.org/drawingml/2006/picture">
                      <pic:pic xmlns:pic="http://schemas.openxmlformats.org/drawingml/2006/picture">
                        <pic:nvPicPr>
                          <pic:cNvPr id="1309" name="AutoShape_1_SpCnt_95"/>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10" name="AutoShape_2_SpCnt_92"/>
                  <wp:cNvGraphicFramePr/>
                  <a:graphic xmlns:a="http://schemas.openxmlformats.org/drawingml/2006/main">
                    <a:graphicData uri="http://schemas.openxmlformats.org/drawingml/2006/picture">
                      <pic:pic xmlns:pic="http://schemas.openxmlformats.org/drawingml/2006/picture">
                        <pic:nvPicPr>
                          <pic:cNvPr id="1310" name="AutoShape_2_SpCnt_92"/>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11" name="AutoShape_1_SpCnt_96"/>
                  <wp:cNvGraphicFramePr/>
                  <a:graphic xmlns:a="http://schemas.openxmlformats.org/drawingml/2006/main">
                    <a:graphicData uri="http://schemas.openxmlformats.org/drawingml/2006/picture">
                      <pic:pic xmlns:pic="http://schemas.openxmlformats.org/drawingml/2006/picture">
                        <pic:nvPicPr>
                          <pic:cNvPr id="1311" name="AutoShape_1_SpCnt_96"/>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12" name="AutoShape_1_SpCnt_97"/>
                  <wp:cNvGraphicFramePr/>
                  <a:graphic xmlns:a="http://schemas.openxmlformats.org/drawingml/2006/main">
                    <a:graphicData uri="http://schemas.openxmlformats.org/drawingml/2006/picture">
                      <pic:pic xmlns:pic="http://schemas.openxmlformats.org/drawingml/2006/picture">
                        <pic:nvPicPr>
                          <pic:cNvPr id="1312" name="AutoShape_1_SpCnt_97"/>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13" name="AutoShape_2_SpCnt_93"/>
                  <wp:cNvGraphicFramePr/>
                  <a:graphic xmlns:a="http://schemas.openxmlformats.org/drawingml/2006/main">
                    <a:graphicData uri="http://schemas.openxmlformats.org/drawingml/2006/picture">
                      <pic:pic xmlns:pic="http://schemas.openxmlformats.org/drawingml/2006/picture">
                        <pic:nvPicPr>
                          <pic:cNvPr id="1313" name="AutoShape_2_SpCnt_93"/>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14" name="AutoShape_1_SpCnt_98"/>
                  <wp:cNvGraphicFramePr/>
                  <a:graphic xmlns:a="http://schemas.openxmlformats.org/drawingml/2006/main">
                    <a:graphicData uri="http://schemas.openxmlformats.org/drawingml/2006/picture">
                      <pic:pic xmlns:pic="http://schemas.openxmlformats.org/drawingml/2006/picture">
                        <pic:nvPicPr>
                          <pic:cNvPr id="1314" name="AutoShape_1_SpCnt_98"/>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15" name="AutoShape_2_SpCnt_94"/>
                  <wp:cNvGraphicFramePr/>
                  <a:graphic xmlns:a="http://schemas.openxmlformats.org/drawingml/2006/main">
                    <a:graphicData uri="http://schemas.openxmlformats.org/drawingml/2006/picture">
                      <pic:pic xmlns:pic="http://schemas.openxmlformats.org/drawingml/2006/picture">
                        <pic:nvPicPr>
                          <pic:cNvPr id="1315" name="AutoShape_2_SpCnt_94"/>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16" name="AutoShape_1_SpCnt_99"/>
                  <wp:cNvGraphicFramePr/>
                  <a:graphic xmlns:a="http://schemas.openxmlformats.org/drawingml/2006/main">
                    <a:graphicData uri="http://schemas.openxmlformats.org/drawingml/2006/picture">
                      <pic:pic xmlns:pic="http://schemas.openxmlformats.org/drawingml/2006/picture">
                        <pic:nvPicPr>
                          <pic:cNvPr id="1316" name="AutoShape_1_SpCnt_99"/>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17" name="AutoShape_2_SpCnt_95"/>
                  <wp:cNvGraphicFramePr/>
                  <a:graphic xmlns:a="http://schemas.openxmlformats.org/drawingml/2006/main">
                    <a:graphicData uri="http://schemas.openxmlformats.org/drawingml/2006/picture">
                      <pic:pic xmlns:pic="http://schemas.openxmlformats.org/drawingml/2006/picture">
                        <pic:nvPicPr>
                          <pic:cNvPr id="1317" name="AutoShape_2_SpCnt_95"/>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18" name="AutoShape_2_SpCnt_96"/>
                  <wp:cNvGraphicFramePr/>
                  <a:graphic xmlns:a="http://schemas.openxmlformats.org/drawingml/2006/main">
                    <a:graphicData uri="http://schemas.openxmlformats.org/drawingml/2006/picture">
                      <pic:pic xmlns:pic="http://schemas.openxmlformats.org/drawingml/2006/picture">
                        <pic:nvPicPr>
                          <pic:cNvPr id="1318" name="AutoShape_2_SpCnt_96"/>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19" name="AutoShape_1_SpCnt_100"/>
                  <wp:cNvGraphicFramePr/>
                  <a:graphic xmlns:a="http://schemas.openxmlformats.org/drawingml/2006/main">
                    <a:graphicData uri="http://schemas.openxmlformats.org/drawingml/2006/picture">
                      <pic:pic xmlns:pic="http://schemas.openxmlformats.org/drawingml/2006/picture">
                        <pic:nvPicPr>
                          <pic:cNvPr id="1319" name="AutoShape_1_SpCnt_100"/>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20" name="AutoShape_2_SpCnt_97"/>
                  <wp:cNvGraphicFramePr/>
                  <a:graphic xmlns:a="http://schemas.openxmlformats.org/drawingml/2006/main">
                    <a:graphicData uri="http://schemas.openxmlformats.org/drawingml/2006/picture">
                      <pic:pic xmlns:pic="http://schemas.openxmlformats.org/drawingml/2006/picture">
                        <pic:nvPicPr>
                          <pic:cNvPr id="1320" name="AutoShape_2_SpCnt_97"/>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21" name="AutoShape_1_SpCnt_101"/>
                  <wp:cNvGraphicFramePr/>
                  <a:graphic xmlns:a="http://schemas.openxmlformats.org/drawingml/2006/main">
                    <a:graphicData uri="http://schemas.openxmlformats.org/drawingml/2006/picture">
                      <pic:pic xmlns:pic="http://schemas.openxmlformats.org/drawingml/2006/picture">
                        <pic:nvPicPr>
                          <pic:cNvPr id="1321" name="AutoShape_1_SpCnt_10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22" name="AutoShape_1_SpCnt_102"/>
                  <wp:cNvGraphicFramePr/>
                  <a:graphic xmlns:a="http://schemas.openxmlformats.org/drawingml/2006/main">
                    <a:graphicData uri="http://schemas.openxmlformats.org/drawingml/2006/picture">
                      <pic:pic xmlns:pic="http://schemas.openxmlformats.org/drawingml/2006/picture">
                        <pic:nvPicPr>
                          <pic:cNvPr id="1322" name="AutoShape_1_SpCnt_102"/>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23" name="AutoShape_2_SpCnt_98"/>
                  <wp:cNvGraphicFramePr/>
                  <a:graphic xmlns:a="http://schemas.openxmlformats.org/drawingml/2006/main">
                    <a:graphicData uri="http://schemas.openxmlformats.org/drawingml/2006/picture">
                      <pic:pic xmlns:pic="http://schemas.openxmlformats.org/drawingml/2006/picture">
                        <pic:nvPicPr>
                          <pic:cNvPr id="1323" name="AutoShape_2_SpCnt_98"/>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24" name="AutoShape_1_SpCnt_103"/>
                  <wp:cNvGraphicFramePr/>
                  <a:graphic xmlns:a="http://schemas.openxmlformats.org/drawingml/2006/main">
                    <a:graphicData uri="http://schemas.openxmlformats.org/drawingml/2006/picture">
                      <pic:pic xmlns:pic="http://schemas.openxmlformats.org/drawingml/2006/picture">
                        <pic:nvPicPr>
                          <pic:cNvPr id="1324" name="AutoShape_1_SpCnt_103"/>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25" name="AutoShape_2_SpCnt_99"/>
                  <wp:cNvGraphicFramePr/>
                  <a:graphic xmlns:a="http://schemas.openxmlformats.org/drawingml/2006/main">
                    <a:graphicData uri="http://schemas.openxmlformats.org/drawingml/2006/picture">
                      <pic:pic xmlns:pic="http://schemas.openxmlformats.org/drawingml/2006/picture">
                        <pic:nvPicPr>
                          <pic:cNvPr id="1325" name="AutoShape_2_SpCnt_99"/>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26" name="AutoShape_1_SpCnt_104"/>
                  <wp:cNvGraphicFramePr/>
                  <a:graphic xmlns:a="http://schemas.openxmlformats.org/drawingml/2006/main">
                    <a:graphicData uri="http://schemas.openxmlformats.org/drawingml/2006/picture">
                      <pic:pic xmlns:pic="http://schemas.openxmlformats.org/drawingml/2006/picture">
                        <pic:nvPicPr>
                          <pic:cNvPr id="1326" name="AutoShape_1_SpCnt_104"/>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27" name="AutoShape_1_SpCnt_105"/>
                  <wp:cNvGraphicFramePr/>
                  <a:graphic xmlns:a="http://schemas.openxmlformats.org/drawingml/2006/main">
                    <a:graphicData uri="http://schemas.openxmlformats.org/drawingml/2006/picture">
                      <pic:pic xmlns:pic="http://schemas.openxmlformats.org/drawingml/2006/picture">
                        <pic:nvPicPr>
                          <pic:cNvPr id="1327" name="AutoShape_1_SpCnt_105"/>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28" name="AutoShape_1_SpCnt_106"/>
                  <wp:cNvGraphicFramePr/>
                  <a:graphic xmlns:a="http://schemas.openxmlformats.org/drawingml/2006/main">
                    <a:graphicData uri="http://schemas.openxmlformats.org/drawingml/2006/picture">
                      <pic:pic xmlns:pic="http://schemas.openxmlformats.org/drawingml/2006/picture">
                        <pic:nvPicPr>
                          <pic:cNvPr id="1328" name="AutoShape_1_SpCnt_106"/>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29" name="AutoShape_2_SpCnt_100"/>
                  <wp:cNvGraphicFramePr/>
                  <a:graphic xmlns:a="http://schemas.openxmlformats.org/drawingml/2006/main">
                    <a:graphicData uri="http://schemas.openxmlformats.org/drawingml/2006/picture">
                      <pic:pic xmlns:pic="http://schemas.openxmlformats.org/drawingml/2006/picture">
                        <pic:nvPicPr>
                          <pic:cNvPr id="1329" name="AutoShape_2_SpCnt_100"/>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30" name="AutoShape_1_SpCnt_107"/>
                  <wp:cNvGraphicFramePr/>
                  <a:graphic xmlns:a="http://schemas.openxmlformats.org/drawingml/2006/main">
                    <a:graphicData uri="http://schemas.openxmlformats.org/drawingml/2006/picture">
                      <pic:pic xmlns:pic="http://schemas.openxmlformats.org/drawingml/2006/picture">
                        <pic:nvPicPr>
                          <pic:cNvPr id="1330" name="AutoShape_1_SpCnt_107"/>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31" name="AutoShape_1_SpCnt_108"/>
                  <wp:cNvGraphicFramePr/>
                  <a:graphic xmlns:a="http://schemas.openxmlformats.org/drawingml/2006/main">
                    <a:graphicData uri="http://schemas.openxmlformats.org/drawingml/2006/picture">
                      <pic:pic xmlns:pic="http://schemas.openxmlformats.org/drawingml/2006/picture">
                        <pic:nvPicPr>
                          <pic:cNvPr id="1331" name="AutoShape_1_SpCnt_108"/>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32" name="AutoShape_2_SpCnt_101"/>
                  <wp:cNvGraphicFramePr/>
                  <a:graphic xmlns:a="http://schemas.openxmlformats.org/drawingml/2006/main">
                    <a:graphicData uri="http://schemas.openxmlformats.org/drawingml/2006/picture">
                      <pic:pic xmlns:pic="http://schemas.openxmlformats.org/drawingml/2006/picture">
                        <pic:nvPicPr>
                          <pic:cNvPr id="1332" name="AutoShape_2_SpCnt_10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33" name="AutoShape_1_SpCnt_109"/>
                  <wp:cNvGraphicFramePr/>
                  <a:graphic xmlns:a="http://schemas.openxmlformats.org/drawingml/2006/main">
                    <a:graphicData uri="http://schemas.openxmlformats.org/drawingml/2006/picture">
                      <pic:pic xmlns:pic="http://schemas.openxmlformats.org/drawingml/2006/picture">
                        <pic:nvPicPr>
                          <pic:cNvPr id="1333" name="AutoShape_1_SpCnt_109"/>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34" name="AutoShape_2_SpCnt_102"/>
                  <wp:cNvGraphicFramePr/>
                  <a:graphic xmlns:a="http://schemas.openxmlformats.org/drawingml/2006/main">
                    <a:graphicData uri="http://schemas.openxmlformats.org/drawingml/2006/picture">
                      <pic:pic xmlns:pic="http://schemas.openxmlformats.org/drawingml/2006/picture">
                        <pic:nvPicPr>
                          <pic:cNvPr id="1334" name="AutoShape_2_SpCnt_102"/>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35" name="AutoShape_1_SpCnt_110"/>
                  <wp:cNvGraphicFramePr/>
                  <a:graphic xmlns:a="http://schemas.openxmlformats.org/drawingml/2006/main">
                    <a:graphicData uri="http://schemas.openxmlformats.org/drawingml/2006/picture">
                      <pic:pic xmlns:pic="http://schemas.openxmlformats.org/drawingml/2006/picture">
                        <pic:nvPicPr>
                          <pic:cNvPr id="1335" name="AutoShape_1_SpCnt_110"/>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36" name="AutoShape_2_SpCnt_103"/>
                  <wp:cNvGraphicFramePr/>
                  <a:graphic xmlns:a="http://schemas.openxmlformats.org/drawingml/2006/main">
                    <a:graphicData uri="http://schemas.openxmlformats.org/drawingml/2006/picture">
                      <pic:pic xmlns:pic="http://schemas.openxmlformats.org/drawingml/2006/picture">
                        <pic:nvPicPr>
                          <pic:cNvPr id="1336" name="AutoShape_2_SpCnt_103"/>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37" name="AutoShape_2_SpCnt_104"/>
                  <wp:cNvGraphicFramePr/>
                  <a:graphic xmlns:a="http://schemas.openxmlformats.org/drawingml/2006/main">
                    <a:graphicData uri="http://schemas.openxmlformats.org/drawingml/2006/picture">
                      <pic:pic xmlns:pic="http://schemas.openxmlformats.org/drawingml/2006/picture">
                        <pic:nvPicPr>
                          <pic:cNvPr id="1337" name="AutoShape_2_SpCnt_104"/>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38" name="AutoShape_1_SpCnt_111"/>
                  <wp:cNvGraphicFramePr/>
                  <a:graphic xmlns:a="http://schemas.openxmlformats.org/drawingml/2006/main">
                    <a:graphicData uri="http://schemas.openxmlformats.org/drawingml/2006/picture">
                      <pic:pic xmlns:pic="http://schemas.openxmlformats.org/drawingml/2006/picture">
                        <pic:nvPicPr>
                          <pic:cNvPr id="1338" name="AutoShape_1_SpCnt_11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39" name="AutoShape_1_SpCnt_112"/>
                  <wp:cNvGraphicFramePr/>
                  <a:graphic xmlns:a="http://schemas.openxmlformats.org/drawingml/2006/main">
                    <a:graphicData uri="http://schemas.openxmlformats.org/drawingml/2006/picture">
                      <pic:pic xmlns:pic="http://schemas.openxmlformats.org/drawingml/2006/picture">
                        <pic:nvPicPr>
                          <pic:cNvPr id="1339" name="AutoShape_1_SpCnt_112"/>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40" name="AutoShape_1_SpCnt_113"/>
                  <wp:cNvGraphicFramePr/>
                  <a:graphic xmlns:a="http://schemas.openxmlformats.org/drawingml/2006/main">
                    <a:graphicData uri="http://schemas.openxmlformats.org/drawingml/2006/picture">
                      <pic:pic xmlns:pic="http://schemas.openxmlformats.org/drawingml/2006/picture">
                        <pic:nvPicPr>
                          <pic:cNvPr id="1340" name="AutoShape_1_SpCnt_113"/>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41" name="AutoShape_2_SpCnt_105"/>
                  <wp:cNvGraphicFramePr/>
                  <a:graphic xmlns:a="http://schemas.openxmlformats.org/drawingml/2006/main">
                    <a:graphicData uri="http://schemas.openxmlformats.org/drawingml/2006/picture">
                      <pic:pic xmlns:pic="http://schemas.openxmlformats.org/drawingml/2006/picture">
                        <pic:nvPicPr>
                          <pic:cNvPr id="1341" name="AutoShape_2_SpCnt_105"/>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42" name="AutoShape_1_SpCnt_114"/>
                  <wp:cNvGraphicFramePr/>
                  <a:graphic xmlns:a="http://schemas.openxmlformats.org/drawingml/2006/main">
                    <a:graphicData uri="http://schemas.openxmlformats.org/drawingml/2006/picture">
                      <pic:pic xmlns:pic="http://schemas.openxmlformats.org/drawingml/2006/picture">
                        <pic:nvPicPr>
                          <pic:cNvPr id="1342" name="AutoShape_1_SpCnt_114"/>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43" name="AutoShape_2_SpCnt_106"/>
                  <wp:cNvGraphicFramePr/>
                  <a:graphic xmlns:a="http://schemas.openxmlformats.org/drawingml/2006/main">
                    <a:graphicData uri="http://schemas.openxmlformats.org/drawingml/2006/picture">
                      <pic:pic xmlns:pic="http://schemas.openxmlformats.org/drawingml/2006/picture">
                        <pic:nvPicPr>
                          <pic:cNvPr id="1343" name="AutoShape_2_SpCnt_106"/>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44" name="AutoShape_2_SpCnt_107"/>
                  <wp:cNvGraphicFramePr/>
                  <a:graphic xmlns:a="http://schemas.openxmlformats.org/drawingml/2006/main">
                    <a:graphicData uri="http://schemas.openxmlformats.org/drawingml/2006/picture">
                      <pic:pic xmlns:pic="http://schemas.openxmlformats.org/drawingml/2006/picture">
                        <pic:nvPicPr>
                          <pic:cNvPr id="1344" name="AutoShape_2_SpCnt_107"/>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45" name="AutoShape_1_SpCnt_115"/>
                  <wp:cNvGraphicFramePr/>
                  <a:graphic xmlns:a="http://schemas.openxmlformats.org/drawingml/2006/main">
                    <a:graphicData uri="http://schemas.openxmlformats.org/drawingml/2006/picture">
                      <pic:pic xmlns:pic="http://schemas.openxmlformats.org/drawingml/2006/picture">
                        <pic:nvPicPr>
                          <pic:cNvPr id="1345" name="AutoShape_1_SpCnt_115"/>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46" name="AutoShape_1_SpCnt_116"/>
                  <wp:cNvGraphicFramePr/>
                  <a:graphic xmlns:a="http://schemas.openxmlformats.org/drawingml/2006/main">
                    <a:graphicData uri="http://schemas.openxmlformats.org/drawingml/2006/picture">
                      <pic:pic xmlns:pic="http://schemas.openxmlformats.org/drawingml/2006/picture">
                        <pic:nvPicPr>
                          <pic:cNvPr id="1346" name="AutoShape_1_SpCnt_116"/>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47" name="AutoShape_2_SpCnt_108"/>
                  <wp:cNvGraphicFramePr/>
                  <a:graphic xmlns:a="http://schemas.openxmlformats.org/drawingml/2006/main">
                    <a:graphicData uri="http://schemas.openxmlformats.org/drawingml/2006/picture">
                      <pic:pic xmlns:pic="http://schemas.openxmlformats.org/drawingml/2006/picture">
                        <pic:nvPicPr>
                          <pic:cNvPr id="1347" name="AutoShape_2_SpCnt_108"/>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48" name="AutoShape_2_SpCnt_109"/>
                  <wp:cNvGraphicFramePr/>
                  <a:graphic xmlns:a="http://schemas.openxmlformats.org/drawingml/2006/main">
                    <a:graphicData uri="http://schemas.openxmlformats.org/drawingml/2006/picture">
                      <pic:pic xmlns:pic="http://schemas.openxmlformats.org/drawingml/2006/picture">
                        <pic:nvPicPr>
                          <pic:cNvPr id="1348" name="AutoShape_2_SpCnt_109"/>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49" name="AutoShape_1_SpCnt_117"/>
                  <wp:cNvGraphicFramePr/>
                  <a:graphic xmlns:a="http://schemas.openxmlformats.org/drawingml/2006/main">
                    <a:graphicData uri="http://schemas.openxmlformats.org/drawingml/2006/picture">
                      <pic:pic xmlns:pic="http://schemas.openxmlformats.org/drawingml/2006/picture">
                        <pic:nvPicPr>
                          <pic:cNvPr id="1349" name="AutoShape_1_SpCnt_117"/>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50" name="AutoShape_2_SpCnt_110"/>
                  <wp:cNvGraphicFramePr/>
                  <a:graphic xmlns:a="http://schemas.openxmlformats.org/drawingml/2006/main">
                    <a:graphicData uri="http://schemas.openxmlformats.org/drawingml/2006/picture">
                      <pic:pic xmlns:pic="http://schemas.openxmlformats.org/drawingml/2006/picture">
                        <pic:nvPicPr>
                          <pic:cNvPr id="1350" name="AutoShape_2_SpCnt_110"/>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51" name="AutoShape_1_SpCnt_118"/>
                  <wp:cNvGraphicFramePr/>
                  <a:graphic xmlns:a="http://schemas.openxmlformats.org/drawingml/2006/main">
                    <a:graphicData uri="http://schemas.openxmlformats.org/drawingml/2006/picture">
                      <pic:pic xmlns:pic="http://schemas.openxmlformats.org/drawingml/2006/picture">
                        <pic:nvPicPr>
                          <pic:cNvPr id="1351" name="AutoShape_1_SpCnt_118"/>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52" name="AutoShape_2_SpCnt_111"/>
                  <wp:cNvGraphicFramePr/>
                  <a:graphic xmlns:a="http://schemas.openxmlformats.org/drawingml/2006/main">
                    <a:graphicData uri="http://schemas.openxmlformats.org/drawingml/2006/picture">
                      <pic:pic xmlns:pic="http://schemas.openxmlformats.org/drawingml/2006/picture">
                        <pic:nvPicPr>
                          <pic:cNvPr id="1352" name="AutoShape_2_SpCnt_11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53" name="AutoShape_2_SpCnt_112"/>
                  <wp:cNvGraphicFramePr/>
                  <a:graphic xmlns:a="http://schemas.openxmlformats.org/drawingml/2006/main">
                    <a:graphicData uri="http://schemas.openxmlformats.org/drawingml/2006/picture">
                      <pic:pic xmlns:pic="http://schemas.openxmlformats.org/drawingml/2006/picture">
                        <pic:nvPicPr>
                          <pic:cNvPr id="1353" name="AutoShape_2_SpCnt_112"/>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54" name="AutoShape_1_SpCnt_119"/>
                  <wp:cNvGraphicFramePr/>
                  <a:graphic xmlns:a="http://schemas.openxmlformats.org/drawingml/2006/main">
                    <a:graphicData uri="http://schemas.openxmlformats.org/drawingml/2006/picture">
                      <pic:pic xmlns:pic="http://schemas.openxmlformats.org/drawingml/2006/picture">
                        <pic:nvPicPr>
                          <pic:cNvPr id="1354" name="AutoShape_1_SpCnt_119"/>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55" name="AutoShape_1_SpCnt_120"/>
                  <wp:cNvGraphicFramePr/>
                  <a:graphic xmlns:a="http://schemas.openxmlformats.org/drawingml/2006/main">
                    <a:graphicData uri="http://schemas.openxmlformats.org/drawingml/2006/picture">
                      <pic:pic xmlns:pic="http://schemas.openxmlformats.org/drawingml/2006/picture">
                        <pic:nvPicPr>
                          <pic:cNvPr id="1355" name="AutoShape_1_SpCnt_120"/>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56" name="AutoShape_1_SpCnt_121"/>
                  <wp:cNvGraphicFramePr/>
                  <a:graphic xmlns:a="http://schemas.openxmlformats.org/drawingml/2006/main">
                    <a:graphicData uri="http://schemas.openxmlformats.org/drawingml/2006/picture">
                      <pic:pic xmlns:pic="http://schemas.openxmlformats.org/drawingml/2006/picture">
                        <pic:nvPicPr>
                          <pic:cNvPr id="1356" name="AutoShape_1_SpCnt_12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57" name="AutoShape_2_SpCnt_113"/>
                  <wp:cNvGraphicFramePr/>
                  <a:graphic xmlns:a="http://schemas.openxmlformats.org/drawingml/2006/main">
                    <a:graphicData uri="http://schemas.openxmlformats.org/drawingml/2006/picture">
                      <pic:pic xmlns:pic="http://schemas.openxmlformats.org/drawingml/2006/picture">
                        <pic:nvPicPr>
                          <pic:cNvPr id="1357" name="AutoShape_2_SpCnt_113"/>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58" name="AutoShape_1_SpCnt_122"/>
                  <wp:cNvGraphicFramePr/>
                  <a:graphic xmlns:a="http://schemas.openxmlformats.org/drawingml/2006/main">
                    <a:graphicData uri="http://schemas.openxmlformats.org/drawingml/2006/picture">
                      <pic:pic xmlns:pic="http://schemas.openxmlformats.org/drawingml/2006/picture">
                        <pic:nvPicPr>
                          <pic:cNvPr id="1358" name="AutoShape_1_SpCnt_122"/>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59" name="AutoShape_2_SpCnt_114"/>
                  <wp:cNvGraphicFramePr/>
                  <a:graphic xmlns:a="http://schemas.openxmlformats.org/drawingml/2006/main">
                    <a:graphicData uri="http://schemas.openxmlformats.org/drawingml/2006/picture">
                      <pic:pic xmlns:pic="http://schemas.openxmlformats.org/drawingml/2006/picture">
                        <pic:nvPicPr>
                          <pic:cNvPr id="1359" name="AutoShape_2_SpCnt_114"/>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60" name="AutoShape_2_SpCnt_115"/>
                  <wp:cNvGraphicFramePr/>
                  <a:graphic xmlns:a="http://schemas.openxmlformats.org/drawingml/2006/main">
                    <a:graphicData uri="http://schemas.openxmlformats.org/drawingml/2006/picture">
                      <pic:pic xmlns:pic="http://schemas.openxmlformats.org/drawingml/2006/picture">
                        <pic:nvPicPr>
                          <pic:cNvPr id="1360" name="AutoShape_2_SpCnt_115"/>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61" name="AutoShape_1_SpCnt_123"/>
                  <wp:cNvGraphicFramePr/>
                  <a:graphic xmlns:a="http://schemas.openxmlformats.org/drawingml/2006/main">
                    <a:graphicData uri="http://schemas.openxmlformats.org/drawingml/2006/picture">
                      <pic:pic xmlns:pic="http://schemas.openxmlformats.org/drawingml/2006/picture">
                        <pic:nvPicPr>
                          <pic:cNvPr id="1361" name="AutoShape_1_SpCnt_123"/>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62" name="AutoShape_1_SpCnt_124"/>
                  <wp:cNvGraphicFramePr/>
                  <a:graphic xmlns:a="http://schemas.openxmlformats.org/drawingml/2006/main">
                    <a:graphicData uri="http://schemas.openxmlformats.org/drawingml/2006/picture">
                      <pic:pic xmlns:pic="http://schemas.openxmlformats.org/drawingml/2006/picture">
                        <pic:nvPicPr>
                          <pic:cNvPr id="1362" name="AutoShape_1_SpCnt_124"/>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63" name="AutoShape_1_SpCnt_125"/>
                  <wp:cNvGraphicFramePr/>
                  <a:graphic xmlns:a="http://schemas.openxmlformats.org/drawingml/2006/main">
                    <a:graphicData uri="http://schemas.openxmlformats.org/drawingml/2006/picture">
                      <pic:pic xmlns:pic="http://schemas.openxmlformats.org/drawingml/2006/picture">
                        <pic:nvPicPr>
                          <pic:cNvPr id="1363" name="AutoShape_1_SpCnt_125"/>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64" name="AutoShape_2_SpCnt_116"/>
                  <wp:cNvGraphicFramePr/>
                  <a:graphic xmlns:a="http://schemas.openxmlformats.org/drawingml/2006/main">
                    <a:graphicData uri="http://schemas.openxmlformats.org/drawingml/2006/picture">
                      <pic:pic xmlns:pic="http://schemas.openxmlformats.org/drawingml/2006/picture">
                        <pic:nvPicPr>
                          <pic:cNvPr id="1364" name="AutoShape_2_SpCnt_116"/>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65" name="AutoShape_1_SpCnt_126"/>
                  <wp:cNvGraphicFramePr/>
                  <a:graphic xmlns:a="http://schemas.openxmlformats.org/drawingml/2006/main">
                    <a:graphicData uri="http://schemas.openxmlformats.org/drawingml/2006/picture">
                      <pic:pic xmlns:pic="http://schemas.openxmlformats.org/drawingml/2006/picture">
                        <pic:nvPicPr>
                          <pic:cNvPr id="1365" name="AutoShape_1_SpCnt_126"/>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66" name="AutoShape_2_SpCnt_117"/>
                  <wp:cNvGraphicFramePr/>
                  <a:graphic xmlns:a="http://schemas.openxmlformats.org/drawingml/2006/main">
                    <a:graphicData uri="http://schemas.openxmlformats.org/drawingml/2006/picture">
                      <pic:pic xmlns:pic="http://schemas.openxmlformats.org/drawingml/2006/picture">
                        <pic:nvPicPr>
                          <pic:cNvPr id="1366" name="AutoShape_2_SpCnt_117"/>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67" name="AutoShape_2_SpCnt_118"/>
                  <wp:cNvGraphicFramePr/>
                  <a:graphic xmlns:a="http://schemas.openxmlformats.org/drawingml/2006/main">
                    <a:graphicData uri="http://schemas.openxmlformats.org/drawingml/2006/picture">
                      <pic:pic xmlns:pic="http://schemas.openxmlformats.org/drawingml/2006/picture">
                        <pic:nvPicPr>
                          <pic:cNvPr id="1367" name="AutoShape_2_SpCnt_118"/>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68" name="AutoShape_1_SpCnt_127"/>
                  <wp:cNvGraphicFramePr/>
                  <a:graphic xmlns:a="http://schemas.openxmlformats.org/drawingml/2006/main">
                    <a:graphicData uri="http://schemas.openxmlformats.org/drawingml/2006/picture">
                      <pic:pic xmlns:pic="http://schemas.openxmlformats.org/drawingml/2006/picture">
                        <pic:nvPicPr>
                          <pic:cNvPr id="1368" name="AutoShape_1_SpCnt_127"/>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69" name="AutoShape_1_SpCnt_128"/>
                  <wp:cNvGraphicFramePr/>
                  <a:graphic xmlns:a="http://schemas.openxmlformats.org/drawingml/2006/main">
                    <a:graphicData uri="http://schemas.openxmlformats.org/drawingml/2006/picture">
                      <pic:pic xmlns:pic="http://schemas.openxmlformats.org/drawingml/2006/picture">
                        <pic:nvPicPr>
                          <pic:cNvPr id="1369" name="AutoShape_1_SpCnt_128"/>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70" name="AutoShape_2_SpCnt_119"/>
                  <wp:cNvGraphicFramePr/>
                  <a:graphic xmlns:a="http://schemas.openxmlformats.org/drawingml/2006/main">
                    <a:graphicData uri="http://schemas.openxmlformats.org/drawingml/2006/picture">
                      <pic:pic xmlns:pic="http://schemas.openxmlformats.org/drawingml/2006/picture">
                        <pic:nvPicPr>
                          <pic:cNvPr id="1370" name="AutoShape_2_SpCnt_119"/>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71" name="AutoShape_1_SpCnt_129"/>
                  <wp:cNvGraphicFramePr/>
                  <a:graphic xmlns:a="http://schemas.openxmlformats.org/drawingml/2006/main">
                    <a:graphicData uri="http://schemas.openxmlformats.org/drawingml/2006/picture">
                      <pic:pic xmlns:pic="http://schemas.openxmlformats.org/drawingml/2006/picture">
                        <pic:nvPicPr>
                          <pic:cNvPr id="1371" name="AutoShape_1_SpCnt_129"/>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72" name="AutoShape_2_SpCnt_120"/>
                  <wp:cNvGraphicFramePr/>
                  <a:graphic xmlns:a="http://schemas.openxmlformats.org/drawingml/2006/main">
                    <a:graphicData uri="http://schemas.openxmlformats.org/drawingml/2006/picture">
                      <pic:pic xmlns:pic="http://schemas.openxmlformats.org/drawingml/2006/picture">
                        <pic:nvPicPr>
                          <pic:cNvPr id="1372" name="AutoShape_2_SpCnt_120"/>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73" name="AutoShape_2_SpCnt_121"/>
                  <wp:cNvGraphicFramePr/>
                  <a:graphic xmlns:a="http://schemas.openxmlformats.org/drawingml/2006/main">
                    <a:graphicData uri="http://schemas.openxmlformats.org/drawingml/2006/picture">
                      <pic:pic xmlns:pic="http://schemas.openxmlformats.org/drawingml/2006/picture">
                        <pic:nvPicPr>
                          <pic:cNvPr id="1373" name="AutoShape_2_SpCnt_12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74" name="AutoShape_2_SpCnt_122"/>
                  <wp:cNvGraphicFramePr/>
                  <a:graphic xmlns:a="http://schemas.openxmlformats.org/drawingml/2006/main">
                    <a:graphicData uri="http://schemas.openxmlformats.org/drawingml/2006/picture">
                      <pic:pic xmlns:pic="http://schemas.openxmlformats.org/drawingml/2006/picture">
                        <pic:nvPicPr>
                          <pic:cNvPr id="1374" name="AutoShape_2_SpCnt_122"/>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75" name="AutoShape_1_SpCnt_130"/>
                  <wp:cNvGraphicFramePr/>
                  <a:graphic xmlns:a="http://schemas.openxmlformats.org/drawingml/2006/main">
                    <a:graphicData uri="http://schemas.openxmlformats.org/drawingml/2006/picture">
                      <pic:pic xmlns:pic="http://schemas.openxmlformats.org/drawingml/2006/picture">
                        <pic:nvPicPr>
                          <pic:cNvPr id="1375" name="AutoShape_1_SpCnt_130"/>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76" name="AutoShape_1_SpCnt_131"/>
                  <wp:cNvGraphicFramePr/>
                  <a:graphic xmlns:a="http://schemas.openxmlformats.org/drawingml/2006/main">
                    <a:graphicData uri="http://schemas.openxmlformats.org/drawingml/2006/picture">
                      <pic:pic xmlns:pic="http://schemas.openxmlformats.org/drawingml/2006/picture">
                        <pic:nvPicPr>
                          <pic:cNvPr id="1376" name="AutoShape_1_SpCnt_13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77" name="AutoShape_2_SpCnt_123"/>
                  <wp:cNvGraphicFramePr/>
                  <a:graphic xmlns:a="http://schemas.openxmlformats.org/drawingml/2006/main">
                    <a:graphicData uri="http://schemas.openxmlformats.org/drawingml/2006/picture">
                      <pic:pic xmlns:pic="http://schemas.openxmlformats.org/drawingml/2006/picture">
                        <pic:nvPicPr>
                          <pic:cNvPr id="1377" name="AutoShape_2_SpCnt_123"/>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78" name="AutoShape_1_SpCnt_132"/>
                  <wp:cNvGraphicFramePr/>
                  <a:graphic xmlns:a="http://schemas.openxmlformats.org/drawingml/2006/main">
                    <a:graphicData uri="http://schemas.openxmlformats.org/drawingml/2006/picture">
                      <pic:pic xmlns:pic="http://schemas.openxmlformats.org/drawingml/2006/picture">
                        <pic:nvPicPr>
                          <pic:cNvPr id="1378" name="AutoShape_1_SpCnt_132"/>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79" name="AutoShape_1_SpCnt_133"/>
                  <wp:cNvGraphicFramePr/>
                  <a:graphic xmlns:a="http://schemas.openxmlformats.org/drawingml/2006/main">
                    <a:graphicData uri="http://schemas.openxmlformats.org/drawingml/2006/picture">
                      <pic:pic xmlns:pic="http://schemas.openxmlformats.org/drawingml/2006/picture">
                        <pic:nvPicPr>
                          <pic:cNvPr id="1379" name="AutoShape_1_SpCnt_133"/>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80" name="AutoShape_1_SpCnt_134"/>
                  <wp:cNvGraphicFramePr/>
                  <a:graphic xmlns:a="http://schemas.openxmlformats.org/drawingml/2006/main">
                    <a:graphicData uri="http://schemas.openxmlformats.org/drawingml/2006/picture">
                      <pic:pic xmlns:pic="http://schemas.openxmlformats.org/drawingml/2006/picture">
                        <pic:nvPicPr>
                          <pic:cNvPr id="1380" name="AutoShape_1_SpCnt_134"/>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81" name="AutoShape_2_SpCnt_124"/>
                  <wp:cNvGraphicFramePr/>
                  <a:graphic xmlns:a="http://schemas.openxmlformats.org/drawingml/2006/main">
                    <a:graphicData uri="http://schemas.openxmlformats.org/drawingml/2006/picture">
                      <pic:pic xmlns:pic="http://schemas.openxmlformats.org/drawingml/2006/picture">
                        <pic:nvPicPr>
                          <pic:cNvPr id="1381" name="AutoShape_2_SpCnt_124"/>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82" name="AutoShape_2_SpCnt_125"/>
                  <wp:cNvGraphicFramePr/>
                  <a:graphic xmlns:a="http://schemas.openxmlformats.org/drawingml/2006/main">
                    <a:graphicData uri="http://schemas.openxmlformats.org/drawingml/2006/picture">
                      <pic:pic xmlns:pic="http://schemas.openxmlformats.org/drawingml/2006/picture">
                        <pic:nvPicPr>
                          <pic:cNvPr id="1382" name="AutoShape_2_SpCnt_125"/>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83" name="AutoShape_1_SpCnt_135"/>
                  <wp:cNvGraphicFramePr/>
                  <a:graphic xmlns:a="http://schemas.openxmlformats.org/drawingml/2006/main">
                    <a:graphicData uri="http://schemas.openxmlformats.org/drawingml/2006/picture">
                      <pic:pic xmlns:pic="http://schemas.openxmlformats.org/drawingml/2006/picture">
                        <pic:nvPicPr>
                          <pic:cNvPr id="1383" name="AutoShape_1_SpCnt_135"/>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84" name="AutoShape_1_SpCnt_136"/>
                  <wp:cNvGraphicFramePr/>
                  <a:graphic xmlns:a="http://schemas.openxmlformats.org/drawingml/2006/main">
                    <a:graphicData uri="http://schemas.openxmlformats.org/drawingml/2006/picture">
                      <pic:pic xmlns:pic="http://schemas.openxmlformats.org/drawingml/2006/picture">
                        <pic:nvPicPr>
                          <pic:cNvPr id="1384" name="AutoShape_1_SpCnt_136"/>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85" name="AutoShape_2_SpCnt_126"/>
                  <wp:cNvGraphicFramePr/>
                  <a:graphic xmlns:a="http://schemas.openxmlformats.org/drawingml/2006/main">
                    <a:graphicData uri="http://schemas.openxmlformats.org/drawingml/2006/picture">
                      <pic:pic xmlns:pic="http://schemas.openxmlformats.org/drawingml/2006/picture">
                        <pic:nvPicPr>
                          <pic:cNvPr id="1385" name="AutoShape_2_SpCnt_126"/>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86" name="AutoShape_1_SpCnt_137"/>
                  <wp:cNvGraphicFramePr/>
                  <a:graphic xmlns:a="http://schemas.openxmlformats.org/drawingml/2006/main">
                    <a:graphicData uri="http://schemas.openxmlformats.org/drawingml/2006/picture">
                      <pic:pic xmlns:pic="http://schemas.openxmlformats.org/drawingml/2006/picture">
                        <pic:nvPicPr>
                          <pic:cNvPr id="1386" name="AutoShape_1_SpCnt_137"/>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1387" name="AutoShape_1_SpCnt_138"/>
                  <wp:cNvGraphicFramePr/>
                  <a:graphic xmlns:a="http://schemas.openxmlformats.org/drawingml/2006/main">
                    <a:graphicData uri="http://schemas.openxmlformats.org/drawingml/2006/picture">
                      <pic:pic xmlns:pic="http://schemas.openxmlformats.org/drawingml/2006/picture">
                        <pic:nvPicPr>
                          <pic:cNvPr id="1387" name="AutoShape_1_SpCnt_138"/>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572" name="AutoShape_2_SpCnt_127"/>
                  <wp:cNvGraphicFramePr/>
                  <a:graphic xmlns:a="http://schemas.openxmlformats.org/drawingml/2006/main">
                    <a:graphicData uri="http://schemas.openxmlformats.org/drawingml/2006/picture">
                      <pic:pic xmlns:pic="http://schemas.openxmlformats.org/drawingml/2006/picture">
                        <pic:nvPicPr>
                          <pic:cNvPr id="572" name="AutoShape_2_SpCnt_127"/>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573" name="AutoShape_2_SpCnt_128"/>
                  <wp:cNvGraphicFramePr/>
                  <a:graphic xmlns:a="http://schemas.openxmlformats.org/drawingml/2006/main">
                    <a:graphicData uri="http://schemas.openxmlformats.org/drawingml/2006/picture">
                      <pic:pic xmlns:pic="http://schemas.openxmlformats.org/drawingml/2006/picture">
                        <pic:nvPicPr>
                          <pic:cNvPr id="573" name="AutoShape_2_SpCnt_128"/>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574" name="AutoShape_1_SpCnt_139"/>
                  <wp:cNvGraphicFramePr/>
                  <a:graphic xmlns:a="http://schemas.openxmlformats.org/drawingml/2006/main">
                    <a:graphicData uri="http://schemas.openxmlformats.org/drawingml/2006/picture">
                      <pic:pic xmlns:pic="http://schemas.openxmlformats.org/drawingml/2006/picture">
                        <pic:nvPicPr>
                          <pic:cNvPr id="574" name="AutoShape_1_SpCnt_139"/>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575" name="AutoShape_1_SpCnt_140"/>
                  <wp:cNvGraphicFramePr/>
                  <a:graphic xmlns:a="http://schemas.openxmlformats.org/drawingml/2006/main">
                    <a:graphicData uri="http://schemas.openxmlformats.org/drawingml/2006/picture">
                      <pic:pic xmlns:pic="http://schemas.openxmlformats.org/drawingml/2006/picture">
                        <pic:nvPicPr>
                          <pic:cNvPr id="575" name="AutoShape_1_SpCnt_140"/>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576" name="AutoShape_1_SpCnt_141"/>
                  <wp:cNvGraphicFramePr/>
                  <a:graphic xmlns:a="http://schemas.openxmlformats.org/drawingml/2006/main">
                    <a:graphicData uri="http://schemas.openxmlformats.org/drawingml/2006/picture">
                      <pic:pic xmlns:pic="http://schemas.openxmlformats.org/drawingml/2006/picture">
                        <pic:nvPicPr>
                          <pic:cNvPr id="576" name="AutoShape_1_SpCnt_141"/>
                          <pic:cNvPicPr/>
                        </pic:nvPicPr>
                        <pic:blipFill>
                          <a:blip r:embed="rId6"/>
                          <a:stretch>
                            <a:fillRect/>
                          </a:stretch>
                        </pic:blipFill>
                        <pic:spPr>
                          <a:xfrm>
                            <a:off x="0" y="0"/>
                            <a:ext cx="304800" cy="1028700"/>
                          </a:xfrm>
                          <a:prstGeom prst="rect">
                            <a:avLst/>
                          </a:prstGeom>
                          <a:noFill/>
                          <a:ln>
                            <a:noFill/>
                          </a:ln>
                        </pic:spPr>
                      </pic:pic>
                    </a:graphicData>
                  </a:graphic>
                </wp:anchor>
              </w:drawing>
            </w:r>
            <w:r>
              <w:rPr>
                <w:rFonts w:hint="default" w:ascii="Times New Roman" w:hAnsi="Times New Roman" w:eastAsia="方正仿宋_GBK" w:cs="Times New Roman"/>
                <w:b/>
                <w:bCs/>
                <w:i w:val="0"/>
                <w:iCs w:val="0"/>
                <w:color w:val="auto"/>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04800" cy="1028700"/>
                  <wp:effectExtent l="0" t="0" r="0" b="0"/>
                  <wp:wrapNone/>
                  <wp:docPr id="577" name="AutoShape_2_SpCnt_129"/>
                  <wp:cNvGraphicFramePr/>
                  <a:graphic xmlns:a="http://schemas.openxmlformats.org/drawingml/2006/main">
                    <a:graphicData uri="http://schemas.openxmlformats.org/drawingml/2006/picture">
                      <pic:pic xmlns:pic="http://schemas.openxmlformats.org/drawingml/2006/picture">
                        <pic:nvPicPr>
                          <pic:cNvPr id="577" name="AutoShape_2_SpCnt_129"/>
                          <pic:cNvPicPr/>
                        </pic:nvPicPr>
                        <pic:blipFill>
                          <a:blip r:embed="rId6"/>
                          <a:stretch>
                            <a:fillRect/>
                          </a:stretch>
                        </pic:blipFill>
                        <pic:spPr>
                          <a:xfrm>
                            <a:off x="0" y="0"/>
                            <a:ext cx="304800" cy="1028700"/>
                          </a:xfrm>
                          <a:prstGeom prst="rect">
                            <a:avLst/>
                          </a:prstGeom>
                          <a:noFill/>
                          <a:ln>
                            <a:noFill/>
                          </a:ln>
                        </pic:spPr>
                      </pic:pic>
                    </a:graphicData>
                  </a:graphic>
                </wp:anchor>
              </w:drawing>
            </w:r>
          </w:p>
        </w:tc>
      </w:tr>
      <w:tr w14:paraId="41F39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AD0F9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6</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4C9B4B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南部新城汇秀路南，祥天路西地块（NO.2023G13）</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6442A8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开工建设</w:t>
            </w:r>
          </w:p>
        </w:tc>
      </w:tr>
      <w:tr w14:paraId="0E1F0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767EC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7</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486E2C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南部新城佳营路南，神机营路西地块（NO.2023G41）</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68D7B4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开工建设</w:t>
            </w:r>
          </w:p>
        </w:tc>
      </w:tr>
      <w:tr w14:paraId="1B0AC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6E980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8</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4910AD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南部新城汇景北路南，祥天路西地块（NO.2023G77）</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6C1A1D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开工建设</w:t>
            </w:r>
          </w:p>
        </w:tc>
      </w:tr>
      <w:tr w14:paraId="61F69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955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D2446BD">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（四）社会事业类项目</w:t>
            </w:r>
          </w:p>
        </w:tc>
      </w:tr>
      <w:tr w14:paraId="196AE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E24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9</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65F7B5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煤场社区中心</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5C203B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开工建设</w:t>
            </w:r>
          </w:p>
        </w:tc>
      </w:tr>
      <w:tr w14:paraId="0902E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955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8DE4374">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（五）力争开/复工项目</w:t>
            </w:r>
          </w:p>
        </w:tc>
      </w:tr>
      <w:tr w14:paraId="5B1F4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22DFE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10</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7A3F0C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★★☆省中医院科教大楼</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28AEB2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开工建设</w:t>
            </w:r>
          </w:p>
        </w:tc>
      </w:tr>
      <w:tr w14:paraId="6BEBA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85C57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11</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7A3E0B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★☆万锦汇</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5DEBCE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开工建设</w:t>
            </w:r>
          </w:p>
        </w:tc>
      </w:tr>
      <w:tr w14:paraId="12ED2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C2A7C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12</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4067E4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★☆新街口商务商贸大厦</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6D4761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开工建设</w:t>
            </w:r>
          </w:p>
        </w:tc>
      </w:tr>
      <w:tr w14:paraId="08DCD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D794B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13</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13930BE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跑道公园（示范段）</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450F89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开工建设</w:t>
            </w:r>
          </w:p>
        </w:tc>
      </w:tr>
      <w:tr w14:paraId="0F1BA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AAC69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14</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75682C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广洋路东小学</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749FE8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开工建设</w:t>
            </w:r>
          </w:p>
        </w:tc>
      </w:tr>
      <w:tr w14:paraId="6936A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A3AE5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15</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6A4D7A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汇秀路南侧教育及社区等配套项目</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1C8357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开工建设</w:t>
            </w:r>
          </w:p>
        </w:tc>
      </w:tr>
      <w:tr w14:paraId="71C5F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0F2C8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16</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368F5D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秦淮硅巷·南京工业设计园</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45CC260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开工建设</w:t>
            </w:r>
          </w:p>
        </w:tc>
      </w:tr>
      <w:tr w14:paraId="3F6E5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DEC76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17</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647FA2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☆银城国际医疗健康城</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05823B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复工</w:t>
            </w:r>
          </w:p>
        </w:tc>
      </w:tr>
      <w:tr w14:paraId="42A83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E5A4B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18</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44E38D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☆首建中心</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3B1145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复工</w:t>
            </w:r>
          </w:p>
        </w:tc>
      </w:tr>
      <w:tr w14:paraId="574FC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955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A26488F">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二、在建项目</w:t>
            </w:r>
          </w:p>
        </w:tc>
      </w:tr>
      <w:tr w14:paraId="13036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955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775B3B4">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（一）产业类项目</w:t>
            </w:r>
          </w:p>
        </w:tc>
      </w:tr>
      <w:tr w14:paraId="7CBC7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21414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19</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31D01E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★☆秦淮硅巷·中航科技城</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26C12C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教育地块学校建设完工，商办地块开工建设</w:t>
            </w:r>
          </w:p>
        </w:tc>
      </w:tr>
      <w:tr w14:paraId="5BFAB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41A16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20</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2E8D37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★华润金陵中心</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（原华夏幸福华东运营总部NO.2020G12）</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0B079B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ABC地块主体完工、DEF地块商办主体封顶</w:t>
            </w:r>
          </w:p>
        </w:tc>
      </w:tr>
      <w:tr w14:paraId="05354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31AF4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21</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1864E2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★金地商置苏鲁区域总部（NO.2020G13）</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40E4A6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住宅地块完工，B地块完成地下室施工</w:t>
            </w:r>
          </w:p>
        </w:tc>
      </w:tr>
      <w:tr w14:paraId="5F9CC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25591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22</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71D56D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★中江智慧建筑产业园（原威新科技服务中心NO.2021G74）</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149E08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C/D地块完工</w:t>
            </w:r>
          </w:p>
        </w:tc>
      </w:tr>
      <w:tr w14:paraId="72B30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33FCE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23</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0807F2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★南部新城国际路以西商办中心</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（NO.2021G121）</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7D7939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AB地块主体施工至80%；CD地块：整体形象进度完成80%</w:t>
            </w:r>
          </w:p>
        </w:tc>
      </w:tr>
      <w:tr w14:paraId="77C58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55388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24</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64365F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★南部新城校场大道以北商办中心（NO.2022G27）</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552C36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A分区：住宅主体结构封顶、公寓达预售形象进度、超高层施工至正负零；B分区：住宅、地库封顶</w:t>
            </w:r>
          </w:p>
        </w:tc>
      </w:tr>
      <w:tr w14:paraId="3DB89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72EC0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25</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624862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★南京中芬合作交流中心</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538F87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精装修、机电、智能化、室外工程施工完成，开展系统调试</w:t>
            </w:r>
          </w:p>
        </w:tc>
      </w:tr>
      <w:tr w14:paraId="3E963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AA92D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26</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69DC4A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★白下高新区智能交通产业园（核心B地块）</w:t>
            </w:r>
          </w:p>
        </w:tc>
        <w:tc>
          <w:tcPr>
            <w:tcW w:w="3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D0E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主体施工</w:t>
            </w:r>
          </w:p>
        </w:tc>
      </w:tr>
      <w:tr w14:paraId="01AF6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709E7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27</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5AACCE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★白下高新区数据产业园（核心A地块）</w:t>
            </w:r>
          </w:p>
        </w:tc>
        <w:tc>
          <w:tcPr>
            <w:tcW w:w="3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5E78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4E087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85199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28</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706281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★白下高新新型都市工业园</w:t>
            </w:r>
          </w:p>
        </w:tc>
        <w:tc>
          <w:tcPr>
            <w:tcW w:w="3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F3F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主体施工</w:t>
            </w:r>
          </w:p>
        </w:tc>
      </w:tr>
      <w:tr w14:paraId="70657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9E158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29</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0D4812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★大明路商办综合体</w:t>
            </w:r>
          </w:p>
        </w:tc>
        <w:tc>
          <w:tcPr>
            <w:tcW w:w="3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CC4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0DF25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4749A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30</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16E715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★至美科技广场</w:t>
            </w:r>
          </w:p>
        </w:tc>
        <w:tc>
          <w:tcPr>
            <w:tcW w:w="3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CA6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主体施工</w:t>
            </w:r>
          </w:p>
        </w:tc>
      </w:tr>
      <w:tr w14:paraId="0CC7A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13823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31</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691CE0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★西五华里休闲文化街区</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0726BD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桩基施工、地库施工</w:t>
            </w:r>
          </w:p>
        </w:tc>
      </w:tr>
      <w:tr w14:paraId="53065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3B348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32</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1653AB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★英迪格酒店及文旅体验街区（原科举博物馆二期）</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2AC737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color w:val="auto"/>
                <w:kern w:val="0"/>
                <w:sz w:val="24"/>
                <w:highlight w:val="none"/>
                <w:lang w:bidi="ar"/>
              </w:rPr>
              <w:t>桩基围护完成；两栋保留建筑托换第一次受力转换完成；B0结构完成；B1结构</w:t>
            </w:r>
            <w:r>
              <w:rPr>
                <w:rFonts w:hint="eastAsia" w:ascii="Times New Roman" w:hAnsi="Times New Roman" w:eastAsia="方正仿宋_GBK" w:cs="Times New Roman"/>
                <w:color w:val="auto"/>
                <w:kern w:val="0"/>
                <w:sz w:val="24"/>
                <w:highlight w:val="none"/>
                <w:lang w:bidi="ar"/>
              </w:rPr>
              <w:t>施工</w:t>
            </w:r>
          </w:p>
        </w:tc>
      </w:tr>
      <w:tr w14:paraId="0BF65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C3939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33</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57DFD2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★周处读书台“山水人文苑”</w:t>
            </w:r>
          </w:p>
        </w:tc>
        <w:tc>
          <w:tcPr>
            <w:tcW w:w="3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DCC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5A4DE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0DECA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34</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66F98A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★门西数字生活街区</w:t>
            </w:r>
          </w:p>
        </w:tc>
        <w:tc>
          <w:tcPr>
            <w:tcW w:w="3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FC42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05D37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AEF8C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35</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623B7E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★越城天地文化旅游街区</w:t>
            </w:r>
          </w:p>
        </w:tc>
        <w:tc>
          <w:tcPr>
            <w:tcW w:w="3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3967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48340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BD60A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36</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1B211A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★佰汇广场</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（原泰禾商业广场）</w:t>
            </w:r>
          </w:p>
        </w:tc>
        <w:tc>
          <w:tcPr>
            <w:tcW w:w="3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287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主体结构到13层</w:t>
            </w:r>
          </w:p>
        </w:tc>
      </w:tr>
      <w:tr w14:paraId="1B2FC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E3E09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37</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3E4712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★金陵中环</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143584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4480C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05E48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38</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77273A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☆大地新型建材科技研发中心（原土城头1号商办楼）</w:t>
            </w:r>
          </w:p>
        </w:tc>
        <w:tc>
          <w:tcPr>
            <w:tcW w:w="3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BDA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基坑施工</w:t>
            </w:r>
          </w:p>
        </w:tc>
      </w:tr>
      <w:tr w14:paraId="1F3BE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FED5E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39</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08C4C0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奥特佳总部大厦</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66FA08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主体结构施工及开始内装及外幕墙施工</w:t>
            </w:r>
          </w:p>
        </w:tc>
      </w:tr>
      <w:tr w14:paraId="63E7E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36CAA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40</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66545C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数字经济创新园</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516181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6DC05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A3819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41</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6546CF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双龙产业园出新改造工程</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6D75E9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3C874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61150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42</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47D729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人工智能产业大厦</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（大仙寺北）</w:t>
            </w:r>
          </w:p>
        </w:tc>
        <w:tc>
          <w:tcPr>
            <w:tcW w:w="3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D84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63056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DB12F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43</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01A8D7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江苏无线电厂综合电子产品研发基地</w:t>
            </w:r>
          </w:p>
        </w:tc>
        <w:tc>
          <w:tcPr>
            <w:tcW w:w="3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F6C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主体施工</w:t>
            </w:r>
          </w:p>
        </w:tc>
      </w:tr>
      <w:tr w14:paraId="72357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0C43E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44</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272DE8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分布文化总部大厦（普天1号C-3地块）</w:t>
            </w:r>
          </w:p>
        </w:tc>
        <w:tc>
          <w:tcPr>
            <w:tcW w:w="3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5E5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主体施工</w:t>
            </w:r>
          </w:p>
        </w:tc>
      </w:tr>
      <w:tr w14:paraId="5C752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C6C1A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45</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1693E6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秦淮硅巷·航空发展大楼</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31BF13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502F4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8EF58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46</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6B442F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东部城市商业中心</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（原LG南）</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1A5545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除商业外其他部分完工</w:t>
            </w:r>
          </w:p>
        </w:tc>
      </w:tr>
      <w:tr w14:paraId="2424E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9"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AC63C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47</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7EF85D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双塘园文化休闲街区</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76DDBA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保留建筑修缮，实施片区更新</w:t>
            </w:r>
          </w:p>
        </w:tc>
      </w:tr>
      <w:tr w14:paraId="7AED9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4"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7C981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48</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41DC9D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荷花塘片区城市更新项目</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526808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保留建筑修缮，实施片区更新</w:t>
            </w:r>
          </w:p>
        </w:tc>
      </w:tr>
      <w:tr w14:paraId="07347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9"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626E2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49</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0A1B4C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南捕厅休闲文化街区</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4826EA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完成地块新建及室外工程</w:t>
            </w:r>
          </w:p>
        </w:tc>
      </w:tr>
      <w:tr w14:paraId="28DC8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B069A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50</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045E75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虎踞南路9号</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3B2825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02E3A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955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C9CE5D5">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（二）楼宇改造类项目</w:t>
            </w:r>
          </w:p>
        </w:tc>
      </w:tr>
      <w:tr w14:paraId="0EAE4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4A7DB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51</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78D7D1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金城精益医疗科技健康产业园</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33F04B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一期改造土建施工</w:t>
            </w:r>
          </w:p>
        </w:tc>
      </w:tr>
      <w:tr w14:paraId="3BF32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BCA7D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52</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30824C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秦淮硅巷南工大无为数字文化产业园</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475E74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项目一期完工，二期开工建设</w:t>
            </w:r>
          </w:p>
        </w:tc>
      </w:tr>
      <w:tr w14:paraId="3D85D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8DD19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53</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6AFD01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秦淮体育中心</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4210A1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消险改造完工</w:t>
            </w:r>
          </w:p>
        </w:tc>
      </w:tr>
      <w:tr w14:paraId="4FAA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955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1F3B8BE">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（三）房地产类项目</w:t>
            </w:r>
          </w:p>
        </w:tc>
      </w:tr>
      <w:tr w14:paraId="6525C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2AB15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54</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3FD3FE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明阅府</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（原九龙新寓以东NO.2019G64）</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1B442F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578" name="AutoShape_2_SpCnt_130"/>
                  <wp:cNvGraphicFramePr/>
                  <a:graphic xmlns:a="http://schemas.openxmlformats.org/drawingml/2006/main">
                    <a:graphicData uri="http://schemas.openxmlformats.org/drawingml/2006/picture">
                      <pic:pic xmlns:pic="http://schemas.openxmlformats.org/drawingml/2006/picture">
                        <pic:nvPicPr>
                          <pic:cNvPr id="578" name="AutoShape_2_SpCnt_13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579" name="AutoShape_1_SpCnt_142"/>
                  <wp:cNvGraphicFramePr/>
                  <a:graphic xmlns:a="http://schemas.openxmlformats.org/drawingml/2006/main">
                    <a:graphicData uri="http://schemas.openxmlformats.org/drawingml/2006/picture">
                      <pic:pic xmlns:pic="http://schemas.openxmlformats.org/drawingml/2006/picture">
                        <pic:nvPicPr>
                          <pic:cNvPr id="579" name="AutoShape_1_SpCnt_14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580" name="AutoShape_2_SpCnt_131"/>
                  <wp:cNvGraphicFramePr/>
                  <a:graphic xmlns:a="http://schemas.openxmlformats.org/drawingml/2006/main">
                    <a:graphicData uri="http://schemas.openxmlformats.org/drawingml/2006/picture">
                      <pic:pic xmlns:pic="http://schemas.openxmlformats.org/drawingml/2006/picture">
                        <pic:nvPicPr>
                          <pic:cNvPr id="580" name="AutoShape_2_SpCnt_13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581" name="AutoShape_1_SpCnt_143"/>
                  <wp:cNvGraphicFramePr/>
                  <a:graphic xmlns:a="http://schemas.openxmlformats.org/drawingml/2006/main">
                    <a:graphicData uri="http://schemas.openxmlformats.org/drawingml/2006/picture">
                      <pic:pic xmlns:pic="http://schemas.openxmlformats.org/drawingml/2006/picture">
                        <pic:nvPicPr>
                          <pic:cNvPr id="581" name="AutoShape_1_SpCnt_14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582" name="AutoShape_2_SpCnt_132"/>
                  <wp:cNvGraphicFramePr/>
                  <a:graphic xmlns:a="http://schemas.openxmlformats.org/drawingml/2006/main">
                    <a:graphicData uri="http://schemas.openxmlformats.org/drawingml/2006/picture">
                      <pic:pic xmlns:pic="http://schemas.openxmlformats.org/drawingml/2006/picture">
                        <pic:nvPicPr>
                          <pic:cNvPr id="582" name="AutoShape_2_SpCnt_13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583" name="AutoShape_1_SpCnt_144"/>
                  <wp:cNvGraphicFramePr/>
                  <a:graphic xmlns:a="http://schemas.openxmlformats.org/drawingml/2006/main">
                    <a:graphicData uri="http://schemas.openxmlformats.org/drawingml/2006/picture">
                      <pic:pic xmlns:pic="http://schemas.openxmlformats.org/drawingml/2006/picture">
                        <pic:nvPicPr>
                          <pic:cNvPr id="583" name="AutoShape_1_SpCnt_14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584" name="AutoShape_2_SpCnt_133"/>
                  <wp:cNvGraphicFramePr/>
                  <a:graphic xmlns:a="http://schemas.openxmlformats.org/drawingml/2006/main">
                    <a:graphicData uri="http://schemas.openxmlformats.org/drawingml/2006/picture">
                      <pic:pic xmlns:pic="http://schemas.openxmlformats.org/drawingml/2006/picture">
                        <pic:nvPicPr>
                          <pic:cNvPr id="584" name="AutoShape_2_SpCnt_13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585" name="AutoShape_1_SpCnt_145"/>
                  <wp:cNvGraphicFramePr/>
                  <a:graphic xmlns:a="http://schemas.openxmlformats.org/drawingml/2006/main">
                    <a:graphicData uri="http://schemas.openxmlformats.org/drawingml/2006/picture">
                      <pic:pic xmlns:pic="http://schemas.openxmlformats.org/drawingml/2006/picture">
                        <pic:nvPicPr>
                          <pic:cNvPr id="585" name="AutoShape_1_SpCnt_14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586" name="AutoShape_1_SpCnt_146"/>
                  <wp:cNvGraphicFramePr/>
                  <a:graphic xmlns:a="http://schemas.openxmlformats.org/drawingml/2006/main">
                    <a:graphicData uri="http://schemas.openxmlformats.org/drawingml/2006/picture">
                      <pic:pic xmlns:pic="http://schemas.openxmlformats.org/drawingml/2006/picture">
                        <pic:nvPicPr>
                          <pic:cNvPr id="586" name="AutoShape_1_SpCnt_14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587" name="AutoShape_2_SpCnt_134"/>
                  <wp:cNvGraphicFramePr/>
                  <a:graphic xmlns:a="http://schemas.openxmlformats.org/drawingml/2006/main">
                    <a:graphicData uri="http://schemas.openxmlformats.org/drawingml/2006/picture">
                      <pic:pic xmlns:pic="http://schemas.openxmlformats.org/drawingml/2006/picture">
                        <pic:nvPicPr>
                          <pic:cNvPr id="587" name="AutoShape_2_SpCnt_13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588" name="AutoShape_1_SpCnt_147"/>
                  <wp:cNvGraphicFramePr/>
                  <a:graphic xmlns:a="http://schemas.openxmlformats.org/drawingml/2006/main">
                    <a:graphicData uri="http://schemas.openxmlformats.org/drawingml/2006/picture">
                      <pic:pic xmlns:pic="http://schemas.openxmlformats.org/drawingml/2006/picture">
                        <pic:nvPicPr>
                          <pic:cNvPr id="588" name="AutoShape_1_SpCnt_14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589" name="AutoShape_2_SpCnt_135"/>
                  <wp:cNvGraphicFramePr/>
                  <a:graphic xmlns:a="http://schemas.openxmlformats.org/drawingml/2006/main">
                    <a:graphicData uri="http://schemas.openxmlformats.org/drawingml/2006/picture">
                      <pic:pic xmlns:pic="http://schemas.openxmlformats.org/drawingml/2006/picture">
                        <pic:nvPicPr>
                          <pic:cNvPr id="589" name="AutoShape_2_SpCnt_13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590" name="AutoShape_1_SpCnt_148"/>
                  <wp:cNvGraphicFramePr/>
                  <a:graphic xmlns:a="http://schemas.openxmlformats.org/drawingml/2006/main">
                    <a:graphicData uri="http://schemas.openxmlformats.org/drawingml/2006/picture">
                      <pic:pic xmlns:pic="http://schemas.openxmlformats.org/drawingml/2006/picture">
                        <pic:nvPicPr>
                          <pic:cNvPr id="590" name="AutoShape_1_SpCnt_14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591" name="AutoShape_2_SpCnt_136"/>
                  <wp:cNvGraphicFramePr/>
                  <a:graphic xmlns:a="http://schemas.openxmlformats.org/drawingml/2006/main">
                    <a:graphicData uri="http://schemas.openxmlformats.org/drawingml/2006/picture">
                      <pic:pic xmlns:pic="http://schemas.openxmlformats.org/drawingml/2006/picture">
                        <pic:nvPicPr>
                          <pic:cNvPr id="591" name="AutoShape_2_SpCnt_13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592" name="AutoShape_1_SpCnt_149"/>
                  <wp:cNvGraphicFramePr/>
                  <a:graphic xmlns:a="http://schemas.openxmlformats.org/drawingml/2006/main">
                    <a:graphicData uri="http://schemas.openxmlformats.org/drawingml/2006/picture">
                      <pic:pic xmlns:pic="http://schemas.openxmlformats.org/drawingml/2006/picture">
                        <pic:nvPicPr>
                          <pic:cNvPr id="592" name="AutoShape_1_SpCnt_14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593" name="AutoShape_2_SpCnt_137"/>
                  <wp:cNvGraphicFramePr/>
                  <a:graphic xmlns:a="http://schemas.openxmlformats.org/drawingml/2006/main">
                    <a:graphicData uri="http://schemas.openxmlformats.org/drawingml/2006/picture">
                      <pic:pic xmlns:pic="http://schemas.openxmlformats.org/drawingml/2006/picture">
                        <pic:nvPicPr>
                          <pic:cNvPr id="593" name="AutoShape_2_SpCnt_13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594" name="AutoShape_1_SpCnt_150"/>
                  <wp:cNvGraphicFramePr/>
                  <a:graphic xmlns:a="http://schemas.openxmlformats.org/drawingml/2006/main">
                    <a:graphicData uri="http://schemas.openxmlformats.org/drawingml/2006/picture">
                      <pic:pic xmlns:pic="http://schemas.openxmlformats.org/drawingml/2006/picture">
                        <pic:nvPicPr>
                          <pic:cNvPr id="594" name="AutoShape_1_SpCnt_15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595" name="AutoShape_2_SpCnt_138"/>
                  <wp:cNvGraphicFramePr/>
                  <a:graphic xmlns:a="http://schemas.openxmlformats.org/drawingml/2006/main">
                    <a:graphicData uri="http://schemas.openxmlformats.org/drawingml/2006/picture">
                      <pic:pic xmlns:pic="http://schemas.openxmlformats.org/drawingml/2006/picture">
                        <pic:nvPicPr>
                          <pic:cNvPr id="595" name="AutoShape_2_SpCnt_13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596" name="AutoShape_2_SpCnt_139"/>
                  <wp:cNvGraphicFramePr/>
                  <a:graphic xmlns:a="http://schemas.openxmlformats.org/drawingml/2006/main">
                    <a:graphicData uri="http://schemas.openxmlformats.org/drawingml/2006/picture">
                      <pic:pic xmlns:pic="http://schemas.openxmlformats.org/drawingml/2006/picture">
                        <pic:nvPicPr>
                          <pic:cNvPr id="596" name="AutoShape_2_SpCnt_13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597" name="AutoShape_2_SpCnt_140"/>
                  <wp:cNvGraphicFramePr/>
                  <a:graphic xmlns:a="http://schemas.openxmlformats.org/drawingml/2006/main">
                    <a:graphicData uri="http://schemas.openxmlformats.org/drawingml/2006/picture">
                      <pic:pic xmlns:pic="http://schemas.openxmlformats.org/drawingml/2006/picture">
                        <pic:nvPicPr>
                          <pic:cNvPr id="597" name="AutoShape_2_SpCnt_14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598" name="AutoShape_1_SpCnt_151"/>
                  <wp:cNvGraphicFramePr/>
                  <a:graphic xmlns:a="http://schemas.openxmlformats.org/drawingml/2006/main">
                    <a:graphicData uri="http://schemas.openxmlformats.org/drawingml/2006/picture">
                      <pic:pic xmlns:pic="http://schemas.openxmlformats.org/drawingml/2006/picture">
                        <pic:nvPicPr>
                          <pic:cNvPr id="598" name="AutoShape_1_SpCnt_15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599" name="AutoShape_2_SpCnt_141"/>
                  <wp:cNvGraphicFramePr/>
                  <a:graphic xmlns:a="http://schemas.openxmlformats.org/drawingml/2006/main">
                    <a:graphicData uri="http://schemas.openxmlformats.org/drawingml/2006/picture">
                      <pic:pic xmlns:pic="http://schemas.openxmlformats.org/drawingml/2006/picture">
                        <pic:nvPicPr>
                          <pic:cNvPr id="599" name="AutoShape_2_SpCnt_14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00" name="AutoShape_1_SpCnt_152"/>
                  <wp:cNvGraphicFramePr/>
                  <a:graphic xmlns:a="http://schemas.openxmlformats.org/drawingml/2006/main">
                    <a:graphicData uri="http://schemas.openxmlformats.org/drawingml/2006/picture">
                      <pic:pic xmlns:pic="http://schemas.openxmlformats.org/drawingml/2006/picture">
                        <pic:nvPicPr>
                          <pic:cNvPr id="600" name="AutoShape_1_SpCnt_15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01" name="AutoShape_2_SpCnt_142"/>
                  <wp:cNvGraphicFramePr/>
                  <a:graphic xmlns:a="http://schemas.openxmlformats.org/drawingml/2006/main">
                    <a:graphicData uri="http://schemas.openxmlformats.org/drawingml/2006/picture">
                      <pic:pic xmlns:pic="http://schemas.openxmlformats.org/drawingml/2006/picture">
                        <pic:nvPicPr>
                          <pic:cNvPr id="601" name="AutoShape_2_SpCnt_14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02" name="AutoShape_1_SpCnt_153"/>
                  <wp:cNvGraphicFramePr/>
                  <a:graphic xmlns:a="http://schemas.openxmlformats.org/drawingml/2006/main">
                    <a:graphicData uri="http://schemas.openxmlformats.org/drawingml/2006/picture">
                      <pic:pic xmlns:pic="http://schemas.openxmlformats.org/drawingml/2006/picture">
                        <pic:nvPicPr>
                          <pic:cNvPr id="602" name="AutoShape_1_SpCnt_15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03" name="AutoShape_2_SpCnt_143"/>
                  <wp:cNvGraphicFramePr/>
                  <a:graphic xmlns:a="http://schemas.openxmlformats.org/drawingml/2006/main">
                    <a:graphicData uri="http://schemas.openxmlformats.org/drawingml/2006/picture">
                      <pic:pic xmlns:pic="http://schemas.openxmlformats.org/drawingml/2006/picture">
                        <pic:nvPicPr>
                          <pic:cNvPr id="603" name="AutoShape_2_SpCnt_14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04" name="AutoShape_1_SpCnt_154"/>
                  <wp:cNvGraphicFramePr/>
                  <a:graphic xmlns:a="http://schemas.openxmlformats.org/drawingml/2006/main">
                    <a:graphicData uri="http://schemas.openxmlformats.org/drawingml/2006/picture">
                      <pic:pic xmlns:pic="http://schemas.openxmlformats.org/drawingml/2006/picture">
                        <pic:nvPicPr>
                          <pic:cNvPr id="604" name="AutoShape_1_SpCnt_15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05" name="AutoShape_2_SpCnt_144"/>
                  <wp:cNvGraphicFramePr/>
                  <a:graphic xmlns:a="http://schemas.openxmlformats.org/drawingml/2006/main">
                    <a:graphicData uri="http://schemas.openxmlformats.org/drawingml/2006/picture">
                      <pic:pic xmlns:pic="http://schemas.openxmlformats.org/drawingml/2006/picture">
                        <pic:nvPicPr>
                          <pic:cNvPr id="605" name="AutoShape_2_SpCnt_14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06" name="AutoShape_1_SpCnt_155"/>
                  <wp:cNvGraphicFramePr/>
                  <a:graphic xmlns:a="http://schemas.openxmlformats.org/drawingml/2006/main">
                    <a:graphicData uri="http://schemas.openxmlformats.org/drawingml/2006/picture">
                      <pic:pic xmlns:pic="http://schemas.openxmlformats.org/drawingml/2006/picture">
                        <pic:nvPicPr>
                          <pic:cNvPr id="606" name="AutoShape_1_SpCnt_15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07" name="AutoShape_2_SpCnt_145"/>
                  <wp:cNvGraphicFramePr/>
                  <a:graphic xmlns:a="http://schemas.openxmlformats.org/drawingml/2006/main">
                    <a:graphicData uri="http://schemas.openxmlformats.org/drawingml/2006/picture">
                      <pic:pic xmlns:pic="http://schemas.openxmlformats.org/drawingml/2006/picture">
                        <pic:nvPicPr>
                          <pic:cNvPr id="607" name="AutoShape_2_SpCnt_14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08" name="AutoShape_1_SpCnt_156"/>
                  <wp:cNvGraphicFramePr/>
                  <a:graphic xmlns:a="http://schemas.openxmlformats.org/drawingml/2006/main">
                    <a:graphicData uri="http://schemas.openxmlformats.org/drawingml/2006/picture">
                      <pic:pic xmlns:pic="http://schemas.openxmlformats.org/drawingml/2006/picture">
                        <pic:nvPicPr>
                          <pic:cNvPr id="608" name="AutoShape_1_SpCnt_15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09" name="AutoShape_2_SpCnt_146"/>
                  <wp:cNvGraphicFramePr/>
                  <a:graphic xmlns:a="http://schemas.openxmlformats.org/drawingml/2006/main">
                    <a:graphicData uri="http://schemas.openxmlformats.org/drawingml/2006/picture">
                      <pic:pic xmlns:pic="http://schemas.openxmlformats.org/drawingml/2006/picture">
                        <pic:nvPicPr>
                          <pic:cNvPr id="609" name="AutoShape_2_SpCnt_14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10" name="AutoShape_1_SpCnt_157"/>
                  <wp:cNvGraphicFramePr/>
                  <a:graphic xmlns:a="http://schemas.openxmlformats.org/drawingml/2006/main">
                    <a:graphicData uri="http://schemas.openxmlformats.org/drawingml/2006/picture">
                      <pic:pic xmlns:pic="http://schemas.openxmlformats.org/drawingml/2006/picture">
                        <pic:nvPicPr>
                          <pic:cNvPr id="610" name="AutoShape_1_SpCnt_15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11" name="AutoShape_1_SpCnt_158"/>
                  <wp:cNvGraphicFramePr/>
                  <a:graphic xmlns:a="http://schemas.openxmlformats.org/drawingml/2006/main">
                    <a:graphicData uri="http://schemas.openxmlformats.org/drawingml/2006/picture">
                      <pic:pic xmlns:pic="http://schemas.openxmlformats.org/drawingml/2006/picture">
                        <pic:nvPicPr>
                          <pic:cNvPr id="611" name="AutoShape_1_SpCnt_15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12" name="AutoShape_2_SpCnt_147"/>
                  <wp:cNvGraphicFramePr/>
                  <a:graphic xmlns:a="http://schemas.openxmlformats.org/drawingml/2006/main">
                    <a:graphicData uri="http://schemas.openxmlformats.org/drawingml/2006/picture">
                      <pic:pic xmlns:pic="http://schemas.openxmlformats.org/drawingml/2006/picture">
                        <pic:nvPicPr>
                          <pic:cNvPr id="612" name="AutoShape_2_SpCnt_14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13" name="AutoShape_1_SpCnt_159"/>
                  <wp:cNvGraphicFramePr/>
                  <a:graphic xmlns:a="http://schemas.openxmlformats.org/drawingml/2006/main">
                    <a:graphicData uri="http://schemas.openxmlformats.org/drawingml/2006/picture">
                      <pic:pic xmlns:pic="http://schemas.openxmlformats.org/drawingml/2006/picture">
                        <pic:nvPicPr>
                          <pic:cNvPr id="613" name="AutoShape_1_SpCnt_15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14" name="AutoShape_1_SpCnt_160"/>
                  <wp:cNvGraphicFramePr/>
                  <a:graphic xmlns:a="http://schemas.openxmlformats.org/drawingml/2006/main">
                    <a:graphicData uri="http://schemas.openxmlformats.org/drawingml/2006/picture">
                      <pic:pic xmlns:pic="http://schemas.openxmlformats.org/drawingml/2006/picture">
                        <pic:nvPicPr>
                          <pic:cNvPr id="614" name="AutoShape_1_SpCnt_16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15" name="AutoShape_1_SpCnt_161"/>
                  <wp:cNvGraphicFramePr/>
                  <a:graphic xmlns:a="http://schemas.openxmlformats.org/drawingml/2006/main">
                    <a:graphicData uri="http://schemas.openxmlformats.org/drawingml/2006/picture">
                      <pic:pic xmlns:pic="http://schemas.openxmlformats.org/drawingml/2006/picture">
                        <pic:nvPicPr>
                          <pic:cNvPr id="615" name="AutoShape_1_SpCnt_16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16" name="AutoShape_1_SpCnt_162"/>
                  <wp:cNvGraphicFramePr/>
                  <a:graphic xmlns:a="http://schemas.openxmlformats.org/drawingml/2006/main">
                    <a:graphicData uri="http://schemas.openxmlformats.org/drawingml/2006/picture">
                      <pic:pic xmlns:pic="http://schemas.openxmlformats.org/drawingml/2006/picture">
                        <pic:nvPicPr>
                          <pic:cNvPr id="616" name="AutoShape_1_SpCnt_16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17" name="AutoShape_2_SpCnt_148"/>
                  <wp:cNvGraphicFramePr/>
                  <a:graphic xmlns:a="http://schemas.openxmlformats.org/drawingml/2006/main">
                    <a:graphicData uri="http://schemas.openxmlformats.org/drawingml/2006/picture">
                      <pic:pic xmlns:pic="http://schemas.openxmlformats.org/drawingml/2006/picture">
                        <pic:nvPicPr>
                          <pic:cNvPr id="617" name="AutoShape_2_SpCnt_14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18" name="AutoShape_1_SpCnt_163"/>
                  <wp:cNvGraphicFramePr/>
                  <a:graphic xmlns:a="http://schemas.openxmlformats.org/drawingml/2006/main">
                    <a:graphicData uri="http://schemas.openxmlformats.org/drawingml/2006/picture">
                      <pic:pic xmlns:pic="http://schemas.openxmlformats.org/drawingml/2006/picture">
                        <pic:nvPicPr>
                          <pic:cNvPr id="618" name="AutoShape_1_SpCnt_16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19" name="AutoShape_2_SpCnt_149"/>
                  <wp:cNvGraphicFramePr/>
                  <a:graphic xmlns:a="http://schemas.openxmlformats.org/drawingml/2006/main">
                    <a:graphicData uri="http://schemas.openxmlformats.org/drawingml/2006/picture">
                      <pic:pic xmlns:pic="http://schemas.openxmlformats.org/drawingml/2006/picture">
                        <pic:nvPicPr>
                          <pic:cNvPr id="619" name="AutoShape_2_SpCnt_14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20" name="AutoShape_1_SpCnt_164"/>
                  <wp:cNvGraphicFramePr/>
                  <a:graphic xmlns:a="http://schemas.openxmlformats.org/drawingml/2006/main">
                    <a:graphicData uri="http://schemas.openxmlformats.org/drawingml/2006/picture">
                      <pic:pic xmlns:pic="http://schemas.openxmlformats.org/drawingml/2006/picture">
                        <pic:nvPicPr>
                          <pic:cNvPr id="620" name="AutoShape_1_SpCnt_16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21" name="AutoShape_2_SpCnt_150"/>
                  <wp:cNvGraphicFramePr/>
                  <a:graphic xmlns:a="http://schemas.openxmlformats.org/drawingml/2006/main">
                    <a:graphicData uri="http://schemas.openxmlformats.org/drawingml/2006/picture">
                      <pic:pic xmlns:pic="http://schemas.openxmlformats.org/drawingml/2006/picture">
                        <pic:nvPicPr>
                          <pic:cNvPr id="621" name="AutoShape_2_SpCnt_15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22" name="AutoShape_1_SpCnt_165"/>
                  <wp:cNvGraphicFramePr/>
                  <a:graphic xmlns:a="http://schemas.openxmlformats.org/drawingml/2006/main">
                    <a:graphicData uri="http://schemas.openxmlformats.org/drawingml/2006/picture">
                      <pic:pic xmlns:pic="http://schemas.openxmlformats.org/drawingml/2006/picture">
                        <pic:nvPicPr>
                          <pic:cNvPr id="622" name="AutoShape_1_SpCnt_16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23" name="AutoShape_2_SpCnt_151"/>
                  <wp:cNvGraphicFramePr/>
                  <a:graphic xmlns:a="http://schemas.openxmlformats.org/drawingml/2006/main">
                    <a:graphicData uri="http://schemas.openxmlformats.org/drawingml/2006/picture">
                      <pic:pic xmlns:pic="http://schemas.openxmlformats.org/drawingml/2006/picture">
                        <pic:nvPicPr>
                          <pic:cNvPr id="623" name="AutoShape_2_SpCnt_15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24" name="AutoShape_1_SpCnt_166"/>
                  <wp:cNvGraphicFramePr/>
                  <a:graphic xmlns:a="http://schemas.openxmlformats.org/drawingml/2006/main">
                    <a:graphicData uri="http://schemas.openxmlformats.org/drawingml/2006/picture">
                      <pic:pic xmlns:pic="http://schemas.openxmlformats.org/drawingml/2006/picture">
                        <pic:nvPicPr>
                          <pic:cNvPr id="624" name="AutoShape_1_SpCnt_16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25" name="AutoShape_2_SpCnt_152"/>
                  <wp:cNvGraphicFramePr/>
                  <a:graphic xmlns:a="http://schemas.openxmlformats.org/drawingml/2006/main">
                    <a:graphicData uri="http://schemas.openxmlformats.org/drawingml/2006/picture">
                      <pic:pic xmlns:pic="http://schemas.openxmlformats.org/drawingml/2006/picture">
                        <pic:nvPicPr>
                          <pic:cNvPr id="625" name="AutoShape_2_SpCnt_15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26" name="AutoShape_1_SpCnt_167"/>
                  <wp:cNvGraphicFramePr/>
                  <a:graphic xmlns:a="http://schemas.openxmlformats.org/drawingml/2006/main">
                    <a:graphicData uri="http://schemas.openxmlformats.org/drawingml/2006/picture">
                      <pic:pic xmlns:pic="http://schemas.openxmlformats.org/drawingml/2006/picture">
                        <pic:nvPicPr>
                          <pic:cNvPr id="626" name="AutoShape_1_SpCnt_16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27" name="AutoShape_2_SpCnt_153"/>
                  <wp:cNvGraphicFramePr/>
                  <a:graphic xmlns:a="http://schemas.openxmlformats.org/drawingml/2006/main">
                    <a:graphicData uri="http://schemas.openxmlformats.org/drawingml/2006/picture">
                      <pic:pic xmlns:pic="http://schemas.openxmlformats.org/drawingml/2006/picture">
                        <pic:nvPicPr>
                          <pic:cNvPr id="627" name="AutoShape_2_SpCnt_15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28" name="AutoShape_1_SpCnt_168"/>
                  <wp:cNvGraphicFramePr/>
                  <a:graphic xmlns:a="http://schemas.openxmlformats.org/drawingml/2006/main">
                    <a:graphicData uri="http://schemas.openxmlformats.org/drawingml/2006/picture">
                      <pic:pic xmlns:pic="http://schemas.openxmlformats.org/drawingml/2006/picture">
                        <pic:nvPicPr>
                          <pic:cNvPr id="628" name="AutoShape_1_SpCnt_16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29" name="AutoShape_2_SpCnt_154"/>
                  <wp:cNvGraphicFramePr/>
                  <a:graphic xmlns:a="http://schemas.openxmlformats.org/drawingml/2006/main">
                    <a:graphicData uri="http://schemas.openxmlformats.org/drawingml/2006/picture">
                      <pic:pic xmlns:pic="http://schemas.openxmlformats.org/drawingml/2006/picture">
                        <pic:nvPicPr>
                          <pic:cNvPr id="629" name="AutoShape_2_SpCnt_15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30" name="AutoShape_1_SpCnt_169"/>
                  <wp:cNvGraphicFramePr/>
                  <a:graphic xmlns:a="http://schemas.openxmlformats.org/drawingml/2006/main">
                    <a:graphicData uri="http://schemas.openxmlformats.org/drawingml/2006/picture">
                      <pic:pic xmlns:pic="http://schemas.openxmlformats.org/drawingml/2006/picture">
                        <pic:nvPicPr>
                          <pic:cNvPr id="630" name="AutoShape_1_SpCnt_16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31" name="AutoShape_2_SpCnt_155"/>
                  <wp:cNvGraphicFramePr/>
                  <a:graphic xmlns:a="http://schemas.openxmlformats.org/drawingml/2006/main">
                    <a:graphicData uri="http://schemas.openxmlformats.org/drawingml/2006/picture">
                      <pic:pic xmlns:pic="http://schemas.openxmlformats.org/drawingml/2006/picture">
                        <pic:nvPicPr>
                          <pic:cNvPr id="631" name="AutoShape_2_SpCnt_15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32" name="AutoShape_1_SpCnt_170"/>
                  <wp:cNvGraphicFramePr/>
                  <a:graphic xmlns:a="http://schemas.openxmlformats.org/drawingml/2006/main">
                    <a:graphicData uri="http://schemas.openxmlformats.org/drawingml/2006/picture">
                      <pic:pic xmlns:pic="http://schemas.openxmlformats.org/drawingml/2006/picture">
                        <pic:nvPicPr>
                          <pic:cNvPr id="632" name="AutoShape_1_SpCnt_17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33" name="AutoShape_2_SpCnt_156"/>
                  <wp:cNvGraphicFramePr/>
                  <a:graphic xmlns:a="http://schemas.openxmlformats.org/drawingml/2006/main">
                    <a:graphicData uri="http://schemas.openxmlformats.org/drawingml/2006/picture">
                      <pic:pic xmlns:pic="http://schemas.openxmlformats.org/drawingml/2006/picture">
                        <pic:nvPicPr>
                          <pic:cNvPr id="633" name="AutoShape_2_SpCnt_15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34" name="AutoShape_1_SpCnt_171"/>
                  <wp:cNvGraphicFramePr/>
                  <a:graphic xmlns:a="http://schemas.openxmlformats.org/drawingml/2006/main">
                    <a:graphicData uri="http://schemas.openxmlformats.org/drawingml/2006/picture">
                      <pic:pic xmlns:pic="http://schemas.openxmlformats.org/drawingml/2006/picture">
                        <pic:nvPicPr>
                          <pic:cNvPr id="634" name="AutoShape_1_SpCnt_17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35" name="AutoShape_2_SpCnt_157"/>
                  <wp:cNvGraphicFramePr/>
                  <a:graphic xmlns:a="http://schemas.openxmlformats.org/drawingml/2006/main">
                    <a:graphicData uri="http://schemas.openxmlformats.org/drawingml/2006/picture">
                      <pic:pic xmlns:pic="http://schemas.openxmlformats.org/drawingml/2006/picture">
                        <pic:nvPicPr>
                          <pic:cNvPr id="635" name="AutoShape_2_SpCnt_15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36" name="AutoShape_1_SpCnt_172"/>
                  <wp:cNvGraphicFramePr/>
                  <a:graphic xmlns:a="http://schemas.openxmlformats.org/drawingml/2006/main">
                    <a:graphicData uri="http://schemas.openxmlformats.org/drawingml/2006/picture">
                      <pic:pic xmlns:pic="http://schemas.openxmlformats.org/drawingml/2006/picture">
                        <pic:nvPicPr>
                          <pic:cNvPr id="636" name="AutoShape_1_SpCnt_17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37" name="AutoShape_2_SpCnt_158"/>
                  <wp:cNvGraphicFramePr/>
                  <a:graphic xmlns:a="http://schemas.openxmlformats.org/drawingml/2006/main">
                    <a:graphicData uri="http://schemas.openxmlformats.org/drawingml/2006/picture">
                      <pic:pic xmlns:pic="http://schemas.openxmlformats.org/drawingml/2006/picture">
                        <pic:nvPicPr>
                          <pic:cNvPr id="637" name="AutoShape_2_SpCnt_15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38" name="AutoShape_1_SpCnt_173"/>
                  <wp:cNvGraphicFramePr/>
                  <a:graphic xmlns:a="http://schemas.openxmlformats.org/drawingml/2006/main">
                    <a:graphicData uri="http://schemas.openxmlformats.org/drawingml/2006/picture">
                      <pic:pic xmlns:pic="http://schemas.openxmlformats.org/drawingml/2006/picture">
                        <pic:nvPicPr>
                          <pic:cNvPr id="638" name="AutoShape_1_SpCnt_17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39" name="AutoShape_2_SpCnt_159"/>
                  <wp:cNvGraphicFramePr/>
                  <a:graphic xmlns:a="http://schemas.openxmlformats.org/drawingml/2006/main">
                    <a:graphicData uri="http://schemas.openxmlformats.org/drawingml/2006/picture">
                      <pic:pic xmlns:pic="http://schemas.openxmlformats.org/drawingml/2006/picture">
                        <pic:nvPicPr>
                          <pic:cNvPr id="639" name="AutoShape_2_SpCnt_15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40" name="AutoShape_1_SpCnt_174"/>
                  <wp:cNvGraphicFramePr/>
                  <a:graphic xmlns:a="http://schemas.openxmlformats.org/drawingml/2006/main">
                    <a:graphicData uri="http://schemas.openxmlformats.org/drawingml/2006/picture">
                      <pic:pic xmlns:pic="http://schemas.openxmlformats.org/drawingml/2006/picture">
                        <pic:nvPicPr>
                          <pic:cNvPr id="640" name="AutoShape_1_SpCnt_17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41" name="AutoShape_2_SpCnt_160"/>
                  <wp:cNvGraphicFramePr/>
                  <a:graphic xmlns:a="http://schemas.openxmlformats.org/drawingml/2006/main">
                    <a:graphicData uri="http://schemas.openxmlformats.org/drawingml/2006/picture">
                      <pic:pic xmlns:pic="http://schemas.openxmlformats.org/drawingml/2006/picture">
                        <pic:nvPicPr>
                          <pic:cNvPr id="641" name="AutoShape_2_SpCnt_16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42" name="AutoShape_1_SpCnt_175"/>
                  <wp:cNvGraphicFramePr/>
                  <a:graphic xmlns:a="http://schemas.openxmlformats.org/drawingml/2006/main">
                    <a:graphicData uri="http://schemas.openxmlformats.org/drawingml/2006/picture">
                      <pic:pic xmlns:pic="http://schemas.openxmlformats.org/drawingml/2006/picture">
                        <pic:nvPicPr>
                          <pic:cNvPr id="642" name="AutoShape_1_SpCnt_17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43" name="AutoShape_2_SpCnt_161"/>
                  <wp:cNvGraphicFramePr/>
                  <a:graphic xmlns:a="http://schemas.openxmlformats.org/drawingml/2006/main">
                    <a:graphicData uri="http://schemas.openxmlformats.org/drawingml/2006/picture">
                      <pic:pic xmlns:pic="http://schemas.openxmlformats.org/drawingml/2006/picture">
                        <pic:nvPicPr>
                          <pic:cNvPr id="643" name="AutoShape_2_SpCnt_16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44" name="AutoShape_1_SpCnt_176"/>
                  <wp:cNvGraphicFramePr/>
                  <a:graphic xmlns:a="http://schemas.openxmlformats.org/drawingml/2006/main">
                    <a:graphicData uri="http://schemas.openxmlformats.org/drawingml/2006/picture">
                      <pic:pic xmlns:pic="http://schemas.openxmlformats.org/drawingml/2006/picture">
                        <pic:nvPicPr>
                          <pic:cNvPr id="644" name="AutoShape_1_SpCnt_17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45" name="AutoShape_2_SpCnt_162"/>
                  <wp:cNvGraphicFramePr/>
                  <a:graphic xmlns:a="http://schemas.openxmlformats.org/drawingml/2006/main">
                    <a:graphicData uri="http://schemas.openxmlformats.org/drawingml/2006/picture">
                      <pic:pic xmlns:pic="http://schemas.openxmlformats.org/drawingml/2006/picture">
                        <pic:nvPicPr>
                          <pic:cNvPr id="645" name="AutoShape_2_SpCnt_16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46" name="AutoShape_1_SpCnt_177"/>
                  <wp:cNvGraphicFramePr/>
                  <a:graphic xmlns:a="http://schemas.openxmlformats.org/drawingml/2006/main">
                    <a:graphicData uri="http://schemas.openxmlformats.org/drawingml/2006/picture">
                      <pic:pic xmlns:pic="http://schemas.openxmlformats.org/drawingml/2006/picture">
                        <pic:nvPicPr>
                          <pic:cNvPr id="646" name="AutoShape_1_SpCnt_17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47" name="AutoShape_2_SpCnt_163"/>
                  <wp:cNvGraphicFramePr/>
                  <a:graphic xmlns:a="http://schemas.openxmlformats.org/drawingml/2006/main">
                    <a:graphicData uri="http://schemas.openxmlformats.org/drawingml/2006/picture">
                      <pic:pic xmlns:pic="http://schemas.openxmlformats.org/drawingml/2006/picture">
                        <pic:nvPicPr>
                          <pic:cNvPr id="647" name="AutoShape_2_SpCnt_16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48" name="AutoShape_1_SpCnt_178"/>
                  <wp:cNvGraphicFramePr/>
                  <a:graphic xmlns:a="http://schemas.openxmlformats.org/drawingml/2006/main">
                    <a:graphicData uri="http://schemas.openxmlformats.org/drawingml/2006/picture">
                      <pic:pic xmlns:pic="http://schemas.openxmlformats.org/drawingml/2006/picture">
                        <pic:nvPicPr>
                          <pic:cNvPr id="648" name="AutoShape_1_SpCnt_17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49" name="AutoShape_2_SpCnt_164"/>
                  <wp:cNvGraphicFramePr/>
                  <a:graphic xmlns:a="http://schemas.openxmlformats.org/drawingml/2006/main">
                    <a:graphicData uri="http://schemas.openxmlformats.org/drawingml/2006/picture">
                      <pic:pic xmlns:pic="http://schemas.openxmlformats.org/drawingml/2006/picture">
                        <pic:nvPicPr>
                          <pic:cNvPr id="649" name="AutoShape_2_SpCnt_16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50" name="AutoShape_1_SpCnt_179"/>
                  <wp:cNvGraphicFramePr/>
                  <a:graphic xmlns:a="http://schemas.openxmlformats.org/drawingml/2006/main">
                    <a:graphicData uri="http://schemas.openxmlformats.org/drawingml/2006/picture">
                      <pic:pic xmlns:pic="http://schemas.openxmlformats.org/drawingml/2006/picture">
                        <pic:nvPicPr>
                          <pic:cNvPr id="650" name="AutoShape_1_SpCnt_17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51" name="AutoShape_1_SpCnt_180"/>
                  <wp:cNvGraphicFramePr/>
                  <a:graphic xmlns:a="http://schemas.openxmlformats.org/drawingml/2006/main">
                    <a:graphicData uri="http://schemas.openxmlformats.org/drawingml/2006/picture">
                      <pic:pic xmlns:pic="http://schemas.openxmlformats.org/drawingml/2006/picture">
                        <pic:nvPicPr>
                          <pic:cNvPr id="651" name="AutoShape_1_SpCnt_18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52" name="AutoShape_2_SpCnt_165"/>
                  <wp:cNvGraphicFramePr/>
                  <a:graphic xmlns:a="http://schemas.openxmlformats.org/drawingml/2006/main">
                    <a:graphicData uri="http://schemas.openxmlformats.org/drawingml/2006/picture">
                      <pic:pic xmlns:pic="http://schemas.openxmlformats.org/drawingml/2006/picture">
                        <pic:nvPicPr>
                          <pic:cNvPr id="652" name="AutoShape_2_SpCnt_16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53" name="AutoShape_1_SpCnt_181"/>
                  <wp:cNvGraphicFramePr/>
                  <a:graphic xmlns:a="http://schemas.openxmlformats.org/drawingml/2006/main">
                    <a:graphicData uri="http://schemas.openxmlformats.org/drawingml/2006/picture">
                      <pic:pic xmlns:pic="http://schemas.openxmlformats.org/drawingml/2006/picture">
                        <pic:nvPicPr>
                          <pic:cNvPr id="653" name="AutoShape_1_SpCnt_18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54" name="AutoShape_2_SpCnt_166"/>
                  <wp:cNvGraphicFramePr/>
                  <a:graphic xmlns:a="http://schemas.openxmlformats.org/drawingml/2006/main">
                    <a:graphicData uri="http://schemas.openxmlformats.org/drawingml/2006/picture">
                      <pic:pic xmlns:pic="http://schemas.openxmlformats.org/drawingml/2006/picture">
                        <pic:nvPicPr>
                          <pic:cNvPr id="654" name="AutoShape_2_SpCnt_16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55" name="AutoShape_1_SpCnt_182"/>
                  <wp:cNvGraphicFramePr/>
                  <a:graphic xmlns:a="http://schemas.openxmlformats.org/drawingml/2006/main">
                    <a:graphicData uri="http://schemas.openxmlformats.org/drawingml/2006/picture">
                      <pic:pic xmlns:pic="http://schemas.openxmlformats.org/drawingml/2006/picture">
                        <pic:nvPicPr>
                          <pic:cNvPr id="655" name="AutoShape_1_SpCnt_18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56" name="AutoShape_2_SpCnt_167"/>
                  <wp:cNvGraphicFramePr/>
                  <a:graphic xmlns:a="http://schemas.openxmlformats.org/drawingml/2006/main">
                    <a:graphicData uri="http://schemas.openxmlformats.org/drawingml/2006/picture">
                      <pic:pic xmlns:pic="http://schemas.openxmlformats.org/drawingml/2006/picture">
                        <pic:nvPicPr>
                          <pic:cNvPr id="656" name="AutoShape_2_SpCnt_16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57" name="AutoShape_1_SpCnt_183"/>
                  <wp:cNvGraphicFramePr/>
                  <a:graphic xmlns:a="http://schemas.openxmlformats.org/drawingml/2006/main">
                    <a:graphicData uri="http://schemas.openxmlformats.org/drawingml/2006/picture">
                      <pic:pic xmlns:pic="http://schemas.openxmlformats.org/drawingml/2006/picture">
                        <pic:nvPicPr>
                          <pic:cNvPr id="657" name="AutoShape_1_SpCnt_18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58" name="AutoShape_2_SpCnt_168"/>
                  <wp:cNvGraphicFramePr/>
                  <a:graphic xmlns:a="http://schemas.openxmlformats.org/drawingml/2006/main">
                    <a:graphicData uri="http://schemas.openxmlformats.org/drawingml/2006/picture">
                      <pic:pic xmlns:pic="http://schemas.openxmlformats.org/drawingml/2006/picture">
                        <pic:nvPicPr>
                          <pic:cNvPr id="658" name="AutoShape_2_SpCnt_16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59" name="AutoShape_1_SpCnt_184"/>
                  <wp:cNvGraphicFramePr/>
                  <a:graphic xmlns:a="http://schemas.openxmlformats.org/drawingml/2006/main">
                    <a:graphicData uri="http://schemas.openxmlformats.org/drawingml/2006/picture">
                      <pic:pic xmlns:pic="http://schemas.openxmlformats.org/drawingml/2006/picture">
                        <pic:nvPicPr>
                          <pic:cNvPr id="659" name="AutoShape_1_SpCnt_18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60" name="AutoShape_2_SpCnt_169"/>
                  <wp:cNvGraphicFramePr/>
                  <a:graphic xmlns:a="http://schemas.openxmlformats.org/drawingml/2006/main">
                    <a:graphicData uri="http://schemas.openxmlformats.org/drawingml/2006/picture">
                      <pic:pic xmlns:pic="http://schemas.openxmlformats.org/drawingml/2006/picture">
                        <pic:nvPicPr>
                          <pic:cNvPr id="660" name="AutoShape_2_SpCnt_16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61" name="AutoShape_1_SpCnt_185"/>
                  <wp:cNvGraphicFramePr/>
                  <a:graphic xmlns:a="http://schemas.openxmlformats.org/drawingml/2006/main">
                    <a:graphicData uri="http://schemas.openxmlformats.org/drawingml/2006/picture">
                      <pic:pic xmlns:pic="http://schemas.openxmlformats.org/drawingml/2006/picture">
                        <pic:nvPicPr>
                          <pic:cNvPr id="661" name="AutoShape_1_SpCnt_18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62" name="AutoShape_1_SpCnt_186"/>
                  <wp:cNvGraphicFramePr/>
                  <a:graphic xmlns:a="http://schemas.openxmlformats.org/drawingml/2006/main">
                    <a:graphicData uri="http://schemas.openxmlformats.org/drawingml/2006/picture">
                      <pic:pic xmlns:pic="http://schemas.openxmlformats.org/drawingml/2006/picture">
                        <pic:nvPicPr>
                          <pic:cNvPr id="662" name="AutoShape_1_SpCnt_18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63" name="AutoShape_2_SpCnt_170"/>
                  <wp:cNvGraphicFramePr/>
                  <a:graphic xmlns:a="http://schemas.openxmlformats.org/drawingml/2006/main">
                    <a:graphicData uri="http://schemas.openxmlformats.org/drawingml/2006/picture">
                      <pic:pic xmlns:pic="http://schemas.openxmlformats.org/drawingml/2006/picture">
                        <pic:nvPicPr>
                          <pic:cNvPr id="663" name="AutoShape_2_SpCnt_17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64" name="AutoShape_1_SpCnt_187"/>
                  <wp:cNvGraphicFramePr/>
                  <a:graphic xmlns:a="http://schemas.openxmlformats.org/drawingml/2006/main">
                    <a:graphicData uri="http://schemas.openxmlformats.org/drawingml/2006/picture">
                      <pic:pic xmlns:pic="http://schemas.openxmlformats.org/drawingml/2006/picture">
                        <pic:nvPicPr>
                          <pic:cNvPr id="664" name="AutoShape_1_SpCnt_18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65" name="AutoShape_2_SpCnt_171"/>
                  <wp:cNvGraphicFramePr/>
                  <a:graphic xmlns:a="http://schemas.openxmlformats.org/drawingml/2006/main">
                    <a:graphicData uri="http://schemas.openxmlformats.org/drawingml/2006/picture">
                      <pic:pic xmlns:pic="http://schemas.openxmlformats.org/drawingml/2006/picture">
                        <pic:nvPicPr>
                          <pic:cNvPr id="665" name="AutoShape_2_SpCnt_17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66" name="AutoShape_1_SpCnt_188"/>
                  <wp:cNvGraphicFramePr/>
                  <a:graphic xmlns:a="http://schemas.openxmlformats.org/drawingml/2006/main">
                    <a:graphicData uri="http://schemas.openxmlformats.org/drawingml/2006/picture">
                      <pic:pic xmlns:pic="http://schemas.openxmlformats.org/drawingml/2006/picture">
                        <pic:nvPicPr>
                          <pic:cNvPr id="666" name="AutoShape_1_SpCnt_18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67" name="AutoShape_2_SpCnt_172"/>
                  <wp:cNvGraphicFramePr/>
                  <a:graphic xmlns:a="http://schemas.openxmlformats.org/drawingml/2006/main">
                    <a:graphicData uri="http://schemas.openxmlformats.org/drawingml/2006/picture">
                      <pic:pic xmlns:pic="http://schemas.openxmlformats.org/drawingml/2006/picture">
                        <pic:nvPicPr>
                          <pic:cNvPr id="667" name="AutoShape_2_SpCnt_17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68" name="AutoShape_1_SpCnt_189"/>
                  <wp:cNvGraphicFramePr/>
                  <a:graphic xmlns:a="http://schemas.openxmlformats.org/drawingml/2006/main">
                    <a:graphicData uri="http://schemas.openxmlformats.org/drawingml/2006/picture">
                      <pic:pic xmlns:pic="http://schemas.openxmlformats.org/drawingml/2006/picture">
                        <pic:nvPicPr>
                          <pic:cNvPr id="668" name="AutoShape_1_SpCnt_18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69" name="AutoShape_2_SpCnt_173"/>
                  <wp:cNvGraphicFramePr/>
                  <a:graphic xmlns:a="http://schemas.openxmlformats.org/drawingml/2006/main">
                    <a:graphicData uri="http://schemas.openxmlformats.org/drawingml/2006/picture">
                      <pic:pic xmlns:pic="http://schemas.openxmlformats.org/drawingml/2006/picture">
                        <pic:nvPicPr>
                          <pic:cNvPr id="669" name="AutoShape_2_SpCnt_17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70" name="AutoShape_1_SpCnt_190"/>
                  <wp:cNvGraphicFramePr/>
                  <a:graphic xmlns:a="http://schemas.openxmlformats.org/drawingml/2006/main">
                    <a:graphicData uri="http://schemas.openxmlformats.org/drawingml/2006/picture">
                      <pic:pic xmlns:pic="http://schemas.openxmlformats.org/drawingml/2006/picture">
                        <pic:nvPicPr>
                          <pic:cNvPr id="670" name="AutoShape_1_SpCnt_19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71" name="AutoShape_2_SpCnt_174"/>
                  <wp:cNvGraphicFramePr/>
                  <a:graphic xmlns:a="http://schemas.openxmlformats.org/drawingml/2006/main">
                    <a:graphicData uri="http://schemas.openxmlformats.org/drawingml/2006/picture">
                      <pic:pic xmlns:pic="http://schemas.openxmlformats.org/drawingml/2006/picture">
                        <pic:nvPicPr>
                          <pic:cNvPr id="671" name="AutoShape_2_SpCnt_17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72" name="AutoShape_1_SpCnt_191"/>
                  <wp:cNvGraphicFramePr/>
                  <a:graphic xmlns:a="http://schemas.openxmlformats.org/drawingml/2006/main">
                    <a:graphicData uri="http://schemas.openxmlformats.org/drawingml/2006/picture">
                      <pic:pic xmlns:pic="http://schemas.openxmlformats.org/drawingml/2006/picture">
                        <pic:nvPicPr>
                          <pic:cNvPr id="672" name="AutoShape_1_SpCnt_19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73" name="AutoShape_2_SpCnt_175"/>
                  <wp:cNvGraphicFramePr/>
                  <a:graphic xmlns:a="http://schemas.openxmlformats.org/drawingml/2006/main">
                    <a:graphicData uri="http://schemas.openxmlformats.org/drawingml/2006/picture">
                      <pic:pic xmlns:pic="http://schemas.openxmlformats.org/drawingml/2006/picture">
                        <pic:nvPicPr>
                          <pic:cNvPr id="673" name="AutoShape_2_SpCnt_17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74" name="AutoShape_1_SpCnt_192"/>
                  <wp:cNvGraphicFramePr/>
                  <a:graphic xmlns:a="http://schemas.openxmlformats.org/drawingml/2006/main">
                    <a:graphicData uri="http://schemas.openxmlformats.org/drawingml/2006/picture">
                      <pic:pic xmlns:pic="http://schemas.openxmlformats.org/drawingml/2006/picture">
                        <pic:nvPicPr>
                          <pic:cNvPr id="674" name="AutoShape_1_SpCnt_19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75" name="AutoShape_2_SpCnt_176"/>
                  <wp:cNvGraphicFramePr/>
                  <a:graphic xmlns:a="http://schemas.openxmlformats.org/drawingml/2006/main">
                    <a:graphicData uri="http://schemas.openxmlformats.org/drawingml/2006/picture">
                      <pic:pic xmlns:pic="http://schemas.openxmlformats.org/drawingml/2006/picture">
                        <pic:nvPicPr>
                          <pic:cNvPr id="675" name="AutoShape_2_SpCnt_17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76" name="AutoShape_1_SpCnt_193"/>
                  <wp:cNvGraphicFramePr/>
                  <a:graphic xmlns:a="http://schemas.openxmlformats.org/drawingml/2006/main">
                    <a:graphicData uri="http://schemas.openxmlformats.org/drawingml/2006/picture">
                      <pic:pic xmlns:pic="http://schemas.openxmlformats.org/drawingml/2006/picture">
                        <pic:nvPicPr>
                          <pic:cNvPr id="676" name="AutoShape_1_SpCnt_19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77" name="AutoShape_2_SpCnt_177"/>
                  <wp:cNvGraphicFramePr/>
                  <a:graphic xmlns:a="http://schemas.openxmlformats.org/drawingml/2006/main">
                    <a:graphicData uri="http://schemas.openxmlformats.org/drawingml/2006/picture">
                      <pic:pic xmlns:pic="http://schemas.openxmlformats.org/drawingml/2006/picture">
                        <pic:nvPicPr>
                          <pic:cNvPr id="677" name="AutoShape_2_SpCnt_17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78" name="AutoShape_1_SpCnt_194"/>
                  <wp:cNvGraphicFramePr/>
                  <a:graphic xmlns:a="http://schemas.openxmlformats.org/drawingml/2006/main">
                    <a:graphicData uri="http://schemas.openxmlformats.org/drawingml/2006/picture">
                      <pic:pic xmlns:pic="http://schemas.openxmlformats.org/drawingml/2006/picture">
                        <pic:nvPicPr>
                          <pic:cNvPr id="678" name="AutoShape_1_SpCnt_19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79" name="AutoShape_2_SpCnt_178"/>
                  <wp:cNvGraphicFramePr/>
                  <a:graphic xmlns:a="http://schemas.openxmlformats.org/drawingml/2006/main">
                    <a:graphicData uri="http://schemas.openxmlformats.org/drawingml/2006/picture">
                      <pic:pic xmlns:pic="http://schemas.openxmlformats.org/drawingml/2006/picture">
                        <pic:nvPicPr>
                          <pic:cNvPr id="679" name="AutoShape_2_SpCnt_17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80" name="AutoShape_1_SpCnt_195"/>
                  <wp:cNvGraphicFramePr/>
                  <a:graphic xmlns:a="http://schemas.openxmlformats.org/drawingml/2006/main">
                    <a:graphicData uri="http://schemas.openxmlformats.org/drawingml/2006/picture">
                      <pic:pic xmlns:pic="http://schemas.openxmlformats.org/drawingml/2006/picture">
                        <pic:nvPicPr>
                          <pic:cNvPr id="680" name="AutoShape_1_SpCnt_19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81" name="AutoShape_2_SpCnt_179"/>
                  <wp:cNvGraphicFramePr/>
                  <a:graphic xmlns:a="http://schemas.openxmlformats.org/drawingml/2006/main">
                    <a:graphicData uri="http://schemas.openxmlformats.org/drawingml/2006/picture">
                      <pic:pic xmlns:pic="http://schemas.openxmlformats.org/drawingml/2006/picture">
                        <pic:nvPicPr>
                          <pic:cNvPr id="681" name="AutoShape_2_SpCnt_17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82" name="AutoShape_1_SpCnt_196"/>
                  <wp:cNvGraphicFramePr/>
                  <a:graphic xmlns:a="http://schemas.openxmlformats.org/drawingml/2006/main">
                    <a:graphicData uri="http://schemas.openxmlformats.org/drawingml/2006/picture">
                      <pic:pic xmlns:pic="http://schemas.openxmlformats.org/drawingml/2006/picture">
                        <pic:nvPicPr>
                          <pic:cNvPr id="682" name="AutoShape_1_SpCnt_19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83" name="AutoShape_2_SpCnt_180"/>
                  <wp:cNvGraphicFramePr/>
                  <a:graphic xmlns:a="http://schemas.openxmlformats.org/drawingml/2006/main">
                    <a:graphicData uri="http://schemas.openxmlformats.org/drawingml/2006/picture">
                      <pic:pic xmlns:pic="http://schemas.openxmlformats.org/drawingml/2006/picture">
                        <pic:nvPicPr>
                          <pic:cNvPr id="683" name="AutoShape_2_SpCnt_18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84" name="AutoShape_1_SpCnt_197"/>
                  <wp:cNvGraphicFramePr/>
                  <a:graphic xmlns:a="http://schemas.openxmlformats.org/drawingml/2006/main">
                    <a:graphicData uri="http://schemas.openxmlformats.org/drawingml/2006/picture">
                      <pic:pic xmlns:pic="http://schemas.openxmlformats.org/drawingml/2006/picture">
                        <pic:nvPicPr>
                          <pic:cNvPr id="684" name="AutoShape_1_SpCnt_19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85" name="AutoShape_2_SpCnt_181"/>
                  <wp:cNvGraphicFramePr/>
                  <a:graphic xmlns:a="http://schemas.openxmlformats.org/drawingml/2006/main">
                    <a:graphicData uri="http://schemas.openxmlformats.org/drawingml/2006/picture">
                      <pic:pic xmlns:pic="http://schemas.openxmlformats.org/drawingml/2006/picture">
                        <pic:nvPicPr>
                          <pic:cNvPr id="685" name="AutoShape_2_SpCnt_18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86" name="AutoShape_1_SpCnt_198"/>
                  <wp:cNvGraphicFramePr/>
                  <a:graphic xmlns:a="http://schemas.openxmlformats.org/drawingml/2006/main">
                    <a:graphicData uri="http://schemas.openxmlformats.org/drawingml/2006/picture">
                      <pic:pic xmlns:pic="http://schemas.openxmlformats.org/drawingml/2006/picture">
                        <pic:nvPicPr>
                          <pic:cNvPr id="686" name="AutoShape_1_SpCnt_19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87" name="AutoShape_2_SpCnt_182"/>
                  <wp:cNvGraphicFramePr/>
                  <a:graphic xmlns:a="http://schemas.openxmlformats.org/drawingml/2006/main">
                    <a:graphicData uri="http://schemas.openxmlformats.org/drawingml/2006/picture">
                      <pic:pic xmlns:pic="http://schemas.openxmlformats.org/drawingml/2006/picture">
                        <pic:nvPicPr>
                          <pic:cNvPr id="687" name="AutoShape_2_SpCnt_18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88" name="AutoShape_1_SpCnt_199"/>
                  <wp:cNvGraphicFramePr/>
                  <a:graphic xmlns:a="http://schemas.openxmlformats.org/drawingml/2006/main">
                    <a:graphicData uri="http://schemas.openxmlformats.org/drawingml/2006/picture">
                      <pic:pic xmlns:pic="http://schemas.openxmlformats.org/drawingml/2006/picture">
                        <pic:nvPicPr>
                          <pic:cNvPr id="688" name="AutoShape_1_SpCnt_19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89" name="AutoShape_2_SpCnt_183"/>
                  <wp:cNvGraphicFramePr/>
                  <a:graphic xmlns:a="http://schemas.openxmlformats.org/drawingml/2006/main">
                    <a:graphicData uri="http://schemas.openxmlformats.org/drawingml/2006/picture">
                      <pic:pic xmlns:pic="http://schemas.openxmlformats.org/drawingml/2006/picture">
                        <pic:nvPicPr>
                          <pic:cNvPr id="689" name="AutoShape_2_SpCnt_18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90" name="AutoShape_1_SpCnt_200"/>
                  <wp:cNvGraphicFramePr/>
                  <a:graphic xmlns:a="http://schemas.openxmlformats.org/drawingml/2006/main">
                    <a:graphicData uri="http://schemas.openxmlformats.org/drawingml/2006/picture">
                      <pic:pic xmlns:pic="http://schemas.openxmlformats.org/drawingml/2006/picture">
                        <pic:nvPicPr>
                          <pic:cNvPr id="690" name="AutoShape_1_SpCnt_20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91" name="AutoShape_2_SpCnt_184"/>
                  <wp:cNvGraphicFramePr/>
                  <a:graphic xmlns:a="http://schemas.openxmlformats.org/drawingml/2006/main">
                    <a:graphicData uri="http://schemas.openxmlformats.org/drawingml/2006/picture">
                      <pic:pic xmlns:pic="http://schemas.openxmlformats.org/drawingml/2006/picture">
                        <pic:nvPicPr>
                          <pic:cNvPr id="691" name="AutoShape_2_SpCnt_18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92" name="AutoShape_1_SpCnt_201"/>
                  <wp:cNvGraphicFramePr/>
                  <a:graphic xmlns:a="http://schemas.openxmlformats.org/drawingml/2006/main">
                    <a:graphicData uri="http://schemas.openxmlformats.org/drawingml/2006/picture">
                      <pic:pic xmlns:pic="http://schemas.openxmlformats.org/drawingml/2006/picture">
                        <pic:nvPicPr>
                          <pic:cNvPr id="692" name="AutoShape_1_SpCnt_20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93" name="AutoShape_2_SpCnt_185"/>
                  <wp:cNvGraphicFramePr/>
                  <a:graphic xmlns:a="http://schemas.openxmlformats.org/drawingml/2006/main">
                    <a:graphicData uri="http://schemas.openxmlformats.org/drawingml/2006/picture">
                      <pic:pic xmlns:pic="http://schemas.openxmlformats.org/drawingml/2006/picture">
                        <pic:nvPicPr>
                          <pic:cNvPr id="693" name="AutoShape_2_SpCnt_18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94" name="AutoShape_1_SpCnt_202"/>
                  <wp:cNvGraphicFramePr/>
                  <a:graphic xmlns:a="http://schemas.openxmlformats.org/drawingml/2006/main">
                    <a:graphicData uri="http://schemas.openxmlformats.org/drawingml/2006/picture">
                      <pic:pic xmlns:pic="http://schemas.openxmlformats.org/drawingml/2006/picture">
                        <pic:nvPicPr>
                          <pic:cNvPr id="694" name="AutoShape_1_SpCnt_20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95" name="AutoShape_1_SpCnt_203"/>
                  <wp:cNvGraphicFramePr/>
                  <a:graphic xmlns:a="http://schemas.openxmlformats.org/drawingml/2006/main">
                    <a:graphicData uri="http://schemas.openxmlformats.org/drawingml/2006/picture">
                      <pic:pic xmlns:pic="http://schemas.openxmlformats.org/drawingml/2006/picture">
                        <pic:nvPicPr>
                          <pic:cNvPr id="695" name="AutoShape_1_SpCnt_20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96" name="AutoShape_2_SpCnt_186"/>
                  <wp:cNvGraphicFramePr/>
                  <a:graphic xmlns:a="http://schemas.openxmlformats.org/drawingml/2006/main">
                    <a:graphicData uri="http://schemas.openxmlformats.org/drawingml/2006/picture">
                      <pic:pic xmlns:pic="http://schemas.openxmlformats.org/drawingml/2006/picture">
                        <pic:nvPicPr>
                          <pic:cNvPr id="696" name="AutoShape_2_SpCnt_18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97" name="AutoShape_1_SpCnt_204"/>
                  <wp:cNvGraphicFramePr/>
                  <a:graphic xmlns:a="http://schemas.openxmlformats.org/drawingml/2006/main">
                    <a:graphicData uri="http://schemas.openxmlformats.org/drawingml/2006/picture">
                      <pic:pic xmlns:pic="http://schemas.openxmlformats.org/drawingml/2006/picture">
                        <pic:nvPicPr>
                          <pic:cNvPr id="697" name="AutoShape_1_SpCnt_20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98" name="AutoShape_2_SpCnt_187"/>
                  <wp:cNvGraphicFramePr/>
                  <a:graphic xmlns:a="http://schemas.openxmlformats.org/drawingml/2006/main">
                    <a:graphicData uri="http://schemas.openxmlformats.org/drawingml/2006/picture">
                      <pic:pic xmlns:pic="http://schemas.openxmlformats.org/drawingml/2006/picture">
                        <pic:nvPicPr>
                          <pic:cNvPr id="698" name="AutoShape_2_SpCnt_18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699" name="AutoShape_1_SpCnt_205"/>
                  <wp:cNvGraphicFramePr/>
                  <a:graphic xmlns:a="http://schemas.openxmlformats.org/drawingml/2006/main">
                    <a:graphicData uri="http://schemas.openxmlformats.org/drawingml/2006/picture">
                      <pic:pic xmlns:pic="http://schemas.openxmlformats.org/drawingml/2006/picture">
                        <pic:nvPicPr>
                          <pic:cNvPr id="699" name="AutoShape_1_SpCnt_20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00" name="AutoShape_2_SpCnt_188"/>
                  <wp:cNvGraphicFramePr/>
                  <a:graphic xmlns:a="http://schemas.openxmlformats.org/drawingml/2006/main">
                    <a:graphicData uri="http://schemas.openxmlformats.org/drawingml/2006/picture">
                      <pic:pic xmlns:pic="http://schemas.openxmlformats.org/drawingml/2006/picture">
                        <pic:nvPicPr>
                          <pic:cNvPr id="700" name="AutoShape_2_SpCnt_18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01" name="AutoShape_1_SpCnt_206"/>
                  <wp:cNvGraphicFramePr/>
                  <a:graphic xmlns:a="http://schemas.openxmlformats.org/drawingml/2006/main">
                    <a:graphicData uri="http://schemas.openxmlformats.org/drawingml/2006/picture">
                      <pic:pic xmlns:pic="http://schemas.openxmlformats.org/drawingml/2006/picture">
                        <pic:nvPicPr>
                          <pic:cNvPr id="701" name="AutoShape_1_SpCnt_20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02" name="AutoShape_2_SpCnt_189"/>
                  <wp:cNvGraphicFramePr/>
                  <a:graphic xmlns:a="http://schemas.openxmlformats.org/drawingml/2006/main">
                    <a:graphicData uri="http://schemas.openxmlformats.org/drawingml/2006/picture">
                      <pic:pic xmlns:pic="http://schemas.openxmlformats.org/drawingml/2006/picture">
                        <pic:nvPicPr>
                          <pic:cNvPr id="702" name="AutoShape_2_SpCnt_18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03" name="AutoShape_1_SpCnt_207"/>
                  <wp:cNvGraphicFramePr/>
                  <a:graphic xmlns:a="http://schemas.openxmlformats.org/drawingml/2006/main">
                    <a:graphicData uri="http://schemas.openxmlformats.org/drawingml/2006/picture">
                      <pic:pic xmlns:pic="http://schemas.openxmlformats.org/drawingml/2006/picture">
                        <pic:nvPicPr>
                          <pic:cNvPr id="703" name="AutoShape_1_SpCnt_20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04" name="AutoShape_2_SpCnt_190"/>
                  <wp:cNvGraphicFramePr/>
                  <a:graphic xmlns:a="http://schemas.openxmlformats.org/drawingml/2006/main">
                    <a:graphicData uri="http://schemas.openxmlformats.org/drawingml/2006/picture">
                      <pic:pic xmlns:pic="http://schemas.openxmlformats.org/drawingml/2006/picture">
                        <pic:nvPicPr>
                          <pic:cNvPr id="704" name="AutoShape_2_SpCnt_19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05" name="AutoShape_1_SpCnt_208"/>
                  <wp:cNvGraphicFramePr/>
                  <a:graphic xmlns:a="http://schemas.openxmlformats.org/drawingml/2006/main">
                    <a:graphicData uri="http://schemas.openxmlformats.org/drawingml/2006/picture">
                      <pic:pic xmlns:pic="http://schemas.openxmlformats.org/drawingml/2006/picture">
                        <pic:nvPicPr>
                          <pic:cNvPr id="705" name="AutoShape_1_SpCnt_20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06" name="AutoShape_1_SpCnt_209"/>
                  <wp:cNvGraphicFramePr/>
                  <a:graphic xmlns:a="http://schemas.openxmlformats.org/drawingml/2006/main">
                    <a:graphicData uri="http://schemas.openxmlformats.org/drawingml/2006/picture">
                      <pic:pic xmlns:pic="http://schemas.openxmlformats.org/drawingml/2006/picture">
                        <pic:nvPicPr>
                          <pic:cNvPr id="706" name="AutoShape_1_SpCnt_20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07" name="AutoShape_2_SpCnt_191"/>
                  <wp:cNvGraphicFramePr/>
                  <a:graphic xmlns:a="http://schemas.openxmlformats.org/drawingml/2006/main">
                    <a:graphicData uri="http://schemas.openxmlformats.org/drawingml/2006/picture">
                      <pic:pic xmlns:pic="http://schemas.openxmlformats.org/drawingml/2006/picture">
                        <pic:nvPicPr>
                          <pic:cNvPr id="707" name="AutoShape_2_SpCnt_19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08" name="AutoShape_1_SpCnt_210"/>
                  <wp:cNvGraphicFramePr/>
                  <a:graphic xmlns:a="http://schemas.openxmlformats.org/drawingml/2006/main">
                    <a:graphicData uri="http://schemas.openxmlformats.org/drawingml/2006/picture">
                      <pic:pic xmlns:pic="http://schemas.openxmlformats.org/drawingml/2006/picture">
                        <pic:nvPicPr>
                          <pic:cNvPr id="708" name="AutoShape_1_SpCnt_21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09" name="AutoShape_2_SpCnt_192"/>
                  <wp:cNvGraphicFramePr/>
                  <a:graphic xmlns:a="http://schemas.openxmlformats.org/drawingml/2006/main">
                    <a:graphicData uri="http://schemas.openxmlformats.org/drawingml/2006/picture">
                      <pic:pic xmlns:pic="http://schemas.openxmlformats.org/drawingml/2006/picture">
                        <pic:nvPicPr>
                          <pic:cNvPr id="709" name="AutoShape_2_SpCnt_19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10" name="AutoShape_1_SpCnt_211"/>
                  <wp:cNvGraphicFramePr/>
                  <a:graphic xmlns:a="http://schemas.openxmlformats.org/drawingml/2006/main">
                    <a:graphicData uri="http://schemas.openxmlformats.org/drawingml/2006/picture">
                      <pic:pic xmlns:pic="http://schemas.openxmlformats.org/drawingml/2006/picture">
                        <pic:nvPicPr>
                          <pic:cNvPr id="710" name="AutoShape_1_SpCnt_21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11" name="AutoShape_2_SpCnt_193"/>
                  <wp:cNvGraphicFramePr/>
                  <a:graphic xmlns:a="http://schemas.openxmlformats.org/drawingml/2006/main">
                    <a:graphicData uri="http://schemas.openxmlformats.org/drawingml/2006/picture">
                      <pic:pic xmlns:pic="http://schemas.openxmlformats.org/drawingml/2006/picture">
                        <pic:nvPicPr>
                          <pic:cNvPr id="711" name="AutoShape_2_SpCnt_19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12" name="AutoShape_1_SpCnt_212"/>
                  <wp:cNvGraphicFramePr/>
                  <a:graphic xmlns:a="http://schemas.openxmlformats.org/drawingml/2006/main">
                    <a:graphicData uri="http://schemas.openxmlformats.org/drawingml/2006/picture">
                      <pic:pic xmlns:pic="http://schemas.openxmlformats.org/drawingml/2006/picture">
                        <pic:nvPicPr>
                          <pic:cNvPr id="712" name="AutoShape_1_SpCnt_21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13" name="AutoShape_2_SpCnt_194"/>
                  <wp:cNvGraphicFramePr/>
                  <a:graphic xmlns:a="http://schemas.openxmlformats.org/drawingml/2006/main">
                    <a:graphicData uri="http://schemas.openxmlformats.org/drawingml/2006/picture">
                      <pic:pic xmlns:pic="http://schemas.openxmlformats.org/drawingml/2006/picture">
                        <pic:nvPicPr>
                          <pic:cNvPr id="713" name="AutoShape_2_SpCnt_19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14" name="AutoShape_1_SpCnt_213"/>
                  <wp:cNvGraphicFramePr/>
                  <a:graphic xmlns:a="http://schemas.openxmlformats.org/drawingml/2006/main">
                    <a:graphicData uri="http://schemas.openxmlformats.org/drawingml/2006/picture">
                      <pic:pic xmlns:pic="http://schemas.openxmlformats.org/drawingml/2006/picture">
                        <pic:nvPicPr>
                          <pic:cNvPr id="714" name="AutoShape_1_SpCnt_21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15" name="AutoShape_2_SpCnt_195"/>
                  <wp:cNvGraphicFramePr/>
                  <a:graphic xmlns:a="http://schemas.openxmlformats.org/drawingml/2006/main">
                    <a:graphicData uri="http://schemas.openxmlformats.org/drawingml/2006/picture">
                      <pic:pic xmlns:pic="http://schemas.openxmlformats.org/drawingml/2006/picture">
                        <pic:nvPicPr>
                          <pic:cNvPr id="715" name="AutoShape_2_SpCnt_19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16" name="AutoShape_1_SpCnt_214"/>
                  <wp:cNvGraphicFramePr/>
                  <a:graphic xmlns:a="http://schemas.openxmlformats.org/drawingml/2006/main">
                    <a:graphicData uri="http://schemas.openxmlformats.org/drawingml/2006/picture">
                      <pic:pic xmlns:pic="http://schemas.openxmlformats.org/drawingml/2006/picture">
                        <pic:nvPicPr>
                          <pic:cNvPr id="716" name="AutoShape_1_SpCnt_21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17" name="AutoShape_2_SpCnt_196"/>
                  <wp:cNvGraphicFramePr/>
                  <a:graphic xmlns:a="http://schemas.openxmlformats.org/drawingml/2006/main">
                    <a:graphicData uri="http://schemas.openxmlformats.org/drawingml/2006/picture">
                      <pic:pic xmlns:pic="http://schemas.openxmlformats.org/drawingml/2006/picture">
                        <pic:nvPicPr>
                          <pic:cNvPr id="717" name="AutoShape_2_SpCnt_19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18" name="AutoShape_1_SpCnt_215"/>
                  <wp:cNvGraphicFramePr/>
                  <a:graphic xmlns:a="http://schemas.openxmlformats.org/drawingml/2006/main">
                    <a:graphicData uri="http://schemas.openxmlformats.org/drawingml/2006/picture">
                      <pic:pic xmlns:pic="http://schemas.openxmlformats.org/drawingml/2006/picture">
                        <pic:nvPicPr>
                          <pic:cNvPr id="718" name="AutoShape_1_SpCnt_21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19" name="AutoShape_2_SpCnt_197"/>
                  <wp:cNvGraphicFramePr/>
                  <a:graphic xmlns:a="http://schemas.openxmlformats.org/drawingml/2006/main">
                    <a:graphicData uri="http://schemas.openxmlformats.org/drawingml/2006/picture">
                      <pic:pic xmlns:pic="http://schemas.openxmlformats.org/drawingml/2006/picture">
                        <pic:nvPicPr>
                          <pic:cNvPr id="719" name="AutoShape_2_SpCnt_19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20" name="AutoShape_1_SpCnt_216"/>
                  <wp:cNvGraphicFramePr/>
                  <a:graphic xmlns:a="http://schemas.openxmlformats.org/drawingml/2006/main">
                    <a:graphicData uri="http://schemas.openxmlformats.org/drawingml/2006/picture">
                      <pic:pic xmlns:pic="http://schemas.openxmlformats.org/drawingml/2006/picture">
                        <pic:nvPicPr>
                          <pic:cNvPr id="720" name="AutoShape_1_SpCnt_21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21" name="AutoShape_2_SpCnt_198"/>
                  <wp:cNvGraphicFramePr/>
                  <a:graphic xmlns:a="http://schemas.openxmlformats.org/drawingml/2006/main">
                    <a:graphicData uri="http://schemas.openxmlformats.org/drawingml/2006/picture">
                      <pic:pic xmlns:pic="http://schemas.openxmlformats.org/drawingml/2006/picture">
                        <pic:nvPicPr>
                          <pic:cNvPr id="721" name="AutoShape_2_SpCnt_19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22" name="AutoShape_1_SpCnt_217"/>
                  <wp:cNvGraphicFramePr/>
                  <a:graphic xmlns:a="http://schemas.openxmlformats.org/drawingml/2006/main">
                    <a:graphicData uri="http://schemas.openxmlformats.org/drawingml/2006/picture">
                      <pic:pic xmlns:pic="http://schemas.openxmlformats.org/drawingml/2006/picture">
                        <pic:nvPicPr>
                          <pic:cNvPr id="722" name="AutoShape_1_SpCnt_21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23" name="AutoShape_2_SpCnt_199"/>
                  <wp:cNvGraphicFramePr/>
                  <a:graphic xmlns:a="http://schemas.openxmlformats.org/drawingml/2006/main">
                    <a:graphicData uri="http://schemas.openxmlformats.org/drawingml/2006/picture">
                      <pic:pic xmlns:pic="http://schemas.openxmlformats.org/drawingml/2006/picture">
                        <pic:nvPicPr>
                          <pic:cNvPr id="723" name="AutoShape_2_SpCnt_19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24" name="AutoShape_1_SpCnt_218"/>
                  <wp:cNvGraphicFramePr/>
                  <a:graphic xmlns:a="http://schemas.openxmlformats.org/drawingml/2006/main">
                    <a:graphicData uri="http://schemas.openxmlformats.org/drawingml/2006/picture">
                      <pic:pic xmlns:pic="http://schemas.openxmlformats.org/drawingml/2006/picture">
                        <pic:nvPicPr>
                          <pic:cNvPr id="724" name="AutoShape_1_SpCnt_21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25" name="AutoShape_2_SpCnt_200"/>
                  <wp:cNvGraphicFramePr/>
                  <a:graphic xmlns:a="http://schemas.openxmlformats.org/drawingml/2006/main">
                    <a:graphicData uri="http://schemas.openxmlformats.org/drawingml/2006/picture">
                      <pic:pic xmlns:pic="http://schemas.openxmlformats.org/drawingml/2006/picture">
                        <pic:nvPicPr>
                          <pic:cNvPr id="725" name="AutoShape_2_SpCnt_20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26" name="AutoShape_1_SpCnt_219"/>
                  <wp:cNvGraphicFramePr/>
                  <a:graphic xmlns:a="http://schemas.openxmlformats.org/drawingml/2006/main">
                    <a:graphicData uri="http://schemas.openxmlformats.org/drawingml/2006/picture">
                      <pic:pic xmlns:pic="http://schemas.openxmlformats.org/drawingml/2006/picture">
                        <pic:nvPicPr>
                          <pic:cNvPr id="726" name="AutoShape_1_SpCnt_21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27" name="AutoShape_2_SpCnt_201"/>
                  <wp:cNvGraphicFramePr/>
                  <a:graphic xmlns:a="http://schemas.openxmlformats.org/drawingml/2006/main">
                    <a:graphicData uri="http://schemas.openxmlformats.org/drawingml/2006/picture">
                      <pic:pic xmlns:pic="http://schemas.openxmlformats.org/drawingml/2006/picture">
                        <pic:nvPicPr>
                          <pic:cNvPr id="727" name="AutoShape_2_SpCnt_20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28" name="AutoShape_1_SpCnt_220"/>
                  <wp:cNvGraphicFramePr/>
                  <a:graphic xmlns:a="http://schemas.openxmlformats.org/drawingml/2006/main">
                    <a:graphicData uri="http://schemas.openxmlformats.org/drawingml/2006/picture">
                      <pic:pic xmlns:pic="http://schemas.openxmlformats.org/drawingml/2006/picture">
                        <pic:nvPicPr>
                          <pic:cNvPr id="728" name="AutoShape_1_SpCnt_22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29" name="AutoShape_2_SpCnt_202"/>
                  <wp:cNvGraphicFramePr/>
                  <a:graphic xmlns:a="http://schemas.openxmlformats.org/drawingml/2006/main">
                    <a:graphicData uri="http://schemas.openxmlformats.org/drawingml/2006/picture">
                      <pic:pic xmlns:pic="http://schemas.openxmlformats.org/drawingml/2006/picture">
                        <pic:nvPicPr>
                          <pic:cNvPr id="729" name="AutoShape_2_SpCnt_20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30" name="AutoShape_1_SpCnt_221"/>
                  <wp:cNvGraphicFramePr/>
                  <a:graphic xmlns:a="http://schemas.openxmlformats.org/drawingml/2006/main">
                    <a:graphicData uri="http://schemas.openxmlformats.org/drawingml/2006/picture">
                      <pic:pic xmlns:pic="http://schemas.openxmlformats.org/drawingml/2006/picture">
                        <pic:nvPicPr>
                          <pic:cNvPr id="730" name="AutoShape_1_SpCnt_22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31" name="AutoShape_2_SpCnt_203"/>
                  <wp:cNvGraphicFramePr/>
                  <a:graphic xmlns:a="http://schemas.openxmlformats.org/drawingml/2006/main">
                    <a:graphicData uri="http://schemas.openxmlformats.org/drawingml/2006/picture">
                      <pic:pic xmlns:pic="http://schemas.openxmlformats.org/drawingml/2006/picture">
                        <pic:nvPicPr>
                          <pic:cNvPr id="731" name="AutoShape_2_SpCnt_20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32" name="AutoShape_1_SpCnt_222"/>
                  <wp:cNvGraphicFramePr/>
                  <a:graphic xmlns:a="http://schemas.openxmlformats.org/drawingml/2006/main">
                    <a:graphicData uri="http://schemas.openxmlformats.org/drawingml/2006/picture">
                      <pic:pic xmlns:pic="http://schemas.openxmlformats.org/drawingml/2006/picture">
                        <pic:nvPicPr>
                          <pic:cNvPr id="732" name="AutoShape_1_SpCnt_22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33" name="AutoShape_2_SpCnt_204"/>
                  <wp:cNvGraphicFramePr/>
                  <a:graphic xmlns:a="http://schemas.openxmlformats.org/drawingml/2006/main">
                    <a:graphicData uri="http://schemas.openxmlformats.org/drawingml/2006/picture">
                      <pic:pic xmlns:pic="http://schemas.openxmlformats.org/drawingml/2006/picture">
                        <pic:nvPicPr>
                          <pic:cNvPr id="733" name="AutoShape_2_SpCnt_20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34" name="AutoShape_1_SpCnt_223"/>
                  <wp:cNvGraphicFramePr/>
                  <a:graphic xmlns:a="http://schemas.openxmlformats.org/drawingml/2006/main">
                    <a:graphicData uri="http://schemas.openxmlformats.org/drawingml/2006/picture">
                      <pic:pic xmlns:pic="http://schemas.openxmlformats.org/drawingml/2006/picture">
                        <pic:nvPicPr>
                          <pic:cNvPr id="734" name="AutoShape_1_SpCnt_22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22" name="AutoShape_2_SpCnt_205"/>
                  <wp:cNvGraphicFramePr/>
                  <a:graphic xmlns:a="http://schemas.openxmlformats.org/drawingml/2006/main">
                    <a:graphicData uri="http://schemas.openxmlformats.org/drawingml/2006/picture">
                      <pic:pic xmlns:pic="http://schemas.openxmlformats.org/drawingml/2006/picture">
                        <pic:nvPicPr>
                          <pic:cNvPr id="922" name="AutoShape_2_SpCnt_20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23" name="AutoShape_1_SpCnt_224"/>
                  <wp:cNvGraphicFramePr/>
                  <a:graphic xmlns:a="http://schemas.openxmlformats.org/drawingml/2006/main">
                    <a:graphicData uri="http://schemas.openxmlformats.org/drawingml/2006/picture">
                      <pic:pic xmlns:pic="http://schemas.openxmlformats.org/drawingml/2006/picture">
                        <pic:nvPicPr>
                          <pic:cNvPr id="923" name="AutoShape_1_SpCnt_22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24" name="AutoShape_2_SpCnt_206"/>
                  <wp:cNvGraphicFramePr/>
                  <a:graphic xmlns:a="http://schemas.openxmlformats.org/drawingml/2006/main">
                    <a:graphicData uri="http://schemas.openxmlformats.org/drawingml/2006/picture">
                      <pic:pic xmlns:pic="http://schemas.openxmlformats.org/drawingml/2006/picture">
                        <pic:nvPicPr>
                          <pic:cNvPr id="924" name="AutoShape_2_SpCnt_20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25" name="AutoShape_1_SpCnt_225"/>
                  <wp:cNvGraphicFramePr/>
                  <a:graphic xmlns:a="http://schemas.openxmlformats.org/drawingml/2006/main">
                    <a:graphicData uri="http://schemas.openxmlformats.org/drawingml/2006/picture">
                      <pic:pic xmlns:pic="http://schemas.openxmlformats.org/drawingml/2006/picture">
                        <pic:nvPicPr>
                          <pic:cNvPr id="925" name="AutoShape_1_SpCnt_22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26" name="AutoShape_2_SpCnt_207"/>
                  <wp:cNvGraphicFramePr/>
                  <a:graphic xmlns:a="http://schemas.openxmlformats.org/drawingml/2006/main">
                    <a:graphicData uri="http://schemas.openxmlformats.org/drawingml/2006/picture">
                      <pic:pic xmlns:pic="http://schemas.openxmlformats.org/drawingml/2006/picture">
                        <pic:nvPicPr>
                          <pic:cNvPr id="926" name="AutoShape_2_SpCnt_20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27" name="AutoShape_1_SpCnt_226"/>
                  <wp:cNvGraphicFramePr/>
                  <a:graphic xmlns:a="http://schemas.openxmlformats.org/drawingml/2006/main">
                    <a:graphicData uri="http://schemas.openxmlformats.org/drawingml/2006/picture">
                      <pic:pic xmlns:pic="http://schemas.openxmlformats.org/drawingml/2006/picture">
                        <pic:nvPicPr>
                          <pic:cNvPr id="927" name="AutoShape_1_SpCnt_22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28" name="AutoShape_1_SpCnt_227"/>
                  <wp:cNvGraphicFramePr/>
                  <a:graphic xmlns:a="http://schemas.openxmlformats.org/drawingml/2006/main">
                    <a:graphicData uri="http://schemas.openxmlformats.org/drawingml/2006/picture">
                      <pic:pic xmlns:pic="http://schemas.openxmlformats.org/drawingml/2006/picture">
                        <pic:nvPicPr>
                          <pic:cNvPr id="928" name="AutoShape_1_SpCnt_22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29" name="AutoShape_2_SpCnt_208"/>
                  <wp:cNvGraphicFramePr/>
                  <a:graphic xmlns:a="http://schemas.openxmlformats.org/drawingml/2006/main">
                    <a:graphicData uri="http://schemas.openxmlformats.org/drawingml/2006/picture">
                      <pic:pic xmlns:pic="http://schemas.openxmlformats.org/drawingml/2006/picture">
                        <pic:nvPicPr>
                          <pic:cNvPr id="929" name="AutoShape_2_SpCnt_20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30" name="AutoShape_1_SpCnt_228"/>
                  <wp:cNvGraphicFramePr/>
                  <a:graphic xmlns:a="http://schemas.openxmlformats.org/drawingml/2006/main">
                    <a:graphicData uri="http://schemas.openxmlformats.org/drawingml/2006/picture">
                      <pic:pic xmlns:pic="http://schemas.openxmlformats.org/drawingml/2006/picture">
                        <pic:nvPicPr>
                          <pic:cNvPr id="930" name="AutoShape_1_SpCnt_22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31" name="AutoShape_2_SpCnt_209"/>
                  <wp:cNvGraphicFramePr/>
                  <a:graphic xmlns:a="http://schemas.openxmlformats.org/drawingml/2006/main">
                    <a:graphicData uri="http://schemas.openxmlformats.org/drawingml/2006/picture">
                      <pic:pic xmlns:pic="http://schemas.openxmlformats.org/drawingml/2006/picture">
                        <pic:nvPicPr>
                          <pic:cNvPr id="931" name="AutoShape_2_SpCnt_20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32" name="AutoShape_1_SpCnt_229"/>
                  <wp:cNvGraphicFramePr/>
                  <a:graphic xmlns:a="http://schemas.openxmlformats.org/drawingml/2006/main">
                    <a:graphicData uri="http://schemas.openxmlformats.org/drawingml/2006/picture">
                      <pic:pic xmlns:pic="http://schemas.openxmlformats.org/drawingml/2006/picture">
                        <pic:nvPicPr>
                          <pic:cNvPr id="932" name="AutoShape_1_SpCnt_22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33" name="AutoShape_2_SpCnt_210"/>
                  <wp:cNvGraphicFramePr/>
                  <a:graphic xmlns:a="http://schemas.openxmlformats.org/drawingml/2006/main">
                    <a:graphicData uri="http://schemas.openxmlformats.org/drawingml/2006/picture">
                      <pic:pic xmlns:pic="http://schemas.openxmlformats.org/drawingml/2006/picture">
                        <pic:nvPicPr>
                          <pic:cNvPr id="933" name="AutoShape_2_SpCnt_21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34" name="AutoShape_1_SpCnt_230"/>
                  <wp:cNvGraphicFramePr/>
                  <a:graphic xmlns:a="http://schemas.openxmlformats.org/drawingml/2006/main">
                    <a:graphicData uri="http://schemas.openxmlformats.org/drawingml/2006/picture">
                      <pic:pic xmlns:pic="http://schemas.openxmlformats.org/drawingml/2006/picture">
                        <pic:nvPicPr>
                          <pic:cNvPr id="934" name="AutoShape_1_SpCnt_23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35" name="AutoShape_2_SpCnt_211"/>
                  <wp:cNvGraphicFramePr/>
                  <a:graphic xmlns:a="http://schemas.openxmlformats.org/drawingml/2006/main">
                    <a:graphicData uri="http://schemas.openxmlformats.org/drawingml/2006/picture">
                      <pic:pic xmlns:pic="http://schemas.openxmlformats.org/drawingml/2006/picture">
                        <pic:nvPicPr>
                          <pic:cNvPr id="935" name="AutoShape_2_SpCnt_21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36" name="AutoShape_1_SpCnt_231"/>
                  <wp:cNvGraphicFramePr/>
                  <a:graphic xmlns:a="http://schemas.openxmlformats.org/drawingml/2006/main">
                    <a:graphicData uri="http://schemas.openxmlformats.org/drawingml/2006/picture">
                      <pic:pic xmlns:pic="http://schemas.openxmlformats.org/drawingml/2006/picture">
                        <pic:nvPicPr>
                          <pic:cNvPr id="936" name="AutoShape_1_SpCnt_23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37" name="AutoShape_2_SpCnt_212"/>
                  <wp:cNvGraphicFramePr/>
                  <a:graphic xmlns:a="http://schemas.openxmlformats.org/drawingml/2006/main">
                    <a:graphicData uri="http://schemas.openxmlformats.org/drawingml/2006/picture">
                      <pic:pic xmlns:pic="http://schemas.openxmlformats.org/drawingml/2006/picture">
                        <pic:nvPicPr>
                          <pic:cNvPr id="937" name="AutoShape_2_SpCnt_21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38" name="AutoShape_1_SpCnt_232"/>
                  <wp:cNvGraphicFramePr/>
                  <a:graphic xmlns:a="http://schemas.openxmlformats.org/drawingml/2006/main">
                    <a:graphicData uri="http://schemas.openxmlformats.org/drawingml/2006/picture">
                      <pic:pic xmlns:pic="http://schemas.openxmlformats.org/drawingml/2006/picture">
                        <pic:nvPicPr>
                          <pic:cNvPr id="938" name="AutoShape_1_SpCnt_23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39" name="AutoShape_1_SpCnt_233"/>
                  <wp:cNvGraphicFramePr/>
                  <a:graphic xmlns:a="http://schemas.openxmlformats.org/drawingml/2006/main">
                    <a:graphicData uri="http://schemas.openxmlformats.org/drawingml/2006/picture">
                      <pic:pic xmlns:pic="http://schemas.openxmlformats.org/drawingml/2006/picture">
                        <pic:nvPicPr>
                          <pic:cNvPr id="939" name="AutoShape_1_SpCnt_23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40" name="AutoShape_2_SpCnt_213"/>
                  <wp:cNvGraphicFramePr/>
                  <a:graphic xmlns:a="http://schemas.openxmlformats.org/drawingml/2006/main">
                    <a:graphicData uri="http://schemas.openxmlformats.org/drawingml/2006/picture">
                      <pic:pic xmlns:pic="http://schemas.openxmlformats.org/drawingml/2006/picture">
                        <pic:nvPicPr>
                          <pic:cNvPr id="940" name="AutoShape_2_SpCnt_21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41" name="AutoShape_1_SpCnt_234"/>
                  <wp:cNvGraphicFramePr/>
                  <a:graphic xmlns:a="http://schemas.openxmlformats.org/drawingml/2006/main">
                    <a:graphicData uri="http://schemas.openxmlformats.org/drawingml/2006/picture">
                      <pic:pic xmlns:pic="http://schemas.openxmlformats.org/drawingml/2006/picture">
                        <pic:nvPicPr>
                          <pic:cNvPr id="941" name="AutoShape_1_SpCnt_23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42" name="AutoShape_2_SpCnt_214"/>
                  <wp:cNvGraphicFramePr/>
                  <a:graphic xmlns:a="http://schemas.openxmlformats.org/drawingml/2006/main">
                    <a:graphicData uri="http://schemas.openxmlformats.org/drawingml/2006/picture">
                      <pic:pic xmlns:pic="http://schemas.openxmlformats.org/drawingml/2006/picture">
                        <pic:nvPicPr>
                          <pic:cNvPr id="942" name="AutoShape_2_SpCnt_21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43" name="AutoShape_1_SpCnt_235"/>
                  <wp:cNvGraphicFramePr/>
                  <a:graphic xmlns:a="http://schemas.openxmlformats.org/drawingml/2006/main">
                    <a:graphicData uri="http://schemas.openxmlformats.org/drawingml/2006/picture">
                      <pic:pic xmlns:pic="http://schemas.openxmlformats.org/drawingml/2006/picture">
                        <pic:nvPicPr>
                          <pic:cNvPr id="943" name="AutoShape_1_SpCnt_23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44" name="AutoShape_2_SpCnt_215"/>
                  <wp:cNvGraphicFramePr/>
                  <a:graphic xmlns:a="http://schemas.openxmlformats.org/drawingml/2006/main">
                    <a:graphicData uri="http://schemas.openxmlformats.org/drawingml/2006/picture">
                      <pic:pic xmlns:pic="http://schemas.openxmlformats.org/drawingml/2006/picture">
                        <pic:nvPicPr>
                          <pic:cNvPr id="944" name="AutoShape_2_SpCnt_21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45" name="AutoShape_1_SpCnt_236"/>
                  <wp:cNvGraphicFramePr/>
                  <a:graphic xmlns:a="http://schemas.openxmlformats.org/drawingml/2006/main">
                    <a:graphicData uri="http://schemas.openxmlformats.org/drawingml/2006/picture">
                      <pic:pic xmlns:pic="http://schemas.openxmlformats.org/drawingml/2006/picture">
                        <pic:nvPicPr>
                          <pic:cNvPr id="945" name="AutoShape_1_SpCnt_23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46" name="AutoShape_2_SpCnt_216"/>
                  <wp:cNvGraphicFramePr/>
                  <a:graphic xmlns:a="http://schemas.openxmlformats.org/drawingml/2006/main">
                    <a:graphicData uri="http://schemas.openxmlformats.org/drawingml/2006/picture">
                      <pic:pic xmlns:pic="http://schemas.openxmlformats.org/drawingml/2006/picture">
                        <pic:nvPicPr>
                          <pic:cNvPr id="946" name="AutoShape_2_SpCnt_21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47" name="AutoShape_1_SpCnt_237"/>
                  <wp:cNvGraphicFramePr/>
                  <a:graphic xmlns:a="http://schemas.openxmlformats.org/drawingml/2006/main">
                    <a:graphicData uri="http://schemas.openxmlformats.org/drawingml/2006/picture">
                      <pic:pic xmlns:pic="http://schemas.openxmlformats.org/drawingml/2006/picture">
                        <pic:nvPicPr>
                          <pic:cNvPr id="947" name="AutoShape_1_SpCnt_23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48" name="AutoShape_2_SpCnt_217"/>
                  <wp:cNvGraphicFramePr/>
                  <a:graphic xmlns:a="http://schemas.openxmlformats.org/drawingml/2006/main">
                    <a:graphicData uri="http://schemas.openxmlformats.org/drawingml/2006/picture">
                      <pic:pic xmlns:pic="http://schemas.openxmlformats.org/drawingml/2006/picture">
                        <pic:nvPicPr>
                          <pic:cNvPr id="948" name="AutoShape_2_SpCnt_21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49" name="AutoShape_1_SpCnt_238"/>
                  <wp:cNvGraphicFramePr/>
                  <a:graphic xmlns:a="http://schemas.openxmlformats.org/drawingml/2006/main">
                    <a:graphicData uri="http://schemas.openxmlformats.org/drawingml/2006/picture">
                      <pic:pic xmlns:pic="http://schemas.openxmlformats.org/drawingml/2006/picture">
                        <pic:nvPicPr>
                          <pic:cNvPr id="949" name="AutoShape_1_SpCnt_23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50" name="AutoShape_2_SpCnt_218"/>
                  <wp:cNvGraphicFramePr/>
                  <a:graphic xmlns:a="http://schemas.openxmlformats.org/drawingml/2006/main">
                    <a:graphicData uri="http://schemas.openxmlformats.org/drawingml/2006/picture">
                      <pic:pic xmlns:pic="http://schemas.openxmlformats.org/drawingml/2006/picture">
                        <pic:nvPicPr>
                          <pic:cNvPr id="950" name="AutoShape_2_SpCnt_21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51" name="AutoShape_1_SpCnt_239"/>
                  <wp:cNvGraphicFramePr/>
                  <a:graphic xmlns:a="http://schemas.openxmlformats.org/drawingml/2006/main">
                    <a:graphicData uri="http://schemas.openxmlformats.org/drawingml/2006/picture">
                      <pic:pic xmlns:pic="http://schemas.openxmlformats.org/drawingml/2006/picture">
                        <pic:nvPicPr>
                          <pic:cNvPr id="951" name="AutoShape_1_SpCnt_23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52" name="AutoShape_2_SpCnt_219"/>
                  <wp:cNvGraphicFramePr/>
                  <a:graphic xmlns:a="http://schemas.openxmlformats.org/drawingml/2006/main">
                    <a:graphicData uri="http://schemas.openxmlformats.org/drawingml/2006/picture">
                      <pic:pic xmlns:pic="http://schemas.openxmlformats.org/drawingml/2006/picture">
                        <pic:nvPicPr>
                          <pic:cNvPr id="952" name="AutoShape_2_SpCnt_21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53" name="AutoShape_1_SpCnt_240"/>
                  <wp:cNvGraphicFramePr/>
                  <a:graphic xmlns:a="http://schemas.openxmlformats.org/drawingml/2006/main">
                    <a:graphicData uri="http://schemas.openxmlformats.org/drawingml/2006/picture">
                      <pic:pic xmlns:pic="http://schemas.openxmlformats.org/drawingml/2006/picture">
                        <pic:nvPicPr>
                          <pic:cNvPr id="953" name="AutoShape_1_SpCnt_24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54" name="AutoShape_2_SpCnt_220"/>
                  <wp:cNvGraphicFramePr/>
                  <a:graphic xmlns:a="http://schemas.openxmlformats.org/drawingml/2006/main">
                    <a:graphicData uri="http://schemas.openxmlformats.org/drawingml/2006/picture">
                      <pic:pic xmlns:pic="http://schemas.openxmlformats.org/drawingml/2006/picture">
                        <pic:nvPicPr>
                          <pic:cNvPr id="954" name="AutoShape_2_SpCnt_22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55" name="AutoShape_1_SpCnt_241"/>
                  <wp:cNvGraphicFramePr/>
                  <a:graphic xmlns:a="http://schemas.openxmlformats.org/drawingml/2006/main">
                    <a:graphicData uri="http://schemas.openxmlformats.org/drawingml/2006/picture">
                      <pic:pic xmlns:pic="http://schemas.openxmlformats.org/drawingml/2006/picture">
                        <pic:nvPicPr>
                          <pic:cNvPr id="955" name="AutoShape_1_SpCnt_24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56" name="AutoShape_2_SpCnt_221"/>
                  <wp:cNvGraphicFramePr/>
                  <a:graphic xmlns:a="http://schemas.openxmlformats.org/drawingml/2006/main">
                    <a:graphicData uri="http://schemas.openxmlformats.org/drawingml/2006/picture">
                      <pic:pic xmlns:pic="http://schemas.openxmlformats.org/drawingml/2006/picture">
                        <pic:nvPicPr>
                          <pic:cNvPr id="956" name="AutoShape_2_SpCnt_22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57" name="AutoShape_1_SpCnt_242"/>
                  <wp:cNvGraphicFramePr/>
                  <a:graphic xmlns:a="http://schemas.openxmlformats.org/drawingml/2006/main">
                    <a:graphicData uri="http://schemas.openxmlformats.org/drawingml/2006/picture">
                      <pic:pic xmlns:pic="http://schemas.openxmlformats.org/drawingml/2006/picture">
                        <pic:nvPicPr>
                          <pic:cNvPr id="957" name="AutoShape_1_SpCnt_24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58" name="AutoShape_2_SpCnt_222"/>
                  <wp:cNvGraphicFramePr/>
                  <a:graphic xmlns:a="http://schemas.openxmlformats.org/drawingml/2006/main">
                    <a:graphicData uri="http://schemas.openxmlformats.org/drawingml/2006/picture">
                      <pic:pic xmlns:pic="http://schemas.openxmlformats.org/drawingml/2006/picture">
                        <pic:nvPicPr>
                          <pic:cNvPr id="958" name="AutoShape_2_SpCnt_22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59" name="AutoShape_1_SpCnt_243"/>
                  <wp:cNvGraphicFramePr/>
                  <a:graphic xmlns:a="http://schemas.openxmlformats.org/drawingml/2006/main">
                    <a:graphicData uri="http://schemas.openxmlformats.org/drawingml/2006/picture">
                      <pic:pic xmlns:pic="http://schemas.openxmlformats.org/drawingml/2006/picture">
                        <pic:nvPicPr>
                          <pic:cNvPr id="959" name="AutoShape_1_SpCnt_24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60" name="AutoShape_2_SpCnt_223"/>
                  <wp:cNvGraphicFramePr/>
                  <a:graphic xmlns:a="http://schemas.openxmlformats.org/drawingml/2006/main">
                    <a:graphicData uri="http://schemas.openxmlformats.org/drawingml/2006/picture">
                      <pic:pic xmlns:pic="http://schemas.openxmlformats.org/drawingml/2006/picture">
                        <pic:nvPicPr>
                          <pic:cNvPr id="960" name="AutoShape_2_SpCnt_22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61" name="AutoShape_1_SpCnt_244"/>
                  <wp:cNvGraphicFramePr/>
                  <a:graphic xmlns:a="http://schemas.openxmlformats.org/drawingml/2006/main">
                    <a:graphicData uri="http://schemas.openxmlformats.org/drawingml/2006/picture">
                      <pic:pic xmlns:pic="http://schemas.openxmlformats.org/drawingml/2006/picture">
                        <pic:nvPicPr>
                          <pic:cNvPr id="961" name="AutoShape_1_SpCnt_24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62" name="AutoShape_2_SpCnt_224"/>
                  <wp:cNvGraphicFramePr/>
                  <a:graphic xmlns:a="http://schemas.openxmlformats.org/drawingml/2006/main">
                    <a:graphicData uri="http://schemas.openxmlformats.org/drawingml/2006/picture">
                      <pic:pic xmlns:pic="http://schemas.openxmlformats.org/drawingml/2006/picture">
                        <pic:nvPicPr>
                          <pic:cNvPr id="962" name="AutoShape_2_SpCnt_22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63" name="AutoShape_1_SpCnt_245"/>
                  <wp:cNvGraphicFramePr/>
                  <a:graphic xmlns:a="http://schemas.openxmlformats.org/drawingml/2006/main">
                    <a:graphicData uri="http://schemas.openxmlformats.org/drawingml/2006/picture">
                      <pic:pic xmlns:pic="http://schemas.openxmlformats.org/drawingml/2006/picture">
                        <pic:nvPicPr>
                          <pic:cNvPr id="963" name="AutoShape_1_SpCnt_24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64" name="AutoShape_2_SpCnt_225"/>
                  <wp:cNvGraphicFramePr/>
                  <a:graphic xmlns:a="http://schemas.openxmlformats.org/drawingml/2006/main">
                    <a:graphicData uri="http://schemas.openxmlformats.org/drawingml/2006/picture">
                      <pic:pic xmlns:pic="http://schemas.openxmlformats.org/drawingml/2006/picture">
                        <pic:nvPicPr>
                          <pic:cNvPr id="964" name="AutoShape_2_SpCnt_22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65" name="AutoShape_1_SpCnt_246"/>
                  <wp:cNvGraphicFramePr/>
                  <a:graphic xmlns:a="http://schemas.openxmlformats.org/drawingml/2006/main">
                    <a:graphicData uri="http://schemas.openxmlformats.org/drawingml/2006/picture">
                      <pic:pic xmlns:pic="http://schemas.openxmlformats.org/drawingml/2006/picture">
                        <pic:nvPicPr>
                          <pic:cNvPr id="965" name="AutoShape_1_SpCnt_24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66" name="AutoShape_2_SpCnt_226"/>
                  <wp:cNvGraphicFramePr/>
                  <a:graphic xmlns:a="http://schemas.openxmlformats.org/drawingml/2006/main">
                    <a:graphicData uri="http://schemas.openxmlformats.org/drawingml/2006/picture">
                      <pic:pic xmlns:pic="http://schemas.openxmlformats.org/drawingml/2006/picture">
                        <pic:nvPicPr>
                          <pic:cNvPr id="966" name="AutoShape_2_SpCnt_22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67" name="AutoShape_1_SpCnt_247"/>
                  <wp:cNvGraphicFramePr/>
                  <a:graphic xmlns:a="http://schemas.openxmlformats.org/drawingml/2006/main">
                    <a:graphicData uri="http://schemas.openxmlformats.org/drawingml/2006/picture">
                      <pic:pic xmlns:pic="http://schemas.openxmlformats.org/drawingml/2006/picture">
                        <pic:nvPicPr>
                          <pic:cNvPr id="967" name="AutoShape_1_SpCnt_24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68" name="AutoShape_2_SpCnt_227"/>
                  <wp:cNvGraphicFramePr/>
                  <a:graphic xmlns:a="http://schemas.openxmlformats.org/drawingml/2006/main">
                    <a:graphicData uri="http://schemas.openxmlformats.org/drawingml/2006/picture">
                      <pic:pic xmlns:pic="http://schemas.openxmlformats.org/drawingml/2006/picture">
                        <pic:nvPicPr>
                          <pic:cNvPr id="968" name="AutoShape_2_SpCnt_22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69" name="AutoShape_1_SpCnt_248"/>
                  <wp:cNvGraphicFramePr/>
                  <a:graphic xmlns:a="http://schemas.openxmlformats.org/drawingml/2006/main">
                    <a:graphicData uri="http://schemas.openxmlformats.org/drawingml/2006/picture">
                      <pic:pic xmlns:pic="http://schemas.openxmlformats.org/drawingml/2006/picture">
                        <pic:nvPicPr>
                          <pic:cNvPr id="969" name="AutoShape_1_SpCnt_24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70" name="AutoShape_2_SpCnt_228"/>
                  <wp:cNvGraphicFramePr/>
                  <a:graphic xmlns:a="http://schemas.openxmlformats.org/drawingml/2006/main">
                    <a:graphicData uri="http://schemas.openxmlformats.org/drawingml/2006/picture">
                      <pic:pic xmlns:pic="http://schemas.openxmlformats.org/drawingml/2006/picture">
                        <pic:nvPicPr>
                          <pic:cNvPr id="970" name="AutoShape_2_SpCnt_22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71" name="AutoShape_1_SpCnt_249"/>
                  <wp:cNvGraphicFramePr/>
                  <a:graphic xmlns:a="http://schemas.openxmlformats.org/drawingml/2006/main">
                    <a:graphicData uri="http://schemas.openxmlformats.org/drawingml/2006/picture">
                      <pic:pic xmlns:pic="http://schemas.openxmlformats.org/drawingml/2006/picture">
                        <pic:nvPicPr>
                          <pic:cNvPr id="971" name="AutoShape_1_SpCnt_24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72" name="AutoShape_2_SpCnt_229"/>
                  <wp:cNvGraphicFramePr/>
                  <a:graphic xmlns:a="http://schemas.openxmlformats.org/drawingml/2006/main">
                    <a:graphicData uri="http://schemas.openxmlformats.org/drawingml/2006/picture">
                      <pic:pic xmlns:pic="http://schemas.openxmlformats.org/drawingml/2006/picture">
                        <pic:nvPicPr>
                          <pic:cNvPr id="972" name="AutoShape_2_SpCnt_22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73" name="AutoShape_1_SpCnt_250"/>
                  <wp:cNvGraphicFramePr/>
                  <a:graphic xmlns:a="http://schemas.openxmlformats.org/drawingml/2006/main">
                    <a:graphicData uri="http://schemas.openxmlformats.org/drawingml/2006/picture">
                      <pic:pic xmlns:pic="http://schemas.openxmlformats.org/drawingml/2006/picture">
                        <pic:nvPicPr>
                          <pic:cNvPr id="973" name="AutoShape_1_SpCnt_25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74" name="AutoShape_1_SpCnt_251"/>
                  <wp:cNvGraphicFramePr/>
                  <a:graphic xmlns:a="http://schemas.openxmlformats.org/drawingml/2006/main">
                    <a:graphicData uri="http://schemas.openxmlformats.org/drawingml/2006/picture">
                      <pic:pic xmlns:pic="http://schemas.openxmlformats.org/drawingml/2006/picture">
                        <pic:nvPicPr>
                          <pic:cNvPr id="974" name="AutoShape_1_SpCnt_25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75" name="AutoShape_2_SpCnt_230"/>
                  <wp:cNvGraphicFramePr/>
                  <a:graphic xmlns:a="http://schemas.openxmlformats.org/drawingml/2006/main">
                    <a:graphicData uri="http://schemas.openxmlformats.org/drawingml/2006/picture">
                      <pic:pic xmlns:pic="http://schemas.openxmlformats.org/drawingml/2006/picture">
                        <pic:nvPicPr>
                          <pic:cNvPr id="975" name="AutoShape_2_SpCnt_23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76" name="AutoShape_1_SpCnt_252"/>
                  <wp:cNvGraphicFramePr/>
                  <a:graphic xmlns:a="http://schemas.openxmlformats.org/drawingml/2006/main">
                    <a:graphicData uri="http://schemas.openxmlformats.org/drawingml/2006/picture">
                      <pic:pic xmlns:pic="http://schemas.openxmlformats.org/drawingml/2006/picture">
                        <pic:nvPicPr>
                          <pic:cNvPr id="976" name="AutoShape_1_SpCnt_25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77" name="AutoShape_2_SpCnt_231"/>
                  <wp:cNvGraphicFramePr/>
                  <a:graphic xmlns:a="http://schemas.openxmlformats.org/drawingml/2006/main">
                    <a:graphicData uri="http://schemas.openxmlformats.org/drawingml/2006/picture">
                      <pic:pic xmlns:pic="http://schemas.openxmlformats.org/drawingml/2006/picture">
                        <pic:nvPicPr>
                          <pic:cNvPr id="977" name="AutoShape_2_SpCnt_23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78" name="AutoShape_1_SpCnt_253"/>
                  <wp:cNvGraphicFramePr/>
                  <a:graphic xmlns:a="http://schemas.openxmlformats.org/drawingml/2006/main">
                    <a:graphicData uri="http://schemas.openxmlformats.org/drawingml/2006/picture">
                      <pic:pic xmlns:pic="http://schemas.openxmlformats.org/drawingml/2006/picture">
                        <pic:nvPicPr>
                          <pic:cNvPr id="978" name="AutoShape_1_SpCnt_25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79" name="AutoShape_2_SpCnt_232"/>
                  <wp:cNvGraphicFramePr/>
                  <a:graphic xmlns:a="http://schemas.openxmlformats.org/drawingml/2006/main">
                    <a:graphicData uri="http://schemas.openxmlformats.org/drawingml/2006/picture">
                      <pic:pic xmlns:pic="http://schemas.openxmlformats.org/drawingml/2006/picture">
                        <pic:nvPicPr>
                          <pic:cNvPr id="979" name="AutoShape_2_SpCnt_23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80" name="AutoShape_1_SpCnt_254"/>
                  <wp:cNvGraphicFramePr/>
                  <a:graphic xmlns:a="http://schemas.openxmlformats.org/drawingml/2006/main">
                    <a:graphicData uri="http://schemas.openxmlformats.org/drawingml/2006/picture">
                      <pic:pic xmlns:pic="http://schemas.openxmlformats.org/drawingml/2006/picture">
                        <pic:nvPicPr>
                          <pic:cNvPr id="980" name="AutoShape_1_SpCnt_25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81" name="AutoShape_2_SpCnt_233"/>
                  <wp:cNvGraphicFramePr/>
                  <a:graphic xmlns:a="http://schemas.openxmlformats.org/drawingml/2006/main">
                    <a:graphicData uri="http://schemas.openxmlformats.org/drawingml/2006/picture">
                      <pic:pic xmlns:pic="http://schemas.openxmlformats.org/drawingml/2006/picture">
                        <pic:nvPicPr>
                          <pic:cNvPr id="981" name="AutoShape_2_SpCnt_23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82" name="AutoShape_1_SpCnt_255"/>
                  <wp:cNvGraphicFramePr/>
                  <a:graphic xmlns:a="http://schemas.openxmlformats.org/drawingml/2006/main">
                    <a:graphicData uri="http://schemas.openxmlformats.org/drawingml/2006/picture">
                      <pic:pic xmlns:pic="http://schemas.openxmlformats.org/drawingml/2006/picture">
                        <pic:nvPicPr>
                          <pic:cNvPr id="982" name="AutoShape_1_SpCnt_25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83" name="AutoShape_2_SpCnt_234"/>
                  <wp:cNvGraphicFramePr/>
                  <a:graphic xmlns:a="http://schemas.openxmlformats.org/drawingml/2006/main">
                    <a:graphicData uri="http://schemas.openxmlformats.org/drawingml/2006/picture">
                      <pic:pic xmlns:pic="http://schemas.openxmlformats.org/drawingml/2006/picture">
                        <pic:nvPicPr>
                          <pic:cNvPr id="983" name="AutoShape_2_SpCnt_23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84" name="AutoShape_1_SpCnt_256"/>
                  <wp:cNvGraphicFramePr/>
                  <a:graphic xmlns:a="http://schemas.openxmlformats.org/drawingml/2006/main">
                    <a:graphicData uri="http://schemas.openxmlformats.org/drawingml/2006/picture">
                      <pic:pic xmlns:pic="http://schemas.openxmlformats.org/drawingml/2006/picture">
                        <pic:nvPicPr>
                          <pic:cNvPr id="984" name="AutoShape_1_SpCnt_25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85" name="AutoShape_1_SpCnt_257"/>
                  <wp:cNvGraphicFramePr/>
                  <a:graphic xmlns:a="http://schemas.openxmlformats.org/drawingml/2006/main">
                    <a:graphicData uri="http://schemas.openxmlformats.org/drawingml/2006/picture">
                      <pic:pic xmlns:pic="http://schemas.openxmlformats.org/drawingml/2006/picture">
                        <pic:nvPicPr>
                          <pic:cNvPr id="985" name="AutoShape_1_SpCnt_25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86" name="AutoShape_2_SpCnt_235"/>
                  <wp:cNvGraphicFramePr/>
                  <a:graphic xmlns:a="http://schemas.openxmlformats.org/drawingml/2006/main">
                    <a:graphicData uri="http://schemas.openxmlformats.org/drawingml/2006/picture">
                      <pic:pic xmlns:pic="http://schemas.openxmlformats.org/drawingml/2006/picture">
                        <pic:nvPicPr>
                          <pic:cNvPr id="986" name="AutoShape_2_SpCnt_23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87" name="AutoShape_1_SpCnt_258"/>
                  <wp:cNvGraphicFramePr/>
                  <a:graphic xmlns:a="http://schemas.openxmlformats.org/drawingml/2006/main">
                    <a:graphicData uri="http://schemas.openxmlformats.org/drawingml/2006/picture">
                      <pic:pic xmlns:pic="http://schemas.openxmlformats.org/drawingml/2006/picture">
                        <pic:nvPicPr>
                          <pic:cNvPr id="987" name="AutoShape_1_SpCnt_25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88" name="AutoShape_2_SpCnt_236"/>
                  <wp:cNvGraphicFramePr/>
                  <a:graphic xmlns:a="http://schemas.openxmlformats.org/drawingml/2006/main">
                    <a:graphicData uri="http://schemas.openxmlformats.org/drawingml/2006/picture">
                      <pic:pic xmlns:pic="http://schemas.openxmlformats.org/drawingml/2006/picture">
                        <pic:nvPicPr>
                          <pic:cNvPr id="988" name="AutoShape_2_SpCnt_23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89" name="AutoShape_1_SpCnt_259"/>
                  <wp:cNvGraphicFramePr/>
                  <a:graphic xmlns:a="http://schemas.openxmlformats.org/drawingml/2006/main">
                    <a:graphicData uri="http://schemas.openxmlformats.org/drawingml/2006/picture">
                      <pic:pic xmlns:pic="http://schemas.openxmlformats.org/drawingml/2006/picture">
                        <pic:nvPicPr>
                          <pic:cNvPr id="989" name="AutoShape_1_SpCnt_25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90" name="AutoShape_2_SpCnt_237"/>
                  <wp:cNvGraphicFramePr/>
                  <a:graphic xmlns:a="http://schemas.openxmlformats.org/drawingml/2006/main">
                    <a:graphicData uri="http://schemas.openxmlformats.org/drawingml/2006/picture">
                      <pic:pic xmlns:pic="http://schemas.openxmlformats.org/drawingml/2006/picture">
                        <pic:nvPicPr>
                          <pic:cNvPr id="990" name="AutoShape_2_SpCnt_23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91" name="AutoShape_1_SpCnt_260"/>
                  <wp:cNvGraphicFramePr/>
                  <a:graphic xmlns:a="http://schemas.openxmlformats.org/drawingml/2006/main">
                    <a:graphicData uri="http://schemas.openxmlformats.org/drawingml/2006/picture">
                      <pic:pic xmlns:pic="http://schemas.openxmlformats.org/drawingml/2006/picture">
                        <pic:nvPicPr>
                          <pic:cNvPr id="991" name="AutoShape_1_SpCnt_26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92" name="AutoShape_2_SpCnt_238"/>
                  <wp:cNvGraphicFramePr/>
                  <a:graphic xmlns:a="http://schemas.openxmlformats.org/drawingml/2006/main">
                    <a:graphicData uri="http://schemas.openxmlformats.org/drawingml/2006/picture">
                      <pic:pic xmlns:pic="http://schemas.openxmlformats.org/drawingml/2006/picture">
                        <pic:nvPicPr>
                          <pic:cNvPr id="992" name="AutoShape_2_SpCnt_23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93" name="AutoShape_1_SpCnt_261"/>
                  <wp:cNvGraphicFramePr/>
                  <a:graphic xmlns:a="http://schemas.openxmlformats.org/drawingml/2006/main">
                    <a:graphicData uri="http://schemas.openxmlformats.org/drawingml/2006/picture">
                      <pic:pic xmlns:pic="http://schemas.openxmlformats.org/drawingml/2006/picture">
                        <pic:nvPicPr>
                          <pic:cNvPr id="993" name="AutoShape_1_SpCnt_26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94" name="AutoShape_2_SpCnt_239"/>
                  <wp:cNvGraphicFramePr/>
                  <a:graphic xmlns:a="http://schemas.openxmlformats.org/drawingml/2006/main">
                    <a:graphicData uri="http://schemas.openxmlformats.org/drawingml/2006/picture">
                      <pic:pic xmlns:pic="http://schemas.openxmlformats.org/drawingml/2006/picture">
                        <pic:nvPicPr>
                          <pic:cNvPr id="994" name="AutoShape_2_SpCnt_23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95" name="AutoShape_1_SpCnt_262"/>
                  <wp:cNvGraphicFramePr/>
                  <a:graphic xmlns:a="http://schemas.openxmlformats.org/drawingml/2006/main">
                    <a:graphicData uri="http://schemas.openxmlformats.org/drawingml/2006/picture">
                      <pic:pic xmlns:pic="http://schemas.openxmlformats.org/drawingml/2006/picture">
                        <pic:nvPicPr>
                          <pic:cNvPr id="995" name="AutoShape_1_SpCnt_26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96" name="AutoShape_2_SpCnt_240"/>
                  <wp:cNvGraphicFramePr/>
                  <a:graphic xmlns:a="http://schemas.openxmlformats.org/drawingml/2006/main">
                    <a:graphicData uri="http://schemas.openxmlformats.org/drawingml/2006/picture">
                      <pic:pic xmlns:pic="http://schemas.openxmlformats.org/drawingml/2006/picture">
                        <pic:nvPicPr>
                          <pic:cNvPr id="996" name="AutoShape_2_SpCnt_24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97" name="AutoShape_1_SpCnt_263"/>
                  <wp:cNvGraphicFramePr/>
                  <a:graphic xmlns:a="http://schemas.openxmlformats.org/drawingml/2006/main">
                    <a:graphicData uri="http://schemas.openxmlformats.org/drawingml/2006/picture">
                      <pic:pic xmlns:pic="http://schemas.openxmlformats.org/drawingml/2006/picture">
                        <pic:nvPicPr>
                          <pic:cNvPr id="997" name="AutoShape_1_SpCnt_26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98" name="AutoShape_2_SpCnt_241"/>
                  <wp:cNvGraphicFramePr/>
                  <a:graphic xmlns:a="http://schemas.openxmlformats.org/drawingml/2006/main">
                    <a:graphicData uri="http://schemas.openxmlformats.org/drawingml/2006/picture">
                      <pic:pic xmlns:pic="http://schemas.openxmlformats.org/drawingml/2006/picture">
                        <pic:nvPicPr>
                          <pic:cNvPr id="998" name="AutoShape_2_SpCnt_24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99" name="AutoShape_1_SpCnt_264"/>
                  <wp:cNvGraphicFramePr/>
                  <a:graphic xmlns:a="http://schemas.openxmlformats.org/drawingml/2006/main">
                    <a:graphicData uri="http://schemas.openxmlformats.org/drawingml/2006/picture">
                      <pic:pic xmlns:pic="http://schemas.openxmlformats.org/drawingml/2006/picture">
                        <pic:nvPicPr>
                          <pic:cNvPr id="999" name="AutoShape_1_SpCnt_26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00" name="AutoShape_1_SpCnt_265"/>
                  <wp:cNvGraphicFramePr/>
                  <a:graphic xmlns:a="http://schemas.openxmlformats.org/drawingml/2006/main">
                    <a:graphicData uri="http://schemas.openxmlformats.org/drawingml/2006/picture">
                      <pic:pic xmlns:pic="http://schemas.openxmlformats.org/drawingml/2006/picture">
                        <pic:nvPicPr>
                          <pic:cNvPr id="1000" name="AutoShape_1_SpCnt_26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01" name="AutoShape_2_SpCnt_242"/>
                  <wp:cNvGraphicFramePr/>
                  <a:graphic xmlns:a="http://schemas.openxmlformats.org/drawingml/2006/main">
                    <a:graphicData uri="http://schemas.openxmlformats.org/drawingml/2006/picture">
                      <pic:pic xmlns:pic="http://schemas.openxmlformats.org/drawingml/2006/picture">
                        <pic:nvPicPr>
                          <pic:cNvPr id="1001" name="AutoShape_2_SpCnt_24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02" name="AutoShape_1_SpCnt_266"/>
                  <wp:cNvGraphicFramePr/>
                  <a:graphic xmlns:a="http://schemas.openxmlformats.org/drawingml/2006/main">
                    <a:graphicData uri="http://schemas.openxmlformats.org/drawingml/2006/picture">
                      <pic:pic xmlns:pic="http://schemas.openxmlformats.org/drawingml/2006/picture">
                        <pic:nvPicPr>
                          <pic:cNvPr id="1002" name="AutoShape_1_SpCnt_26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03" name="AutoShape_2_SpCnt_243"/>
                  <wp:cNvGraphicFramePr/>
                  <a:graphic xmlns:a="http://schemas.openxmlformats.org/drawingml/2006/main">
                    <a:graphicData uri="http://schemas.openxmlformats.org/drawingml/2006/picture">
                      <pic:pic xmlns:pic="http://schemas.openxmlformats.org/drawingml/2006/picture">
                        <pic:nvPicPr>
                          <pic:cNvPr id="1003" name="AutoShape_2_SpCnt_24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04" name="AutoShape_1_SpCnt_267"/>
                  <wp:cNvGraphicFramePr/>
                  <a:graphic xmlns:a="http://schemas.openxmlformats.org/drawingml/2006/main">
                    <a:graphicData uri="http://schemas.openxmlformats.org/drawingml/2006/picture">
                      <pic:pic xmlns:pic="http://schemas.openxmlformats.org/drawingml/2006/picture">
                        <pic:nvPicPr>
                          <pic:cNvPr id="1004" name="AutoShape_1_SpCnt_26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05" name="AutoShape_2_SpCnt_244"/>
                  <wp:cNvGraphicFramePr/>
                  <a:graphic xmlns:a="http://schemas.openxmlformats.org/drawingml/2006/main">
                    <a:graphicData uri="http://schemas.openxmlformats.org/drawingml/2006/picture">
                      <pic:pic xmlns:pic="http://schemas.openxmlformats.org/drawingml/2006/picture">
                        <pic:nvPicPr>
                          <pic:cNvPr id="1005" name="AutoShape_2_SpCnt_24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06" name="AutoShape_1_SpCnt_268"/>
                  <wp:cNvGraphicFramePr/>
                  <a:graphic xmlns:a="http://schemas.openxmlformats.org/drawingml/2006/main">
                    <a:graphicData uri="http://schemas.openxmlformats.org/drawingml/2006/picture">
                      <pic:pic xmlns:pic="http://schemas.openxmlformats.org/drawingml/2006/picture">
                        <pic:nvPicPr>
                          <pic:cNvPr id="1006" name="AutoShape_1_SpCnt_26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07" name="AutoShape_2_SpCnt_245"/>
                  <wp:cNvGraphicFramePr/>
                  <a:graphic xmlns:a="http://schemas.openxmlformats.org/drawingml/2006/main">
                    <a:graphicData uri="http://schemas.openxmlformats.org/drawingml/2006/picture">
                      <pic:pic xmlns:pic="http://schemas.openxmlformats.org/drawingml/2006/picture">
                        <pic:nvPicPr>
                          <pic:cNvPr id="1007" name="AutoShape_2_SpCnt_24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08" name="AutoShape_2_SpCnt_246"/>
                  <wp:cNvGraphicFramePr/>
                  <a:graphic xmlns:a="http://schemas.openxmlformats.org/drawingml/2006/main">
                    <a:graphicData uri="http://schemas.openxmlformats.org/drawingml/2006/picture">
                      <pic:pic xmlns:pic="http://schemas.openxmlformats.org/drawingml/2006/picture">
                        <pic:nvPicPr>
                          <pic:cNvPr id="1008" name="AutoShape_2_SpCnt_24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09" name="AutoShape_1_SpCnt_269"/>
                  <wp:cNvGraphicFramePr/>
                  <a:graphic xmlns:a="http://schemas.openxmlformats.org/drawingml/2006/main">
                    <a:graphicData uri="http://schemas.openxmlformats.org/drawingml/2006/picture">
                      <pic:pic xmlns:pic="http://schemas.openxmlformats.org/drawingml/2006/picture">
                        <pic:nvPicPr>
                          <pic:cNvPr id="1009" name="AutoShape_1_SpCnt_26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10" name="AutoShape_2_SpCnt_247"/>
                  <wp:cNvGraphicFramePr/>
                  <a:graphic xmlns:a="http://schemas.openxmlformats.org/drawingml/2006/main">
                    <a:graphicData uri="http://schemas.openxmlformats.org/drawingml/2006/picture">
                      <pic:pic xmlns:pic="http://schemas.openxmlformats.org/drawingml/2006/picture">
                        <pic:nvPicPr>
                          <pic:cNvPr id="1010" name="AutoShape_2_SpCnt_24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11" name="AutoShape_2_SpCnt_248"/>
                  <wp:cNvGraphicFramePr/>
                  <a:graphic xmlns:a="http://schemas.openxmlformats.org/drawingml/2006/main">
                    <a:graphicData uri="http://schemas.openxmlformats.org/drawingml/2006/picture">
                      <pic:pic xmlns:pic="http://schemas.openxmlformats.org/drawingml/2006/picture">
                        <pic:nvPicPr>
                          <pic:cNvPr id="1011" name="AutoShape_2_SpCnt_24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12" name="AutoShape_1_SpCnt_270"/>
                  <wp:cNvGraphicFramePr/>
                  <a:graphic xmlns:a="http://schemas.openxmlformats.org/drawingml/2006/main">
                    <a:graphicData uri="http://schemas.openxmlformats.org/drawingml/2006/picture">
                      <pic:pic xmlns:pic="http://schemas.openxmlformats.org/drawingml/2006/picture">
                        <pic:nvPicPr>
                          <pic:cNvPr id="1012" name="AutoShape_1_SpCnt_27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13" name="AutoShape_2_SpCnt_249"/>
                  <wp:cNvGraphicFramePr/>
                  <a:graphic xmlns:a="http://schemas.openxmlformats.org/drawingml/2006/main">
                    <a:graphicData uri="http://schemas.openxmlformats.org/drawingml/2006/picture">
                      <pic:pic xmlns:pic="http://schemas.openxmlformats.org/drawingml/2006/picture">
                        <pic:nvPicPr>
                          <pic:cNvPr id="1013" name="AutoShape_2_SpCnt_24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14" name="AutoShape_1_SpCnt_271"/>
                  <wp:cNvGraphicFramePr/>
                  <a:graphic xmlns:a="http://schemas.openxmlformats.org/drawingml/2006/main">
                    <a:graphicData uri="http://schemas.openxmlformats.org/drawingml/2006/picture">
                      <pic:pic xmlns:pic="http://schemas.openxmlformats.org/drawingml/2006/picture">
                        <pic:nvPicPr>
                          <pic:cNvPr id="1014" name="AutoShape_1_SpCnt_27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15" name="AutoShape_2_SpCnt_250"/>
                  <wp:cNvGraphicFramePr/>
                  <a:graphic xmlns:a="http://schemas.openxmlformats.org/drawingml/2006/main">
                    <a:graphicData uri="http://schemas.openxmlformats.org/drawingml/2006/picture">
                      <pic:pic xmlns:pic="http://schemas.openxmlformats.org/drawingml/2006/picture">
                        <pic:nvPicPr>
                          <pic:cNvPr id="1015" name="AutoShape_2_SpCnt_25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16" name="AutoShape_1_SpCnt_272"/>
                  <wp:cNvGraphicFramePr/>
                  <a:graphic xmlns:a="http://schemas.openxmlformats.org/drawingml/2006/main">
                    <a:graphicData uri="http://schemas.openxmlformats.org/drawingml/2006/picture">
                      <pic:pic xmlns:pic="http://schemas.openxmlformats.org/drawingml/2006/picture">
                        <pic:nvPicPr>
                          <pic:cNvPr id="1016" name="AutoShape_1_SpCnt_27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17" name="AutoShape_1_SpCnt_273"/>
                  <wp:cNvGraphicFramePr/>
                  <a:graphic xmlns:a="http://schemas.openxmlformats.org/drawingml/2006/main">
                    <a:graphicData uri="http://schemas.openxmlformats.org/drawingml/2006/picture">
                      <pic:pic xmlns:pic="http://schemas.openxmlformats.org/drawingml/2006/picture">
                        <pic:nvPicPr>
                          <pic:cNvPr id="1017" name="AutoShape_1_SpCnt_27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18" name="AutoShape_1_SpCnt_274"/>
                  <wp:cNvGraphicFramePr/>
                  <a:graphic xmlns:a="http://schemas.openxmlformats.org/drawingml/2006/main">
                    <a:graphicData uri="http://schemas.openxmlformats.org/drawingml/2006/picture">
                      <pic:pic xmlns:pic="http://schemas.openxmlformats.org/drawingml/2006/picture">
                        <pic:nvPicPr>
                          <pic:cNvPr id="1018" name="AutoShape_1_SpCnt_27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19" name="AutoShape_2_SpCnt_251"/>
                  <wp:cNvGraphicFramePr/>
                  <a:graphic xmlns:a="http://schemas.openxmlformats.org/drawingml/2006/main">
                    <a:graphicData uri="http://schemas.openxmlformats.org/drawingml/2006/picture">
                      <pic:pic xmlns:pic="http://schemas.openxmlformats.org/drawingml/2006/picture">
                        <pic:nvPicPr>
                          <pic:cNvPr id="1019" name="AutoShape_2_SpCnt_25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20" name="AutoShape_1_SpCnt_275"/>
                  <wp:cNvGraphicFramePr/>
                  <a:graphic xmlns:a="http://schemas.openxmlformats.org/drawingml/2006/main">
                    <a:graphicData uri="http://schemas.openxmlformats.org/drawingml/2006/picture">
                      <pic:pic xmlns:pic="http://schemas.openxmlformats.org/drawingml/2006/picture">
                        <pic:nvPicPr>
                          <pic:cNvPr id="1020" name="AutoShape_1_SpCnt_27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21" name="AutoShape_1_SpCnt_276"/>
                  <wp:cNvGraphicFramePr/>
                  <a:graphic xmlns:a="http://schemas.openxmlformats.org/drawingml/2006/main">
                    <a:graphicData uri="http://schemas.openxmlformats.org/drawingml/2006/picture">
                      <pic:pic xmlns:pic="http://schemas.openxmlformats.org/drawingml/2006/picture">
                        <pic:nvPicPr>
                          <pic:cNvPr id="1021" name="AutoShape_1_SpCnt_27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22" name="AutoShape_2_SpCnt_252"/>
                  <wp:cNvGraphicFramePr/>
                  <a:graphic xmlns:a="http://schemas.openxmlformats.org/drawingml/2006/main">
                    <a:graphicData uri="http://schemas.openxmlformats.org/drawingml/2006/picture">
                      <pic:pic xmlns:pic="http://schemas.openxmlformats.org/drawingml/2006/picture">
                        <pic:nvPicPr>
                          <pic:cNvPr id="1022" name="AutoShape_2_SpCnt_25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23" name="AutoShape_1_SpCnt_277"/>
                  <wp:cNvGraphicFramePr/>
                  <a:graphic xmlns:a="http://schemas.openxmlformats.org/drawingml/2006/main">
                    <a:graphicData uri="http://schemas.openxmlformats.org/drawingml/2006/picture">
                      <pic:pic xmlns:pic="http://schemas.openxmlformats.org/drawingml/2006/picture">
                        <pic:nvPicPr>
                          <pic:cNvPr id="1023" name="AutoShape_1_SpCnt_27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24" name="AutoShape_1_SpCnt_278"/>
                  <wp:cNvGraphicFramePr/>
                  <a:graphic xmlns:a="http://schemas.openxmlformats.org/drawingml/2006/main">
                    <a:graphicData uri="http://schemas.openxmlformats.org/drawingml/2006/picture">
                      <pic:pic xmlns:pic="http://schemas.openxmlformats.org/drawingml/2006/picture">
                        <pic:nvPicPr>
                          <pic:cNvPr id="1024" name="AutoShape_1_SpCnt_27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25" name="AutoShape_1_SpCnt_279"/>
                  <wp:cNvGraphicFramePr/>
                  <a:graphic xmlns:a="http://schemas.openxmlformats.org/drawingml/2006/main">
                    <a:graphicData uri="http://schemas.openxmlformats.org/drawingml/2006/picture">
                      <pic:pic xmlns:pic="http://schemas.openxmlformats.org/drawingml/2006/picture">
                        <pic:nvPicPr>
                          <pic:cNvPr id="1025" name="AutoShape_1_SpCnt_27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26" name="AutoShape_2_SpCnt_253"/>
                  <wp:cNvGraphicFramePr/>
                  <a:graphic xmlns:a="http://schemas.openxmlformats.org/drawingml/2006/main">
                    <a:graphicData uri="http://schemas.openxmlformats.org/drawingml/2006/picture">
                      <pic:pic xmlns:pic="http://schemas.openxmlformats.org/drawingml/2006/picture">
                        <pic:nvPicPr>
                          <pic:cNvPr id="1026" name="AutoShape_2_SpCnt_25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27" name="AutoShape_1_SpCnt_280"/>
                  <wp:cNvGraphicFramePr/>
                  <a:graphic xmlns:a="http://schemas.openxmlformats.org/drawingml/2006/main">
                    <a:graphicData uri="http://schemas.openxmlformats.org/drawingml/2006/picture">
                      <pic:pic xmlns:pic="http://schemas.openxmlformats.org/drawingml/2006/picture">
                        <pic:nvPicPr>
                          <pic:cNvPr id="1027" name="AutoShape_1_SpCnt_28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28" name="AutoShape_2_SpCnt_254"/>
                  <wp:cNvGraphicFramePr/>
                  <a:graphic xmlns:a="http://schemas.openxmlformats.org/drawingml/2006/main">
                    <a:graphicData uri="http://schemas.openxmlformats.org/drawingml/2006/picture">
                      <pic:pic xmlns:pic="http://schemas.openxmlformats.org/drawingml/2006/picture">
                        <pic:nvPicPr>
                          <pic:cNvPr id="1028" name="AutoShape_2_SpCnt_25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29" name="AutoShape_1_SpCnt_281"/>
                  <wp:cNvGraphicFramePr/>
                  <a:graphic xmlns:a="http://schemas.openxmlformats.org/drawingml/2006/main">
                    <a:graphicData uri="http://schemas.openxmlformats.org/drawingml/2006/picture">
                      <pic:pic xmlns:pic="http://schemas.openxmlformats.org/drawingml/2006/picture">
                        <pic:nvPicPr>
                          <pic:cNvPr id="1029" name="AutoShape_1_SpCnt_28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30" name="AutoShape_2_SpCnt_255"/>
                  <wp:cNvGraphicFramePr/>
                  <a:graphic xmlns:a="http://schemas.openxmlformats.org/drawingml/2006/main">
                    <a:graphicData uri="http://schemas.openxmlformats.org/drawingml/2006/picture">
                      <pic:pic xmlns:pic="http://schemas.openxmlformats.org/drawingml/2006/picture">
                        <pic:nvPicPr>
                          <pic:cNvPr id="1030" name="AutoShape_2_SpCnt_25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31" name="AutoShape_2_SpCnt_256"/>
                  <wp:cNvGraphicFramePr/>
                  <a:graphic xmlns:a="http://schemas.openxmlformats.org/drawingml/2006/main">
                    <a:graphicData uri="http://schemas.openxmlformats.org/drawingml/2006/picture">
                      <pic:pic xmlns:pic="http://schemas.openxmlformats.org/drawingml/2006/picture">
                        <pic:nvPicPr>
                          <pic:cNvPr id="1031" name="AutoShape_2_SpCnt_25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32" name="AutoShape_1_SpCnt_282"/>
                  <wp:cNvGraphicFramePr/>
                  <a:graphic xmlns:a="http://schemas.openxmlformats.org/drawingml/2006/main">
                    <a:graphicData uri="http://schemas.openxmlformats.org/drawingml/2006/picture">
                      <pic:pic xmlns:pic="http://schemas.openxmlformats.org/drawingml/2006/picture">
                        <pic:nvPicPr>
                          <pic:cNvPr id="1032" name="AutoShape_1_SpCnt_28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33" name="AutoShape_2_SpCnt_257"/>
                  <wp:cNvGraphicFramePr/>
                  <a:graphic xmlns:a="http://schemas.openxmlformats.org/drawingml/2006/main">
                    <a:graphicData uri="http://schemas.openxmlformats.org/drawingml/2006/picture">
                      <pic:pic xmlns:pic="http://schemas.openxmlformats.org/drawingml/2006/picture">
                        <pic:nvPicPr>
                          <pic:cNvPr id="1033" name="AutoShape_2_SpCnt_25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34" name="AutoShape_2_SpCnt_258"/>
                  <wp:cNvGraphicFramePr/>
                  <a:graphic xmlns:a="http://schemas.openxmlformats.org/drawingml/2006/main">
                    <a:graphicData uri="http://schemas.openxmlformats.org/drawingml/2006/picture">
                      <pic:pic xmlns:pic="http://schemas.openxmlformats.org/drawingml/2006/picture">
                        <pic:nvPicPr>
                          <pic:cNvPr id="1034" name="AutoShape_2_SpCnt_25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35" name="AutoShape_1_SpCnt_283"/>
                  <wp:cNvGraphicFramePr/>
                  <a:graphic xmlns:a="http://schemas.openxmlformats.org/drawingml/2006/main">
                    <a:graphicData uri="http://schemas.openxmlformats.org/drawingml/2006/picture">
                      <pic:pic xmlns:pic="http://schemas.openxmlformats.org/drawingml/2006/picture">
                        <pic:nvPicPr>
                          <pic:cNvPr id="1035" name="AutoShape_1_SpCnt_28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36" name="AutoShape_2_SpCnt_259"/>
                  <wp:cNvGraphicFramePr/>
                  <a:graphic xmlns:a="http://schemas.openxmlformats.org/drawingml/2006/main">
                    <a:graphicData uri="http://schemas.openxmlformats.org/drawingml/2006/picture">
                      <pic:pic xmlns:pic="http://schemas.openxmlformats.org/drawingml/2006/picture">
                        <pic:nvPicPr>
                          <pic:cNvPr id="1036" name="AutoShape_2_SpCnt_25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lang w:val="en-US" w:eastAsia="zh-CN" w:bidi="ar"/>
              </w:rPr>
              <w:t>一期完工，二期待地铁公司场地移交后开工</w:t>
            </w:r>
          </w:p>
        </w:tc>
      </w:tr>
      <w:tr w14:paraId="25AC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B91E1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55</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55A2ED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翡丽铂湾</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（NO.2021G27）</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78CCFE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1764D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53CEB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56</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4C74F9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锦云台</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（原天华路以东NO.2021G28）</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492526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75EB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786CD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57</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7539C9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云萃府</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（NO.2021G30）</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64C787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主体封顶</w:t>
            </w:r>
          </w:p>
        </w:tc>
      </w:tr>
      <w:tr w14:paraId="75ED4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5"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0BEF6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58</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7EDA4B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云锦四季府（NO.2021G31）</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3ACCBD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4B647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111EF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59</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46D628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云尚紫阙</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（NO.2021G32）</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6C5DEA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主体封顶</w:t>
            </w:r>
          </w:p>
        </w:tc>
      </w:tr>
      <w:tr w14:paraId="222D7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5380F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60</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64984D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润淮府</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（原华润南部新城项目NO.2021G73）</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7EB204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2F526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F74BE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61</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16168F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凤栖潮鸣</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（原国东路以东、嘉园路以北地块NO.2021G124）</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01A328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453C2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A6FE2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62</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4B142F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璞悦隽园</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（原嘉园路以北、冶修二路以西地块N0.2021G125）</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18B6A0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主体结构施工</w:t>
            </w:r>
          </w:p>
        </w:tc>
      </w:tr>
      <w:tr w14:paraId="43F22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199CA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63</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5C826C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琥珀云台</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（原机场二路和夹岗二路西南象限居住地块NO.2022G01）</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08A996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主体结构施工</w:t>
            </w:r>
          </w:p>
        </w:tc>
      </w:tr>
      <w:tr w14:paraId="3A5C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462A7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64</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355064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三金睿境</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（原夹岗四路以东、不动产档案馆以南地块NO.2022G02）</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6F8634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主体结构施工</w:t>
            </w:r>
          </w:p>
        </w:tc>
      </w:tr>
      <w:tr w14:paraId="11F72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4B4A7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65</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0A3B6B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润鸿府</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（NO.2022G24）</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633960E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p w14:paraId="298423B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37" name="AutoShape_1_SpCnt_284"/>
                  <wp:cNvGraphicFramePr/>
                  <a:graphic xmlns:a="http://schemas.openxmlformats.org/drawingml/2006/main">
                    <a:graphicData uri="http://schemas.openxmlformats.org/drawingml/2006/picture">
                      <pic:pic xmlns:pic="http://schemas.openxmlformats.org/drawingml/2006/picture">
                        <pic:nvPicPr>
                          <pic:cNvPr id="1037" name="AutoShape_1_SpCnt_28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38" name="AutoShape_1_SpCnt_285"/>
                  <wp:cNvGraphicFramePr/>
                  <a:graphic xmlns:a="http://schemas.openxmlformats.org/drawingml/2006/main">
                    <a:graphicData uri="http://schemas.openxmlformats.org/drawingml/2006/picture">
                      <pic:pic xmlns:pic="http://schemas.openxmlformats.org/drawingml/2006/picture">
                        <pic:nvPicPr>
                          <pic:cNvPr id="1038" name="AutoShape_1_SpCnt_28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39" name="AutoShape_2_SpCnt_260"/>
                  <wp:cNvGraphicFramePr/>
                  <a:graphic xmlns:a="http://schemas.openxmlformats.org/drawingml/2006/main">
                    <a:graphicData uri="http://schemas.openxmlformats.org/drawingml/2006/picture">
                      <pic:pic xmlns:pic="http://schemas.openxmlformats.org/drawingml/2006/picture">
                        <pic:nvPicPr>
                          <pic:cNvPr id="1039" name="AutoShape_2_SpCnt_26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40" name="AutoShape_1_SpCnt_286"/>
                  <wp:cNvGraphicFramePr/>
                  <a:graphic xmlns:a="http://schemas.openxmlformats.org/drawingml/2006/main">
                    <a:graphicData uri="http://schemas.openxmlformats.org/drawingml/2006/picture">
                      <pic:pic xmlns:pic="http://schemas.openxmlformats.org/drawingml/2006/picture">
                        <pic:nvPicPr>
                          <pic:cNvPr id="1040" name="AutoShape_1_SpCnt_28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41" name="AutoShape_1_SpCnt_287"/>
                  <wp:cNvGraphicFramePr/>
                  <a:graphic xmlns:a="http://schemas.openxmlformats.org/drawingml/2006/main">
                    <a:graphicData uri="http://schemas.openxmlformats.org/drawingml/2006/picture">
                      <pic:pic xmlns:pic="http://schemas.openxmlformats.org/drawingml/2006/picture">
                        <pic:nvPicPr>
                          <pic:cNvPr id="1041" name="AutoShape_1_SpCnt_28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42" name="AutoShape_2_SpCnt_261"/>
                  <wp:cNvGraphicFramePr/>
                  <a:graphic xmlns:a="http://schemas.openxmlformats.org/drawingml/2006/main">
                    <a:graphicData uri="http://schemas.openxmlformats.org/drawingml/2006/picture">
                      <pic:pic xmlns:pic="http://schemas.openxmlformats.org/drawingml/2006/picture">
                        <pic:nvPicPr>
                          <pic:cNvPr id="1042" name="AutoShape_2_SpCnt_26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43" name="AutoShape_1_SpCnt_288"/>
                  <wp:cNvGraphicFramePr/>
                  <a:graphic xmlns:a="http://schemas.openxmlformats.org/drawingml/2006/main">
                    <a:graphicData uri="http://schemas.openxmlformats.org/drawingml/2006/picture">
                      <pic:pic xmlns:pic="http://schemas.openxmlformats.org/drawingml/2006/picture">
                        <pic:nvPicPr>
                          <pic:cNvPr id="1043" name="AutoShape_1_SpCnt_28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44" name="AutoShape_2_SpCnt_262"/>
                  <wp:cNvGraphicFramePr/>
                  <a:graphic xmlns:a="http://schemas.openxmlformats.org/drawingml/2006/main">
                    <a:graphicData uri="http://schemas.openxmlformats.org/drawingml/2006/picture">
                      <pic:pic xmlns:pic="http://schemas.openxmlformats.org/drawingml/2006/picture">
                        <pic:nvPicPr>
                          <pic:cNvPr id="1044" name="AutoShape_2_SpCnt_26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45" name="AutoShape_2_SpCnt_263"/>
                  <wp:cNvGraphicFramePr/>
                  <a:graphic xmlns:a="http://schemas.openxmlformats.org/drawingml/2006/main">
                    <a:graphicData uri="http://schemas.openxmlformats.org/drawingml/2006/picture">
                      <pic:pic xmlns:pic="http://schemas.openxmlformats.org/drawingml/2006/picture">
                        <pic:nvPicPr>
                          <pic:cNvPr id="1045" name="AutoShape_2_SpCnt_26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46" name="AutoShape_1_SpCnt_289"/>
                  <wp:cNvGraphicFramePr/>
                  <a:graphic xmlns:a="http://schemas.openxmlformats.org/drawingml/2006/main">
                    <a:graphicData uri="http://schemas.openxmlformats.org/drawingml/2006/picture">
                      <pic:pic xmlns:pic="http://schemas.openxmlformats.org/drawingml/2006/picture">
                        <pic:nvPicPr>
                          <pic:cNvPr id="1046" name="AutoShape_1_SpCnt_28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47" name="AutoShape_1_SpCnt_290"/>
                  <wp:cNvGraphicFramePr/>
                  <a:graphic xmlns:a="http://schemas.openxmlformats.org/drawingml/2006/main">
                    <a:graphicData uri="http://schemas.openxmlformats.org/drawingml/2006/picture">
                      <pic:pic xmlns:pic="http://schemas.openxmlformats.org/drawingml/2006/picture">
                        <pic:nvPicPr>
                          <pic:cNvPr id="1047" name="AutoShape_1_SpCnt_29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48" name="AutoShape_2_SpCnt_264"/>
                  <wp:cNvGraphicFramePr/>
                  <a:graphic xmlns:a="http://schemas.openxmlformats.org/drawingml/2006/main">
                    <a:graphicData uri="http://schemas.openxmlformats.org/drawingml/2006/picture">
                      <pic:pic xmlns:pic="http://schemas.openxmlformats.org/drawingml/2006/picture">
                        <pic:nvPicPr>
                          <pic:cNvPr id="1048" name="AutoShape_2_SpCnt_26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49" name="AutoShape_2_SpCnt_265"/>
                  <wp:cNvGraphicFramePr/>
                  <a:graphic xmlns:a="http://schemas.openxmlformats.org/drawingml/2006/main">
                    <a:graphicData uri="http://schemas.openxmlformats.org/drawingml/2006/picture">
                      <pic:pic xmlns:pic="http://schemas.openxmlformats.org/drawingml/2006/picture">
                        <pic:nvPicPr>
                          <pic:cNvPr id="1049" name="AutoShape_2_SpCnt_26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50" name="AutoShape_1_SpCnt_291"/>
                  <wp:cNvGraphicFramePr/>
                  <a:graphic xmlns:a="http://schemas.openxmlformats.org/drawingml/2006/main">
                    <a:graphicData uri="http://schemas.openxmlformats.org/drawingml/2006/picture">
                      <pic:pic xmlns:pic="http://schemas.openxmlformats.org/drawingml/2006/picture">
                        <pic:nvPicPr>
                          <pic:cNvPr id="1050" name="AutoShape_1_SpCnt_29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51" name="AutoShape_1_SpCnt_292"/>
                  <wp:cNvGraphicFramePr/>
                  <a:graphic xmlns:a="http://schemas.openxmlformats.org/drawingml/2006/main">
                    <a:graphicData uri="http://schemas.openxmlformats.org/drawingml/2006/picture">
                      <pic:pic xmlns:pic="http://schemas.openxmlformats.org/drawingml/2006/picture">
                        <pic:nvPicPr>
                          <pic:cNvPr id="1051" name="AutoShape_1_SpCnt_29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52" name="AutoShape_1_SpCnt_293"/>
                  <wp:cNvGraphicFramePr/>
                  <a:graphic xmlns:a="http://schemas.openxmlformats.org/drawingml/2006/main">
                    <a:graphicData uri="http://schemas.openxmlformats.org/drawingml/2006/picture">
                      <pic:pic xmlns:pic="http://schemas.openxmlformats.org/drawingml/2006/picture">
                        <pic:nvPicPr>
                          <pic:cNvPr id="1052" name="AutoShape_1_SpCnt_29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53" name="AutoShape_2_SpCnt_266"/>
                  <wp:cNvGraphicFramePr/>
                  <a:graphic xmlns:a="http://schemas.openxmlformats.org/drawingml/2006/main">
                    <a:graphicData uri="http://schemas.openxmlformats.org/drawingml/2006/picture">
                      <pic:pic xmlns:pic="http://schemas.openxmlformats.org/drawingml/2006/picture">
                        <pic:nvPicPr>
                          <pic:cNvPr id="1053" name="AutoShape_2_SpCnt_26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54" name="AutoShape_2_SpCnt_267"/>
                  <wp:cNvGraphicFramePr/>
                  <a:graphic xmlns:a="http://schemas.openxmlformats.org/drawingml/2006/main">
                    <a:graphicData uri="http://schemas.openxmlformats.org/drawingml/2006/picture">
                      <pic:pic xmlns:pic="http://schemas.openxmlformats.org/drawingml/2006/picture">
                        <pic:nvPicPr>
                          <pic:cNvPr id="1054" name="AutoShape_2_SpCnt_26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55" name="AutoShape_1_SpCnt_294"/>
                  <wp:cNvGraphicFramePr/>
                  <a:graphic xmlns:a="http://schemas.openxmlformats.org/drawingml/2006/main">
                    <a:graphicData uri="http://schemas.openxmlformats.org/drawingml/2006/picture">
                      <pic:pic xmlns:pic="http://schemas.openxmlformats.org/drawingml/2006/picture">
                        <pic:nvPicPr>
                          <pic:cNvPr id="1055" name="AutoShape_1_SpCnt_29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56" name="AutoShape_1_SpCnt_295"/>
                  <wp:cNvGraphicFramePr/>
                  <a:graphic xmlns:a="http://schemas.openxmlformats.org/drawingml/2006/main">
                    <a:graphicData uri="http://schemas.openxmlformats.org/drawingml/2006/picture">
                      <pic:pic xmlns:pic="http://schemas.openxmlformats.org/drawingml/2006/picture">
                        <pic:nvPicPr>
                          <pic:cNvPr id="1056" name="AutoShape_1_SpCnt_29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57" name="AutoShape_1_SpCnt_296"/>
                  <wp:cNvGraphicFramePr/>
                  <a:graphic xmlns:a="http://schemas.openxmlformats.org/drawingml/2006/main">
                    <a:graphicData uri="http://schemas.openxmlformats.org/drawingml/2006/picture">
                      <pic:pic xmlns:pic="http://schemas.openxmlformats.org/drawingml/2006/picture">
                        <pic:nvPicPr>
                          <pic:cNvPr id="1057" name="AutoShape_1_SpCnt_29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58" name="AutoShape_1_SpCnt_297"/>
                  <wp:cNvGraphicFramePr/>
                  <a:graphic xmlns:a="http://schemas.openxmlformats.org/drawingml/2006/main">
                    <a:graphicData uri="http://schemas.openxmlformats.org/drawingml/2006/picture">
                      <pic:pic xmlns:pic="http://schemas.openxmlformats.org/drawingml/2006/picture">
                        <pic:nvPicPr>
                          <pic:cNvPr id="1058" name="AutoShape_1_SpCnt_29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59" name="AutoShape_1_SpCnt_298"/>
                  <wp:cNvGraphicFramePr/>
                  <a:graphic xmlns:a="http://schemas.openxmlformats.org/drawingml/2006/main">
                    <a:graphicData uri="http://schemas.openxmlformats.org/drawingml/2006/picture">
                      <pic:pic xmlns:pic="http://schemas.openxmlformats.org/drawingml/2006/picture">
                        <pic:nvPicPr>
                          <pic:cNvPr id="1059" name="AutoShape_1_SpCnt_29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60" name="AutoShape_2_SpCnt_268"/>
                  <wp:cNvGraphicFramePr/>
                  <a:graphic xmlns:a="http://schemas.openxmlformats.org/drawingml/2006/main">
                    <a:graphicData uri="http://schemas.openxmlformats.org/drawingml/2006/picture">
                      <pic:pic xmlns:pic="http://schemas.openxmlformats.org/drawingml/2006/picture">
                        <pic:nvPicPr>
                          <pic:cNvPr id="1060" name="AutoShape_2_SpCnt_26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61" name="AutoShape_2_SpCnt_269"/>
                  <wp:cNvGraphicFramePr/>
                  <a:graphic xmlns:a="http://schemas.openxmlformats.org/drawingml/2006/main">
                    <a:graphicData uri="http://schemas.openxmlformats.org/drawingml/2006/picture">
                      <pic:pic xmlns:pic="http://schemas.openxmlformats.org/drawingml/2006/picture">
                        <pic:nvPicPr>
                          <pic:cNvPr id="1061" name="AutoShape_2_SpCnt_26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62" name="AutoShape_2_SpCnt_270"/>
                  <wp:cNvGraphicFramePr/>
                  <a:graphic xmlns:a="http://schemas.openxmlformats.org/drawingml/2006/main">
                    <a:graphicData uri="http://schemas.openxmlformats.org/drawingml/2006/picture">
                      <pic:pic xmlns:pic="http://schemas.openxmlformats.org/drawingml/2006/picture">
                        <pic:nvPicPr>
                          <pic:cNvPr id="1062" name="AutoShape_2_SpCnt_27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63" name="AutoShape_1_SpCnt_299"/>
                  <wp:cNvGraphicFramePr/>
                  <a:graphic xmlns:a="http://schemas.openxmlformats.org/drawingml/2006/main">
                    <a:graphicData uri="http://schemas.openxmlformats.org/drawingml/2006/picture">
                      <pic:pic xmlns:pic="http://schemas.openxmlformats.org/drawingml/2006/picture">
                        <pic:nvPicPr>
                          <pic:cNvPr id="1063" name="AutoShape_1_SpCnt_29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64" name="AutoShape_1_SpCnt_300"/>
                  <wp:cNvGraphicFramePr/>
                  <a:graphic xmlns:a="http://schemas.openxmlformats.org/drawingml/2006/main">
                    <a:graphicData uri="http://schemas.openxmlformats.org/drawingml/2006/picture">
                      <pic:pic xmlns:pic="http://schemas.openxmlformats.org/drawingml/2006/picture">
                        <pic:nvPicPr>
                          <pic:cNvPr id="1064" name="AutoShape_1_SpCnt_30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65" name="AutoShape_1_SpCnt_301"/>
                  <wp:cNvGraphicFramePr/>
                  <a:graphic xmlns:a="http://schemas.openxmlformats.org/drawingml/2006/main">
                    <a:graphicData uri="http://schemas.openxmlformats.org/drawingml/2006/picture">
                      <pic:pic xmlns:pic="http://schemas.openxmlformats.org/drawingml/2006/picture">
                        <pic:nvPicPr>
                          <pic:cNvPr id="1065" name="AutoShape_1_SpCnt_30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66" name="AutoShape_1_SpCnt_302"/>
                  <wp:cNvGraphicFramePr/>
                  <a:graphic xmlns:a="http://schemas.openxmlformats.org/drawingml/2006/main">
                    <a:graphicData uri="http://schemas.openxmlformats.org/drawingml/2006/picture">
                      <pic:pic xmlns:pic="http://schemas.openxmlformats.org/drawingml/2006/picture">
                        <pic:nvPicPr>
                          <pic:cNvPr id="1066" name="AutoShape_1_SpCnt_30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67" name="AutoShape_2_SpCnt_271"/>
                  <wp:cNvGraphicFramePr/>
                  <a:graphic xmlns:a="http://schemas.openxmlformats.org/drawingml/2006/main">
                    <a:graphicData uri="http://schemas.openxmlformats.org/drawingml/2006/picture">
                      <pic:pic xmlns:pic="http://schemas.openxmlformats.org/drawingml/2006/picture">
                        <pic:nvPicPr>
                          <pic:cNvPr id="1067" name="AutoShape_2_SpCnt_27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68" name="AutoShape_2_SpCnt_272"/>
                  <wp:cNvGraphicFramePr/>
                  <a:graphic xmlns:a="http://schemas.openxmlformats.org/drawingml/2006/main">
                    <a:graphicData uri="http://schemas.openxmlformats.org/drawingml/2006/picture">
                      <pic:pic xmlns:pic="http://schemas.openxmlformats.org/drawingml/2006/picture">
                        <pic:nvPicPr>
                          <pic:cNvPr id="1068" name="AutoShape_2_SpCnt_27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69" name="AutoShape_1_SpCnt_303"/>
                  <wp:cNvGraphicFramePr/>
                  <a:graphic xmlns:a="http://schemas.openxmlformats.org/drawingml/2006/main">
                    <a:graphicData uri="http://schemas.openxmlformats.org/drawingml/2006/picture">
                      <pic:pic xmlns:pic="http://schemas.openxmlformats.org/drawingml/2006/picture">
                        <pic:nvPicPr>
                          <pic:cNvPr id="1069" name="AutoShape_1_SpCnt_30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70" name="AutoShape_2_SpCnt_273"/>
                  <wp:cNvGraphicFramePr/>
                  <a:graphic xmlns:a="http://schemas.openxmlformats.org/drawingml/2006/main">
                    <a:graphicData uri="http://schemas.openxmlformats.org/drawingml/2006/picture">
                      <pic:pic xmlns:pic="http://schemas.openxmlformats.org/drawingml/2006/picture">
                        <pic:nvPicPr>
                          <pic:cNvPr id="1070" name="AutoShape_2_SpCnt_27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71" name="AutoShape_1_SpCnt_304"/>
                  <wp:cNvGraphicFramePr/>
                  <a:graphic xmlns:a="http://schemas.openxmlformats.org/drawingml/2006/main">
                    <a:graphicData uri="http://schemas.openxmlformats.org/drawingml/2006/picture">
                      <pic:pic xmlns:pic="http://schemas.openxmlformats.org/drawingml/2006/picture">
                        <pic:nvPicPr>
                          <pic:cNvPr id="1071" name="AutoShape_1_SpCnt_30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72" name="AutoShape_1_SpCnt_305"/>
                  <wp:cNvGraphicFramePr/>
                  <a:graphic xmlns:a="http://schemas.openxmlformats.org/drawingml/2006/main">
                    <a:graphicData uri="http://schemas.openxmlformats.org/drawingml/2006/picture">
                      <pic:pic xmlns:pic="http://schemas.openxmlformats.org/drawingml/2006/picture">
                        <pic:nvPicPr>
                          <pic:cNvPr id="1072" name="AutoShape_1_SpCnt_30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73" name="AutoShape_1_SpCnt_306"/>
                  <wp:cNvGraphicFramePr/>
                  <a:graphic xmlns:a="http://schemas.openxmlformats.org/drawingml/2006/main">
                    <a:graphicData uri="http://schemas.openxmlformats.org/drawingml/2006/picture">
                      <pic:pic xmlns:pic="http://schemas.openxmlformats.org/drawingml/2006/picture">
                        <pic:nvPicPr>
                          <pic:cNvPr id="1073" name="AutoShape_1_SpCnt_30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74" name="AutoShape_1_SpCnt_307"/>
                  <wp:cNvGraphicFramePr/>
                  <a:graphic xmlns:a="http://schemas.openxmlformats.org/drawingml/2006/main">
                    <a:graphicData uri="http://schemas.openxmlformats.org/drawingml/2006/picture">
                      <pic:pic xmlns:pic="http://schemas.openxmlformats.org/drawingml/2006/picture">
                        <pic:nvPicPr>
                          <pic:cNvPr id="1074" name="AutoShape_1_SpCnt_30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75" name="AutoShape_1_SpCnt_308"/>
                  <wp:cNvGraphicFramePr/>
                  <a:graphic xmlns:a="http://schemas.openxmlformats.org/drawingml/2006/main">
                    <a:graphicData uri="http://schemas.openxmlformats.org/drawingml/2006/picture">
                      <pic:pic xmlns:pic="http://schemas.openxmlformats.org/drawingml/2006/picture">
                        <pic:nvPicPr>
                          <pic:cNvPr id="1075" name="AutoShape_1_SpCnt_30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76" name="AutoShape_1_SpCnt_309"/>
                  <wp:cNvGraphicFramePr/>
                  <a:graphic xmlns:a="http://schemas.openxmlformats.org/drawingml/2006/main">
                    <a:graphicData uri="http://schemas.openxmlformats.org/drawingml/2006/picture">
                      <pic:pic xmlns:pic="http://schemas.openxmlformats.org/drawingml/2006/picture">
                        <pic:nvPicPr>
                          <pic:cNvPr id="1076" name="AutoShape_1_SpCnt_30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77" name="AutoShape_1_SpCnt_310"/>
                  <wp:cNvGraphicFramePr/>
                  <a:graphic xmlns:a="http://schemas.openxmlformats.org/drawingml/2006/main">
                    <a:graphicData uri="http://schemas.openxmlformats.org/drawingml/2006/picture">
                      <pic:pic xmlns:pic="http://schemas.openxmlformats.org/drawingml/2006/picture">
                        <pic:nvPicPr>
                          <pic:cNvPr id="1077" name="AutoShape_1_SpCnt_31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78" name="AutoShape_1_SpCnt_311"/>
                  <wp:cNvGraphicFramePr/>
                  <a:graphic xmlns:a="http://schemas.openxmlformats.org/drawingml/2006/main">
                    <a:graphicData uri="http://schemas.openxmlformats.org/drawingml/2006/picture">
                      <pic:pic xmlns:pic="http://schemas.openxmlformats.org/drawingml/2006/picture">
                        <pic:nvPicPr>
                          <pic:cNvPr id="1078" name="AutoShape_1_SpCnt_31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79" name="AutoShape_2_SpCnt_274"/>
                  <wp:cNvGraphicFramePr/>
                  <a:graphic xmlns:a="http://schemas.openxmlformats.org/drawingml/2006/main">
                    <a:graphicData uri="http://schemas.openxmlformats.org/drawingml/2006/picture">
                      <pic:pic xmlns:pic="http://schemas.openxmlformats.org/drawingml/2006/picture">
                        <pic:nvPicPr>
                          <pic:cNvPr id="1079" name="AutoShape_2_SpCnt_27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80" name="AutoShape_2_SpCnt_275"/>
                  <wp:cNvGraphicFramePr/>
                  <a:graphic xmlns:a="http://schemas.openxmlformats.org/drawingml/2006/main">
                    <a:graphicData uri="http://schemas.openxmlformats.org/drawingml/2006/picture">
                      <pic:pic xmlns:pic="http://schemas.openxmlformats.org/drawingml/2006/picture">
                        <pic:nvPicPr>
                          <pic:cNvPr id="1080" name="AutoShape_2_SpCnt_27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81" name="AutoShape_1_SpCnt_312"/>
                  <wp:cNvGraphicFramePr/>
                  <a:graphic xmlns:a="http://schemas.openxmlformats.org/drawingml/2006/main">
                    <a:graphicData uri="http://schemas.openxmlformats.org/drawingml/2006/picture">
                      <pic:pic xmlns:pic="http://schemas.openxmlformats.org/drawingml/2006/picture">
                        <pic:nvPicPr>
                          <pic:cNvPr id="1081" name="AutoShape_1_SpCnt_31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82" name="AutoShape_2_SpCnt_276"/>
                  <wp:cNvGraphicFramePr/>
                  <a:graphic xmlns:a="http://schemas.openxmlformats.org/drawingml/2006/main">
                    <a:graphicData uri="http://schemas.openxmlformats.org/drawingml/2006/picture">
                      <pic:pic xmlns:pic="http://schemas.openxmlformats.org/drawingml/2006/picture">
                        <pic:nvPicPr>
                          <pic:cNvPr id="1082" name="AutoShape_2_SpCnt_27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83" name="AutoShape_1_SpCnt_313"/>
                  <wp:cNvGraphicFramePr/>
                  <a:graphic xmlns:a="http://schemas.openxmlformats.org/drawingml/2006/main">
                    <a:graphicData uri="http://schemas.openxmlformats.org/drawingml/2006/picture">
                      <pic:pic xmlns:pic="http://schemas.openxmlformats.org/drawingml/2006/picture">
                        <pic:nvPicPr>
                          <pic:cNvPr id="1083" name="AutoShape_1_SpCnt_31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084" name="AutoShape_1_SpCnt_314"/>
                  <wp:cNvGraphicFramePr/>
                  <a:graphic xmlns:a="http://schemas.openxmlformats.org/drawingml/2006/main">
                    <a:graphicData uri="http://schemas.openxmlformats.org/drawingml/2006/picture">
                      <pic:pic xmlns:pic="http://schemas.openxmlformats.org/drawingml/2006/picture">
                        <pic:nvPicPr>
                          <pic:cNvPr id="1084" name="AutoShape_1_SpCnt_31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59" name="AutoShape_1_SpCnt_315"/>
                  <wp:cNvGraphicFramePr/>
                  <a:graphic xmlns:a="http://schemas.openxmlformats.org/drawingml/2006/main">
                    <a:graphicData uri="http://schemas.openxmlformats.org/drawingml/2006/picture">
                      <pic:pic xmlns:pic="http://schemas.openxmlformats.org/drawingml/2006/picture">
                        <pic:nvPicPr>
                          <pic:cNvPr id="759" name="AutoShape_1_SpCnt_31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60" name="AutoShape_2_SpCnt_277"/>
                  <wp:cNvGraphicFramePr/>
                  <a:graphic xmlns:a="http://schemas.openxmlformats.org/drawingml/2006/main">
                    <a:graphicData uri="http://schemas.openxmlformats.org/drawingml/2006/picture">
                      <pic:pic xmlns:pic="http://schemas.openxmlformats.org/drawingml/2006/picture">
                        <pic:nvPicPr>
                          <pic:cNvPr id="760" name="AutoShape_2_SpCnt_27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61" name="AutoShape_2_SpCnt_278"/>
                  <wp:cNvGraphicFramePr/>
                  <a:graphic xmlns:a="http://schemas.openxmlformats.org/drawingml/2006/main">
                    <a:graphicData uri="http://schemas.openxmlformats.org/drawingml/2006/picture">
                      <pic:pic xmlns:pic="http://schemas.openxmlformats.org/drawingml/2006/picture">
                        <pic:nvPicPr>
                          <pic:cNvPr id="761" name="AutoShape_2_SpCnt_27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62" name="AutoShape_1_SpCnt_316"/>
                  <wp:cNvGraphicFramePr/>
                  <a:graphic xmlns:a="http://schemas.openxmlformats.org/drawingml/2006/main">
                    <a:graphicData uri="http://schemas.openxmlformats.org/drawingml/2006/picture">
                      <pic:pic xmlns:pic="http://schemas.openxmlformats.org/drawingml/2006/picture">
                        <pic:nvPicPr>
                          <pic:cNvPr id="762" name="AutoShape_1_SpCnt_31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63" name="AutoShape_1_SpCnt_317"/>
                  <wp:cNvGraphicFramePr/>
                  <a:graphic xmlns:a="http://schemas.openxmlformats.org/drawingml/2006/main">
                    <a:graphicData uri="http://schemas.openxmlformats.org/drawingml/2006/picture">
                      <pic:pic xmlns:pic="http://schemas.openxmlformats.org/drawingml/2006/picture">
                        <pic:nvPicPr>
                          <pic:cNvPr id="763" name="AutoShape_1_SpCnt_31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64" name="AutoShape_1_SpCnt_318"/>
                  <wp:cNvGraphicFramePr/>
                  <a:graphic xmlns:a="http://schemas.openxmlformats.org/drawingml/2006/main">
                    <a:graphicData uri="http://schemas.openxmlformats.org/drawingml/2006/picture">
                      <pic:pic xmlns:pic="http://schemas.openxmlformats.org/drawingml/2006/picture">
                        <pic:nvPicPr>
                          <pic:cNvPr id="764" name="AutoShape_1_SpCnt_31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65" name="AutoShape_1_SpCnt_319"/>
                  <wp:cNvGraphicFramePr/>
                  <a:graphic xmlns:a="http://schemas.openxmlformats.org/drawingml/2006/main">
                    <a:graphicData uri="http://schemas.openxmlformats.org/drawingml/2006/picture">
                      <pic:pic xmlns:pic="http://schemas.openxmlformats.org/drawingml/2006/picture">
                        <pic:nvPicPr>
                          <pic:cNvPr id="765" name="AutoShape_1_SpCnt_31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66" name="AutoShape_2_SpCnt_279"/>
                  <wp:cNvGraphicFramePr/>
                  <a:graphic xmlns:a="http://schemas.openxmlformats.org/drawingml/2006/main">
                    <a:graphicData uri="http://schemas.openxmlformats.org/drawingml/2006/picture">
                      <pic:pic xmlns:pic="http://schemas.openxmlformats.org/drawingml/2006/picture">
                        <pic:nvPicPr>
                          <pic:cNvPr id="766" name="AutoShape_2_SpCnt_27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67" name="AutoShape_2_SpCnt_280"/>
                  <wp:cNvGraphicFramePr/>
                  <a:graphic xmlns:a="http://schemas.openxmlformats.org/drawingml/2006/main">
                    <a:graphicData uri="http://schemas.openxmlformats.org/drawingml/2006/picture">
                      <pic:pic xmlns:pic="http://schemas.openxmlformats.org/drawingml/2006/picture">
                        <pic:nvPicPr>
                          <pic:cNvPr id="767" name="AutoShape_2_SpCnt_28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68" name="AutoShape_2_SpCnt_281"/>
                  <wp:cNvGraphicFramePr/>
                  <a:graphic xmlns:a="http://schemas.openxmlformats.org/drawingml/2006/main">
                    <a:graphicData uri="http://schemas.openxmlformats.org/drawingml/2006/picture">
                      <pic:pic xmlns:pic="http://schemas.openxmlformats.org/drawingml/2006/picture">
                        <pic:nvPicPr>
                          <pic:cNvPr id="768" name="AutoShape_2_SpCnt_28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69" name="AutoShape_1_SpCnt_320"/>
                  <wp:cNvGraphicFramePr/>
                  <a:graphic xmlns:a="http://schemas.openxmlformats.org/drawingml/2006/main">
                    <a:graphicData uri="http://schemas.openxmlformats.org/drawingml/2006/picture">
                      <pic:pic xmlns:pic="http://schemas.openxmlformats.org/drawingml/2006/picture">
                        <pic:nvPicPr>
                          <pic:cNvPr id="769" name="AutoShape_1_SpCnt_32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70" name="AutoShape_1_SpCnt_321"/>
                  <wp:cNvGraphicFramePr/>
                  <a:graphic xmlns:a="http://schemas.openxmlformats.org/drawingml/2006/main">
                    <a:graphicData uri="http://schemas.openxmlformats.org/drawingml/2006/picture">
                      <pic:pic xmlns:pic="http://schemas.openxmlformats.org/drawingml/2006/picture">
                        <pic:nvPicPr>
                          <pic:cNvPr id="770" name="AutoShape_1_SpCnt_32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71" name="AutoShape_2_SpCnt_282"/>
                  <wp:cNvGraphicFramePr/>
                  <a:graphic xmlns:a="http://schemas.openxmlformats.org/drawingml/2006/main">
                    <a:graphicData uri="http://schemas.openxmlformats.org/drawingml/2006/picture">
                      <pic:pic xmlns:pic="http://schemas.openxmlformats.org/drawingml/2006/picture">
                        <pic:nvPicPr>
                          <pic:cNvPr id="771" name="AutoShape_2_SpCnt_28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72" name="AutoShape_1_SpCnt_322"/>
                  <wp:cNvGraphicFramePr/>
                  <a:graphic xmlns:a="http://schemas.openxmlformats.org/drawingml/2006/main">
                    <a:graphicData uri="http://schemas.openxmlformats.org/drawingml/2006/picture">
                      <pic:pic xmlns:pic="http://schemas.openxmlformats.org/drawingml/2006/picture">
                        <pic:nvPicPr>
                          <pic:cNvPr id="772" name="AutoShape_1_SpCnt_32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73" name="AutoShape_2_SpCnt_283"/>
                  <wp:cNvGraphicFramePr/>
                  <a:graphic xmlns:a="http://schemas.openxmlformats.org/drawingml/2006/main">
                    <a:graphicData uri="http://schemas.openxmlformats.org/drawingml/2006/picture">
                      <pic:pic xmlns:pic="http://schemas.openxmlformats.org/drawingml/2006/picture">
                        <pic:nvPicPr>
                          <pic:cNvPr id="773" name="AutoShape_2_SpCnt_28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74" name="AutoShape_1_SpCnt_323"/>
                  <wp:cNvGraphicFramePr/>
                  <a:graphic xmlns:a="http://schemas.openxmlformats.org/drawingml/2006/main">
                    <a:graphicData uri="http://schemas.openxmlformats.org/drawingml/2006/picture">
                      <pic:pic xmlns:pic="http://schemas.openxmlformats.org/drawingml/2006/picture">
                        <pic:nvPicPr>
                          <pic:cNvPr id="774" name="AutoShape_1_SpCnt_32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75" name="AutoShape_1_SpCnt_324"/>
                  <wp:cNvGraphicFramePr/>
                  <a:graphic xmlns:a="http://schemas.openxmlformats.org/drawingml/2006/main">
                    <a:graphicData uri="http://schemas.openxmlformats.org/drawingml/2006/picture">
                      <pic:pic xmlns:pic="http://schemas.openxmlformats.org/drawingml/2006/picture">
                        <pic:nvPicPr>
                          <pic:cNvPr id="775" name="AutoShape_1_SpCnt_32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76" name="AutoShape_2_SpCnt_284"/>
                  <wp:cNvGraphicFramePr/>
                  <a:graphic xmlns:a="http://schemas.openxmlformats.org/drawingml/2006/main">
                    <a:graphicData uri="http://schemas.openxmlformats.org/drawingml/2006/picture">
                      <pic:pic xmlns:pic="http://schemas.openxmlformats.org/drawingml/2006/picture">
                        <pic:nvPicPr>
                          <pic:cNvPr id="776" name="AutoShape_2_SpCnt_28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77" name="AutoShape_1_SpCnt_325"/>
                  <wp:cNvGraphicFramePr/>
                  <a:graphic xmlns:a="http://schemas.openxmlformats.org/drawingml/2006/main">
                    <a:graphicData uri="http://schemas.openxmlformats.org/drawingml/2006/picture">
                      <pic:pic xmlns:pic="http://schemas.openxmlformats.org/drawingml/2006/picture">
                        <pic:nvPicPr>
                          <pic:cNvPr id="777" name="AutoShape_1_SpCnt_32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78" name="AutoShape_1_SpCnt_326"/>
                  <wp:cNvGraphicFramePr/>
                  <a:graphic xmlns:a="http://schemas.openxmlformats.org/drawingml/2006/main">
                    <a:graphicData uri="http://schemas.openxmlformats.org/drawingml/2006/picture">
                      <pic:pic xmlns:pic="http://schemas.openxmlformats.org/drawingml/2006/picture">
                        <pic:nvPicPr>
                          <pic:cNvPr id="778" name="AutoShape_1_SpCnt_32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79" name="AutoShape_2_SpCnt_285"/>
                  <wp:cNvGraphicFramePr/>
                  <a:graphic xmlns:a="http://schemas.openxmlformats.org/drawingml/2006/main">
                    <a:graphicData uri="http://schemas.openxmlformats.org/drawingml/2006/picture">
                      <pic:pic xmlns:pic="http://schemas.openxmlformats.org/drawingml/2006/picture">
                        <pic:nvPicPr>
                          <pic:cNvPr id="779" name="AutoShape_2_SpCnt_28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80" name="AutoShape_1_SpCnt_327"/>
                  <wp:cNvGraphicFramePr/>
                  <a:graphic xmlns:a="http://schemas.openxmlformats.org/drawingml/2006/main">
                    <a:graphicData uri="http://schemas.openxmlformats.org/drawingml/2006/picture">
                      <pic:pic xmlns:pic="http://schemas.openxmlformats.org/drawingml/2006/picture">
                        <pic:nvPicPr>
                          <pic:cNvPr id="780" name="AutoShape_1_SpCnt_32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81" name="AutoShape_1_SpCnt_328"/>
                  <wp:cNvGraphicFramePr/>
                  <a:graphic xmlns:a="http://schemas.openxmlformats.org/drawingml/2006/main">
                    <a:graphicData uri="http://schemas.openxmlformats.org/drawingml/2006/picture">
                      <pic:pic xmlns:pic="http://schemas.openxmlformats.org/drawingml/2006/picture">
                        <pic:nvPicPr>
                          <pic:cNvPr id="781" name="AutoShape_1_SpCnt_32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82" name="AutoShape_2_SpCnt_286"/>
                  <wp:cNvGraphicFramePr/>
                  <a:graphic xmlns:a="http://schemas.openxmlformats.org/drawingml/2006/main">
                    <a:graphicData uri="http://schemas.openxmlformats.org/drawingml/2006/picture">
                      <pic:pic xmlns:pic="http://schemas.openxmlformats.org/drawingml/2006/picture">
                        <pic:nvPicPr>
                          <pic:cNvPr id="782" name="AutoShape_2_SpCnt_28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83" name="AutoShape_1_SpCnt_329"/>
                  <wp:cNvGraphicFramePr/>
                  <a:graphic xmlns:a="http://schemas.openxmlformats.org/drawingml/2006/main">
                    <a:graphicData uri="http://schemas.openxmlformats.org/drawingml/2006/picture">
                      <pic:pic xmlns:pic="http://schemas.openxmlformats.org/drawingml/2006/picture">
                        <pic:nvPicPr>
                          <pic:cNvPr id="783" name="AutoShape_1_SpCnt_32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84" name="AutoShape_2_SpCnt_287"/>
                  <wp:cNvGraphicFramePr/>
                  <a:graphic xmlns:a="http://schemas.openxmlformats.org/drawingml/2006/main">
                    <a:graphicData uri="http://schemas.openxmlformats.org/drawingml/2006/picture">
                      <pic:pic xmlns:pic="http://schemas.openxmlformats.org/drawingml/2006/picture">
                        <pic:nvPicPr>
                          <pic:cNvPr id="784" name="AutoShape_2_SpCnt_28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85" name="AutoShape_2_SpCnt_288"/>
                  <wp:cNvGraphicFramePr/>
                  <a:graphic xmlns:a="http://schemas.openxmlformats.org/drawingml/2006/main">
                    <a:graphicData uri="http://schemas.openxmlformats.org/drawingml/2006/picture">
                      <pic:pic xmlns:pic="http://schemas.openxmlformats.org/drawingml/2006/picture">
                        <pic:nvPicPr>
                          <pic:cNvPr id="785" name="AutoShape_2_SpCnt_28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86" name="AutoShape_1_SpCnt_330"/>
                  <wp:cNvGraphicFramePr/>
                  <a:graphic xmlns:a="http://schemas.openxmlformats.org/drawingml/2006/main">
                    <a:graphicData uri="http://schemas.openxmlformats.org/drawingml/2006/picture">
                      <pic:pic xmlns:pic="http://schemas.openxmlformats.org/drawingml/2006/picture">
                        <pic:nvPicPr>
                          <pic:cNvPr id="786" name="AutoShape_1_SpCnt_33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87" name="AutoShape_1_SpCnt_331"/>
                  <wp:cNvGraphicFramePr/>
                  <a:graphic xmlns:a="http://schemas.openxmlformats.org/drawingml/2006/main">
                    <a:graphicData uri="http://schemas.openxmlformats.org/drawingml/2006/picture">
                      <pic:pic xmlns:pic="http://schemas.openxmlformats.org/drawingml/2006/picture">
                        <pic:nvPicPr>
                          <pic:cNvPr id="787" name="AutoShape_1_SpCnt_33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88" name="AutoShape_1_SpCnt_332"/>
                  <wp:cNvGraphicFramePr/>
                  <a:graphic xmlns:a="http://schemas.openxmlformats.org/drawingml/2006/main">
                    <a:graphicData uri="http://schemas.openxmlformats.org/drawingml/2006/picture">
                      <pic:pic xmlns:pic="http://schemas.openxmlformats.org/drawingml/2006/picture">
                        <pic:nvPicPr>
                          <pic:cNvPr id="788" name="AutoShape_1_SpCnt_33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89" name="AutoShape_1_SpCnt_333"/>
                  <wp:cNvGraphicFramePr/>
                  <a:graphic xmlns:a="http://schemas.openxmlformats.org/drawingml/2006/main">
                    <a:graphicData uri="http://schemas.openxmlformats.org/drawingml/2006/picture">
                      <pic:pic xmlns:pic="http://schemas.openxmlformats.org/drawingml/2006/picture">
                        <pic:nvPicPr>
                          <pic:cNvPr id="789" name="AutoShape_1_SpCnt_33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90" name="AutoShape_2_SpCnt_289"/>
                  <wp:cNvGraphicFramePr/>
                  <a:graphic xmlns:a="http://schemas.openxmlformats.org/drawingml/2006/main">
                    <a:graphicData uri="http://schemas.openxmlformats.org/drawingml/2006/picture">
                      <pic:pic xmlns:pic="http://schemas.openxmlformats.org/drawingml/2006/picture">
                        <pic:nvPicPr>
                          <pic:cNvPr id="790" name="AutoShape_2_SpCnt_28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91" name="AutoShape_1_SpCnt_334"/>
                  <wp:cNvGraphicFramePr/>
                  <a:graphic xmlns:a="http://schemas.openxmlformats.org/drawingml/2006/main">
                    <a:graphicData uri="http://schemas.openxmlformats.org/drawingml/2006/picture">
                      <pic:pic xmlns:pic="http://schemas.openxmlformats.org/drawingml/2006/picture">
                        <pic:nvPicPr>
                          <pic:cNvPr id="791" name="AutoShape_1_SpCnt_33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92" name="AutoShape_2_SpCnt_290"/>
                  <wp:cNvGraphicFramePr/>
                  <a:graphic xmlns:a="http://schemas.openxmlformats.org/drawingml/2006/main">
                    <a:graphicData uri="http://schemas.openxmlformats.org/drawingml/2006/picture">
                      <pic:pic xmlns:pic="http://schemas.openxmlformats.org/drawingml/2006/picture">
                        <pic:nvPicPr>
                          <pic:cNvPr id="792" name="AutoShape_2_SpCnt_29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93" name="AutoShape_2_SpCnt_291"/>
                  <wp:cNvGraphicFramePr/>
                  <a:graphic xmlns:a="http://schemas.openxmlformats.org/drawingml/2006/main">
                    <a:graphicData uri="http://schemas.openxmlformats.org/drawingml/2006/picture">
                      <pic:pic xmlns:pic="http://schemas.openxmlformats.org/drawingml/2006/picture">
                        <pic:nvPicPr>
                          <pic:cNvPr id="793" name="AutoShape_2_SpCnt_29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94" name="AutoShape_1_SpCnt_335"/>
                  <wp:cNvGraphicFramePr/>
                  <a:graphic xmlns:a="http://schemas.openxmlformats.org/drawingml/2006/main">
                    <a:graphicData uri="http://schemas.openxmlformats.org/drawingml/2006/picture">
                      <pic:pic xmlns:pic="http://schemas.openxmlformats.org/drawingml/2006/picture">
                        <pic:nvPicPr>
                          <pic:cNvPr id="794" name="AutoShape_1_SpCnt_33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95" name="AutoShape_2_SpCnt_292"/>
                  <wp:cNvGraphicFramePr/>
                  <a:graphic xmlns:a="http://schemas.openxmlformats.org/drawingml/2006/main">
                    <a:graphicData uri="http://schemas.openxmlformats.org/drawingml/2006/picture">
                      <pic:pic xmlns:pic="http://schemas.openxmlformats.org/drawingml/2006/picture">
                        <pic:nvPicPr>
                          <pic:cNvPr id="795" name="AutoShape_2_SpCnt_29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96" name="AutoShape_1_SpCnt_336"/>
                  <wp:cNvGraphicFramePr/>
                  <a:graphic xmlns:a="http://schemas.openxmlformats.org/drawingml/2006/main">
                    <a:graphicData uri="http://schemas.openxmlformats.org/drawingml/2006/picture">
                      <pic:pic xmlns:pic="http://schemas.openxmlformats.org/drawingml/2006/picture">
                        <pic:nvPicPr>
                          <pic:cNvPr id="796" name="AutoShape_1_SpCnt_33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97" name="AutoShape_2_SpCnt_293"/>
                  <wp:cNvGraphicFramePr/>
                  <a:graphic xmlns:a="http://schemas.openxmlformats.org/drawingml/2006/main">
                    <a:graphicData uri="http://schemas.openxmlformats.org/drawingml/2006/picture">
                      <pic:pic xmlns:pic="http://schemas.openxmlformats.org/drawingml/2006/picture">
                        <pic:nvPicPr>
                          <pic:cNvPr id="797" name="AutoShape_2_SpCnt_29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98" name="AutoShape_1_SpCnt_337"/>
                  <wp:cNvGraphicFramePr/>
                  <a:graphic xmlns:a="http://schemas.openxmlformats.org/drawingml/2006/main">
                    <a:graphicData uri="http://schemas.openxmlformats.org/drawingml/2006/picture">
                      <pic:pic xmlns:pic="http://schemas.openxmlformats.org/drawingml/2006/picture">
                        <pic:nvPicPr>
                          <pic:cNvPr id="798" name="AutoShape_1_SpCnt_33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799" name="AutoShape_1_SpCnt_338"/>
                  <wp:cNvGraphicFramePr/>
                  <a:graphic xmlns:a="http://schemas.openxmlformats.org/drawingml/2006/main">
                    <a:graphicData uri="http://schemas.openxmlformats.org/drawingml/2006/picture">
                      <pic:pic xmlns:pic="http://schemas.openxmlformats.org/drawingml/2006/picture">
                        <pic:nvPicPr>
                          <pic:cNvPr id="799" name="AutoShape_1_SpCnt_33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00" name="AutoShape_1_SpCnt_339"/>
                  <wp:cNvGraphicFramePr/>
                  <a:graphic xmlns:a="http://schemas.openxmlformats.org/drawingml/2006/main">
                    <a:graphicData uri="http://schemas.openxmlformats.org/drawingml/2006/picture">
                      <pic:pic xmlns:pic="http://schemas.openxmlformats.org/drawingml/2006/picture">
                        <pic:nvPicPr>
                          <pic:cNvPr id="800" name="AutoShape_1_SpCnt_33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01" name="AutoShape_1_SpCnt_340"/>
                  <wp:cNvGraphicFramePr/>
                  <a:graphic xmlns:a="http://schemas.openxmlformats.org/drawingml/2006/main">
                    <a:graphicData uri="http://schemas.openxmlformats.org/drawingml/2006/picture">
                      <pic:pic xmlns:pic="http://schemas.openxmlformats.org/drawingml/2006/picture">
                        <pic:nvPicPr>
                          <pic:cNvPr id="801" name="AutoShape_1_SpCnt_34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02" name="AutoShape_2_SpCnt_294"/>
                  <wp:cNvGraphicFramePr/>
                  <a:graphic xmlns:a="http://schemas.openxmlformats.org/drawingml/2006/main">
                    <a:graphicData uri="http://schemas.openxmlformats.org/drawingml/2006/picture">
                      <pic:pic xmlns:pic="http://schemas.openxmlformats.org/drawingml/2006/picture">
                        <pic:nvPicPr>
                          <pic:cNvPr id="802" name="AutoShape_2_SpCnt_29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03" name="AutoShape_1_SpCnt_341"/>
                  <wp:cNvGraphicFramePr/>
                  <a:graphic xmlns:a="http://schemas.openxmlformats.org/drawingml/2006/main">
                    <a:graphicData uri="http://schemas.openxmlformats.org/drawingml/2006/picture">
                      <pic:pic xmlns:pic="http://schemas.openxmlformats.org/drawingml/2006/picture">
                        <pic:nvPicPr>
                          <pic:cNvPr id="803" name="AutoShape_1_SpCnt_34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04" name="AutoShape_2_SpCnt_295"/>
                  <wp:cNvGraphicFramePr/>
                  <a:graphic xmlns:a="http://schemas.openxmlformats.org/drawingml/2006/main">
                    <a:graphicData uri="http://schemas.openxmlformats.org/drawingml/2006/picture">
                      <pic:pic xmlns:pic="http://schemas.openxmlformats.org/drawingml/2006/picture">
                        <pic:nvPicPr>
                          <pic:cNvPr id="804" name="AutoShape_2_SpCnt_29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05" name="AutoShape_2_SpCnt_296"/>
                  <wp:cNvGraphicFramePr/>
                  <a:graphic xmlns:a="http://schemas.openxmlformats.org/drawingml/2006/main">
                    <a:graphicData uri="http://schemas.openxmlformats.org/drawingml/2006/picture">
                      <pic:pic xmlns:pic="http://schemas.openxmlformats.org/drawingml/2006/picture">
                        <pic:nvPicPr>
                          <pic:cNvPr id="805" name="AutoShape_2_SpCnt_29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06" name="AutoShape_1_SpCnt_342"/>
                  <wp:cNvGraphicFramePr/>
                  <a:graphic xmlns:a="http://schemas.openxmlformats.org/drawingml/2006/main">
                    <a:graphicData uri="http://schemas.openxmlformats.org/drawingml/2006/picture">
                      <pic:pic xmlns:pic="http://schemas.openxmlformats.org/drawingml/2006/picture">
                        <pic:nvPicPr>
                          <pic:cNvPr id="806" name="AutoShape_1_SpCnt_34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07" name="AutoShape_1_SpCnt_343"/>
                  <wp:cNvGraphicFramePr/>
                  <a:graphic xmlns:a="http://schemas.openxmlformats.org/drawingml/2006/main">
                    <a:graphicData uri="http://schemas.openxmlformats.org/drawingml/2006/picture">
                      <pic:pic xmlns:pic="http://schemas.openxmlformats.org/drawingml/2006/picture">
                        <pic:nvPicPr>
                          <pic:cNvPr id="807" name="AutoShape_1_SpCnt_34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08" name="AutoShape_2_SpCnt_297"/>
                  <wp:cNvGraphicFramePr/>
                  <a:graphic xmlns:a="http://schemas.openxmlformats.org/drawingml/2006/main">
                    <a:graphicData uri="http://schemas.openxmlformats.org/drawingml/2006/picture">
                      <pic:pic xmlns:pic="http://schemas.openxmlformats.org/drawingml/2006/picture">
                        <pic:nvPicPr>
                          <pic:cNvPr id="808" name="AutoShape_2_SpCnt_29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09" name="AutoShape_2_SpCnt_298"/>
                  <wp:cNvGraphicFramePr/>
                  <a:graphic xmlns:a="http://schemas.openxmlformats.org/drawingml/2006/main">
                    <a:graphicData uri="http://schemas.openxmlformats.org/drawingml/2006/picture">
                      <pic:pic xmlns:pic="http://schemas.openxmlformats.org/drawingml/2006/picture">
                        <pic:nvPicPr>
                          <pic:cNvPr id="809" name="AutoShape_2_SpCnt_29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10" name="AutoShape_1_SpCnt_344"/>
                  <wp:cNvGraphicFramePr/>
                  <a:graphic xmlns:a="http://schemas.openxmlformats.org/drawingml/2006/main">
                    <a:graphicData uri="http://schemas.openxmlformats.org/drawingml/2006/picture">
                      <pic:pic xmlns:pic="http://schemas.openxmlformats.org/drawingml/2006/picture">
                        <pic:nvPicPr>
                          <pic:cNvPr id="810" name="AutoShape_1_SpCnt_34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11" name="AutoShape_2_SpCnt_299"/>
                  <wp:cNvGraphicFramePr/>
                  <a:graphic xmlns:a="http://schemas.openxmlformats.org/drawingml/2006/main">
                    <a:graphicData uri="http://schemas.openxmlformats.org/drawingml/2006/picture">
                      <pic:pic xmlns:pic="http://schemas.openxmlformats.org/drawingml/2006/picture">
                        <pic:nvPicPr>
                          <pic:cNvPr id="811" name="AutoShape_2_SpCnt_29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12" name="AutoShape_1_SpCnt_345"/>
                  <wp:cNvGraphicFramePr/>
                  <a:graphic xmlns:a="http://schemas.openxmlformats.org/drawingml/2006/main">
                    <a:graphicData uri="http://schemas.openxmlformats.org/drawingml/2006/picture">
                      <pic:pic xmlns:pic="http://schemas.openxmlformats.org/drawingml/2006/picture">
                        <pic:nvPicPr>
                          <pic:cNvPr id="812" name="AutoShape_1_SpCnt_34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13" name="AutoShape_1_SpCnt_346"/>
                  <wp:cNvGraphicFramePr/>
                  <a:graphic xmlns:a="http://schemas.openxmlformats.org/drawingml/2006/main">
                    <a:graphicData uri="http://schemas.openxmlformats.org/drawingml/2006/picture">
                      <pic:pic xmlns:pic="http://schemas.openxmlformats.org/drawingml/2006/picture">
                        <pic:nvPicPr>
                          <pic:cNvPr id="813" name="AutoShape_1_SpCnt_34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14" name="AutoShape_1_SpCnt_347"/>
                  <wp:cNvGraphicFramePr/>
                  <a:graphic xmlns:a="http://schemas.openxmlformats.org/drawingml/2006/main">
                    <a:graphicData uri="http://schemas.openxmlformats.org/drawingml/2006/picture">
                      <pic:pic xmlns:pic="http://schemas.openxmlformats.org/drawingml/2006/picture">
                        <pic:nvPicPr>
                          <pic:cNvPr id="814" name="AutoShape_1_SpCnt_34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15" name="AutoShape_1_SpCnt_348"/>
                  <wp:cNvGraphicFramePr/>
                  <a:graphic xmlns:a="http://schemas.openxmlformats.org/drawingml/2006/main">
                    <a:graphicData uri="http://schemas.openxmlformats.org/drawingml/2006/picture">
                      <pic:pic xmlns:pic="http://schemas.openxmlformats.org/drawingml/2006/picture">
                        <pic:nvPicPr>
                          <pic:cNvPr id="815" name="AutoShape_1_SpCnt_34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16" name="AutoShape_1_SpCnt_349"/>
                  <wp:cNvGraphicFramePr/>
                  <a:graphic xmlns:a="http://schemas.openxmlformats.org/drawingml/2006/main">
                    <a:graphicData uri="http://schemas.openxmlformats.org/drawingml/2006/picture">
                      <pic:pic xmlns:pic="http://schemas.openxmlformats.org/drawingml/2006/picture">
                        <pic:nvPicPr>
                          <pic:cNvPr id="816" name="AutoShape_1_SpCnt_34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17" name="AutoShape_2_SpCnt_300"/>
                  <wp:cNvGraphicFramePr/>
                  <a:graphic xmlns:a="http://schemas.openxmlformats.org/drawingml/2006/main">
                    <a:graphicData uri="http://schemas.openxmlformats.org/drawingml/2006/picture">
                      <pic:pic xmlns:pic="http://schemas.openxmlformats.org/drawingml/2006/picture">
                        <pic:nvPicPr>
                          <pic:cNvPr id="817" name="AutoShape_2_SpCnt_30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18" name="AutoShape_1_SpCnt_350"/>
                  <wp:cNvGraphicFramePr/>
                  <a:graphic xmlns:a="http://schemas.openxmlformats.org/drawingml/2006/main">
                    <a:graphicData uri="http://schemas.openxmlformats.org/drawingml/2006/picture">
                      <pic:pic xmlns:pic="http://schemas.openxmlformats.org/drawingml/2006/picture">
                        <pic:nvPicPr>
                          <pic:cNvPr id="818" name="AutoShape_1_SpCnt_35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19" name="AutoShape_2_SpCnt_301"/>
                  <wp:cNvGraphicFramePr/>
                  <a:graphic xmlns:a="http://schemas.openxmlformats.org/drawingml/2006/main">
                    <a:graphicData uri="http://schemas.openxmlformats.org/drawingml/2006/picture">
                      <pic:pic xmlns:pic="http://schemas.openxmlformats.org/drawingml/2006/picture">
                        <pic:nvPicPr>
                          <pic:cNvPr id="819" name="AutoShape_2_SpCnt_30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20" name="AutoShape_1_SpCnt_351"/>
                  <wp:cNvGraphicFramePr/>
                  <a:graphic xmlns:a="http://schemas.openxmlformats.org/drawingml/2006/main">
                    <a:graphicData uri="http://schemas.openxmlformats.org/drawingml/2006/picture">
                      <pic:pic xmlns:pic="http://schemas.openxmlformats.org/drawingml/2006/picture">
                        <pic:nvPicPr>
                          <pic:cNvPr id="820" name="AutoShape_1_SpCnt_35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21" name="AutoShape_2_SpCnt_302"/>
                  <wp:cNvGraphicFramePr/>
                  <a:graphic xmlns:a="http://schemas.openxmlformats.org/drawingml/2006/main">
                    <a:graphicData uri="http://schemas.openxmlformats.org/drawingml/2006/picture">
                      <pic:pic xmlns:pic="http://schemas.openxmlformats.org/drawingml/2006/picture">
                        <pic:nvPicPr>
                          <pic:cNvPr id="821" name="AutoShape_2_SpCnt_30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22" name="AutoShape_2_SpCnt_303"/>
                  <wp:cNvGraphicFramePr/>
                  <a:graphic xmlns:a="http://schemas.openxmlformats.org/drawingml/2006/main">
                    <a:graphicData uri="http://schemas.openxmlformats.org/drawingml/2006/picture">
                      <pic:pic xmlns:pic="http://schemas.openxmlformats.org/drawingml/2006/picture">
                        <pic:nvPicPr>
                          <pic:cNvPr id="822" name="AutoShape_2_SpCnt_30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23" name="AutoShape_1_SpCnt_352"/>
                  <wp:cNvGraphicFramePr/>
                  <a:graphic xmlns:a="http://schemas.openxmlformats.org/drawingml/2006/main">
                    <a:graphicData uri="http://schemas.openxmlformats.org/drawingml/2006/picture">
                      <pic:pic xmlns:pic="http://schemas.openxmlformats.org/drawingml/2006/picture">
                        <pic:nvPicPr>
                          <pic:cNvPr id="823" name="AutoShape_1_SpCnt_35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24" name="AutoShape_1_SpCnt_353"/>
                  <wp:cNvGraphicFramePr/>
                  <a:graphic xmlns:a="http://schemas.openxmlformats.org/drawingml/2006/main">
                    <a:graphicData uri="http://schemas.openxmlformats.org/drawingml/2006/picture">
                      <pic:pic xmlns:pic="http://schemas.openxmlformats.org/drawingml/2006/picture">
                        <pic:nvPicPr>
                          <pic:cNvPr id="824" name="AutoShape_1_SpCnt_35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25" name="AutoShape_2_SpCnt_304"/>
                  <wp:cNvGraphicFramePr/>
                  <a:graphic xmlns:a="http://schemas.openxmlformats.org/drawingml/2006/main">
                    <a:graphicData uri="http://schemas.openxmlformats.org/drawingml/2006/picture">
                      <pic:pic xmlns:pic="http://schemas.openxmlformats.org/drawingml/2006/picture">
                        <pic:nvPicPr>
                          <pic:cNvPr id="825" name="AutoShape_2_SpCnt_30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26" name="AutoShape_2_SpCnt_305"/>
                  <wp:cNvGraphicFramePr/>
                  <a:graphic xmlns:a="http://schemas.openxmlformats.org/drawingml/2006/main">
                    <a:graphicData uri="http://schemas.openxmlformats.org/drawingml/2006/picture">
                      <pic:pic xmlns:pic="http://schemas.openxmlformats.org/drawingml/2006/picture">
                        <pic:nvPicPr>
                          <pic:cNvPr id="826" name="AutoShape_2_SpCnt_30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27" name="AutoShape_1_SpCnt_354"/>
                  <wp:cNvGraphicFramePr/>
                  <a:graphic xmlns:a="http://schemas.openxmlformats.org/drawingml/2006/main">
                    <a:graphicData uri="http://schemas.openxmlformats.org/drawingml/2006/picture">
                      <pic:pic xmlns:pic="http://schemas.openxmlformats.org/drawingml/2006/picture">
                        <pic:nvPicPr>
                          <pic:cNvPr id="827" name="AutoShape_1_SpCnt_35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28" name="AutoShape_2_SpCnt_306"/>
                  <wp:cNvGraphicFramePr/>
                  <a:graphic xmlns:a="http://schemas.openxmlformats.org/drawingml/2006/main">
                    <a:graphicData uri="http://schemas.openxmlformats.org/drawingml/2006/picture">
                      <pic:pic xmlns:pic="http://schemas.openxmlformats.org/drawingml/2006/picture">
                        <pic:nvPicPr>
                          <pic:cNvPr id="828" name="AutoShape_2_SpCnt_30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29" name="AutoShape_1_SpCnt_355"/>
                  <wp:cNvGraphicFramePr/>
                  <a:graphic xmlns:a="http://schemas.openxmlformats.org/drawingml/2006/main">
                    <a:graphicData uri="http://schemas.openxmlformats.org/drawingml/2006/picture">
                      <pic:pic xmlns:pic="http://schemas.openxmlformats.org/drawingml/2006/picture">
                        <pic:nvPicPr>
                          <pic:cNvPr id="829" name="AutoShape_1_SpCnt_35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30" name="AutoShape_1_SpCnt_356"/>
                  <wp:cNvGraphicFramePr/>
                  <a:graphic xmlns:a="http://schemas.openxmlformats.org/drawingml/2006/main">
                    <a:graphicData uri="http://schemas.openxmlformats.org/drawingml/2006/picture">
                      <pic:pic xmlns:pic="http://schemas.openxmlformats.org/drawingml/2006/picture">
                        <pic:nvPicPr>
                          <pic:cNvPr id="830" name="AutoShape_1_SpCnt_35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31" name="AutoShape_2_SpCnt_307"/>
                  <wp:cNvGraphicFramePr/>
                  <a:graphic xmlns:a="http://schemas.openxmlformats.org/drawingml/2006/main">
                    <a:graphicData uri="http://schemas.openxmlformats.org/drawingml/2006/picture">
                      <pic:pic xmlns:pic="http://schemas.openxmlformats.org/drawingml/2006/picture">
                        <pic:nvPicPr>
                          <pic:cNvPr id="831" name="AutoShape_2_SpCnt_30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32" name="AutoShape_2_SpCnt_308"/>
                  <wp:cNvGraphicFramePr/>
                  <a:graphic xmlns:a="http://schemas.openxmlformats.org/drawingml/2006/main">
                    <a:graphicData uri="http://schemas.openxmlformats.org/drawingml/2006/picture">
                      <pic:pic xmlns:pic="http://schemas.openxmlformats.org/drawingml/2006/picture">
                        <pic:nvPicPr>
                          <pic:cNvPr id="832" name="AutoShape_2_SpCnt_30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33" name="AutoShape_2_SpCnt_309"/>
                  <wp:cNvGraphicFramePr/>
                  <a:graphic xmlns:a="http://schemas.openxmlformats.org/drawingml/2006/main">
                    <a:graphicData uri="http://schemas.openxmlformats.org/drawingml/2006/picture">
                      <pic:pic xmlns:pic="http://schemas.openxmlformats.org/drawingml/2006/picture">
                        <pic:nvPicPr>
                          <pic:cNvPr id="833" name="AutoShape_2_SpCnt_30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34" name="AutoShape_1_SpCnt_357"/>
                  <wp:cNvGraphicFramePr/>
                  <a:graphic xmlns:a="http://schemas.openxmlformats.org/drawingml/2006/main">
                    <a:graphicData uri="http://schemas.openxmlformats.org/drawingml/2006/picture">
                      <pic:pic xmlns:pic="http://schemas.openxmlformats.org/drawingml/2006/picture">
                        <pic:nvPicPr>
                          <pic:cNvPr id="834" name="AutoShape_1_SpCnt_35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35" name="AutoShape_1_SpCnt_358"/>
                  <wp:cNvGraphicFramePr/>
                  <a:graphic xmlns:a="http://schemas.openxmlformats.org/drawingml/2006/main">
                    <a:graphicData uri="http://schemas.openxmlformats.org/drawingml/2006/picture">
                      <pic:pic xmlns:pic="http://schemas.openxmlformats.org/drawingml/2006/picture">
                        <pic:nvPicPr>
                          <pic:cNvPr id="835" name="AutoShape_1_SpCnt_35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36" name="AutoShape_1_SpCnt_359"/>
                  <wp:cNvGraphicFramePr/>
                  <a:graphic xmlns:a="http://schemas.openxmlformats.org/drawingml/2006/main">
                    <a:graphicData uri="http://schemas.openxmlformats.org/drawingml/2006/picture">
                      <pic:pic xmlns:pic="http://schemas.openxmlformats.org/drawingml/2006/picture">
                        <pic:nvPicPr>
                          <pic:cNvPr id="836" name="AutoShape_1_SpCnt_35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37" name="AutoShape_1_SpCnt_360"/>
                  <wp:cNvGraphicFramePr/>
                  <a:graphic xmlns:a="http://schemas.openxmlformats.org/drawingml/2006/main">
                    <a:graphicData uri="http://schemas.openxmlformats.org/drawingml/2006/picture">
                      <pic:pic xmlns:pic="http://schemas.openxmlformats.org/drawingml/2006/picture">
                        <pic:nvPicPr>
                          <pic:cNvPr id="837" name="AutoShape_1_SpCnt_36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38" name="AutoShape_2_SpCnt_310"/>
                  <wp:cNvGraphicFramePr/>
                  <a:graphic xmlns:a="http://schemas.openxmlformats.org/drawingml/2006/main">
                    <a:graphicData uri="http://schemas.openxmlformats.org/drawingml/2006/picture">
                      <pic:pic xmlns:pic="http://schemas.openxmlformats.org/drawingml/2006/picture">
                        <pic:nvPicPr>
                          <pic:cNvPr id="838" name="AutoShape_2_SpCnt_31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39" name="AutoShape_1_SpCnt_361"/>
                  <wp:cNvGraphicFramePr/>
                  <a:graphic xmlns:a="http://schemas.openxmlformats.org/drawingml/2006/main">
                    <a:graphicData uri="http://schemas.openxmlformats.org/drawingml/2006/picture">
                      <pic:pic xmlns:pic="http://schemas.openxmlformats.org/drawingml/2006/picture">
                        <pic:nvPicPr>
                          <pic:cNvPr id="839" name="AutoShape_1_SpCnt_36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40" name="AutoShape_2_SpCnt_311"/>
                  <wp:cNvGraphicFramePr/>
                  <a:graphic xmlns:a="http://schemas.openxmlformats.org/drawingml/2006/main">
                    <a:graphicData uri="http://schemas.openxmlformats.org/drawingml/2006/picture">
                      <pic:pic xmlns:pic="http://schemas.openxmlformats.org/drawingml/2006/picture">
                        <pic:nvPicPr>
                          <pic:cNvPr id="840" name="AutoShape_2_SpCnt_31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41" name="AutoShape_2_SpCnt_312"/>
                  <wp:cNvGraphicFramePr/>
                  <a:graphic xmlns:a="http://schemas.openxmlformats.org/drawingml/2006/main">
                    <a:graphicData uri="http://schemas.openxmlformats.org/drawingml/2006/picture">
                      <pic:pic xmlns:pic="http://schemas.openxmlformats.org/drawingml/2006/picture">
                        <pic:nvPicPr>
                          <pic:cNvPr id="841" name="AutoShape_2_SpCnt_31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42" name="AutoShape_2_SpCnt_313"/>
                  <wp:cNvGraphicFramePr/>
                  <a:graphic xmlns:a="http://schemas.openxmlformats.org/drawingml/2006/main">
                    <a:graphicData uri="http://schemas.openxmlformats.org/drawingml/2006/picture">
                      <pic:pic xmlns:pic="http://schemas.openxmlformats.org/drawingml/2006/picture">
                        <pic:nvPicPr>
                          <pic:cNvPr id="842" name="AutoShape_2_SpCnt_31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43" name="AutoShape_1_SpCnt_362"/>
                  <wp:cNvGraphicFramePr/>
                  <a:graphic xmlns:a="http://schemas.openxmlformats.org/drawingml/2006/main">
                    <a:graphicData uri="http://schemas.openxmlformats.org/drawingml/2006/picture">
                      <pic:pic xmlns:pic="http://schemas.openxmlformats.org/drawingml/2006/picture">
                        <pic:nvPicPr>
                          <pic:cNvPr id="843" name="AutoShape_1_SpCnt_36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44" name="AutoShape_2_SpCnt_314"/>
                  <wp:cNvGraphicFramePr/>
                  <a:graphic xmlns:a="http://schemas.openxmlformats.org/drawingml/2006/main">
                    <a:graphicData uri="http://schemas.openxmlformats.org/drawingml/2006/picture">
                      <pic:pic xmlns:pic="http://schemas.openxmlformats.org/drawingml/2006/picture">
                        <pic:nvPicPr>
                          <pic:cNvPr id="844" name="AutoShape_2_SpCnt_31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45" name="AutoShape_2_SpCnt_315"/>
                  <wp:cNvGraphicFramePr/>
                  <a:graphic xmlns:a="http://schemas.openxmlformats.org/drawingml/2006/main">
                    <a:graphicData uri="http://schemas.openxmlformats.org/drawingml/2006/picture">
                      <pic:pic xmlns:pic="http://schemas.openxmlformats.org/drawingml/2006/picture">
                        <pic:nvPicPr>
                          <pic:cNvPr id="845" name="AutoShape_2_SpCnt_31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46" name="AutoShape_1_SpCnt_363"/>
                  <wp:cNvGraphicFramePr/>
                  <a:graphic xmlns:a="http://schemas.openxmlformats.org/drawingml/2006/main">
                    <a:graphicData uri="http://schemas.openxmlformats.org/drawingml/2006/picture">
                      <pic:pic xmlns:pic="http://schemas.openxmlformats.org/drawingml/2006/picture">
                        <pic:nvPicPr>
                          <pic:cNvPr id="846" name="AutoShape_1_SpCnt_36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47" name="AutoShape_2_SpCnt_316"/>
                  <wp:cNvGraphicFramePr/>
                  <a:graphic xmlns:a="http://schemas.openxmlformats.org/drawingml/2006/main">
                    <a:graphicData uri="http://schemas.openxmlformats.org/drawingml/2006/picture">
                      <pic:pic xmlns:pic="http://schemas.openxmlformats.org/drawingml/2006/picture">
                        <pic:nvPicPr>
                          <pic:cNvPr id="847" name="AutoShape_2_SpCnt_31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48" name="AutoShape_1_SpCnt_364"/>
                  <wp:cNvGraphicFramePr/>
                  <a:graphic xmlns:a="http://schemas.openxmlformats.org/drawingml/2006/main">
                    <a:graphicData uri="http://schemas.openxmlformats.org/drawingml/2006/picture">
                      <pic:pic xmlns:pic="http://schemas.openxmlformats.org/drawingml/2006/picture">
                        <pic:nvPicPr>
                          <pic:cNvPr id="848" name="AutoShape_1_SpCnt_36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49" name="AutoShape_1_SpCnt_365"/>
                  <wp:cNvGraphicFramePr/>
                  <a:graphic xmlns:a="http://schemas.openxmlformats.org/drawingml/2006/main">
                    <a:graphicData uri="http://schemas.openxmlformats.org/drawingml/2006/picture">
                      <pic:pic xmlns:pic="http://schemas.openxmlformats.org/drawingml/2006/picture">
                        <pic:nvPicPr>
                          <pic:cNvPr id="849" name="AutoShape_1_SpCnt_36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50" name="AutoShape_2_SpCnt_317"/>
                  <wp:cNvGraphicFramePr/>
                  <a:graphic xmlns:a="http://schemas.openxmlformats.org/drawingml/2006/main">
                    <a:graphicData uri="http://schemas.openxmlformats.org/drawingml/2006/picture">
                      <pic:pic xmlns:pic="http://schemas.openxmlformats.org/drawingml/2006/picture">
                        <pic:nvPicPr>
                          <pic:cNvPr id="850" name="AutoShape_2_SpCnt_31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51" name="AutoShape_2_SpCnt_318"/>
                  <wp:cNvGraphicFramePr/>
                  <a:graphic xmlns:a="http://schemas.openxmlformats.org/drawingml/2006/main">
                    <a:graphicData uri="http://schemas.openxmlformats.org/drawingml/2006/picture">
                      <pic:pic xmlns:pic="http://schemas.openxmlformats.org/drawingml/2006/picture">
                        <pic:nvPicPr>
                          <pic:cNvPr id="851" name="AutoShape_2_SpCnt_31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52" name="AutoShape_2_SpCnt_319"/>
                  <wp:cNvGraphicFramePr/>
                  <a:graphic xmlns:a="http://schemas.openxmlformats.org/drawingml/2006/main">
                    <a:graphicData uri="http://schemas.openxmlformats.org/drawingml/2006/picture">
                      <pic:pic xmlns:pic="http://schemas.openxmlformats.org/drawingml/2006/picture">
                        <pic:nvPicPr>
                          <pic:cNvPr id="852" name="AutoShape_2_SpCnt_31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53" name="AutoShape_1_SpCnt_366"/>
                  <wp:cNvGraphicFramePr/>
                  <a:graphic xmlns:a="http://schemas.openxmlformats.org/drawingml/2006/main">
                    <a:graphicData uri="http://schemas.openxmlformats.org/drawingml/2006/picture">
                      <pic:pic xmlns:pic="http://schemas.openxmlformats.org/drawingml/2006/picture">
                        <pic:nvPicPr>
                          <pic:cNvPr id="853" name="AutoShape_1_SpCnt_36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54" name="AutoShape_2_SpCnt_320"/>
                  <wp:cNvGraphicFramePr/>
                  <a:graphic xmlns:a="http://schemas.openxmlformats.org/drawingml/2006/main">
                    <a:graphicData uri="http://schemas.openxmlformats.org/drawingml/2006/picture">
                      <pic:pic xmlns:pic="http://schemas.openxmlformats.org/drawingml/2006/picture">
                        <pic:nvPicPr>
                          <pic:cNvPr id="854" name="AutoShape_2_SpCnt_32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55" name="AutoShape_2_SpCnt_321"/>
                  <wp:cNvGraphicFramePr/>
                  <a:graphic xmlns:a="http://schemas.openxmlformats.org/drawingml/2006/main">
                    <a:graphicData uri="http://schemas.openxmlformats.org/drawingml/2006/picture">
                      <pic:pic xmlns:pic="http://schemas.openxmlformats.org/drawingml/2006/picture">
                        <pic:nvPicPr>
                          <pic:cNvPr id="855" name="AutoShape_2_SpCnt_32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56" name="AutoShape_2_SpCnt_322"/>
                  <wp:cNvGraphicFramePr/>
                  <a:graphic xmlns:a="http://schemas.openxmlformats.org/drawingml/2006/main">
                    <a:graphicData uri="http://schemas.openxmlformats.org/drawingml/2006/picture">
                      <pic:pic xmlns:pic="http://schemas.openxmlformats.org/drawingml/2006/picture">
                        <pic:nvPicPr>
                          <pic:cNvPr id="856" name="AutoShape_2_SpCnt_32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57" name="AutoShape_1_SpCnt_367"/>
                  <wp:cNvGraphicFramePr/>
                  <a:graphic xmlns:a="http://schemas.openxmlformats.org/drawingml/2006/main">
                    <a:graphicData uri="http://schemas.openxmlformats.org/drawingml/2006/picture">
                      <pic:pic xmlns:pic="http://schemas.openxmlformats.org/drawingml/2006/picture">
                        <pic:nvPicPr>
                          <pic:cNvPr id="857" name="AutoShape_1_SpCnt_36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58" name="AutoShape_2_SpCnt_323"/>
                  <wp:cNvGraphicFramePr/>
                  <a:graphic xmlns:a="http://schemas.openxmlformats.org/drawingml/2006/main">
                    <a:graphicData uri="http://schemas.openxmlformats.org/drawingml/2006/picture">
                      <pic:pic xmlns:pic="http://schemas.openxmlformats.org/drawingml/2006/picture">
                        <pic:nvPicPr>
                          <pic:cNvPr id="858" name="AutoShape_2_SpCnt_32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59" name="AutoShape_2_SpCnt_324"/>
                  <wp:cNvGraphicFramePr/>
                  <a:graphic xmlns:a="http://schemas.openxmlformats.org/drawingml/2006/main">
                    <a:graphicData uri="http://schemas.openxmlformats.org/drawingml/2006/picture">
                      <pic:pic xmlns:pic="http://schemas.openxmlformats.org/drawingml/2006/picture">
                        <pic:nvPicPr>
                          <pic:cNvPr id="859" name="AutoShape_2_SpCnt_32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60" name="AutoShape_2_SpCnt_325"/>
                  <wp:cNvGraphicFramePr/>
                  <a:graphic xmlns:a="http://schemas.openxmlformats.org/drawingml/2006/main">
                    <a:graphicData uri="http://schemas.openxmlformats.org/drawingml/2006/picture">
                      <pic:pic xmlns:pic="http://schemas.openxmlformats.org/drawingml/2006/picture">
                        <pic:nvPicPr>
                          <pic:cNvPr id="860" name="AutoShape_2_SpCnt_32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61" name="AutoShape_2_SpCnt_326"/>
                  <wp:cNvGraphicFramePr/>
                  <a:graphic xmlns:a="http://schemas.openxmlformats.org/drawingml/2006/main">
                    <a:graphicData uri="http://schemas.openxmlformats.org/drawingml/2006/picture">
                      <pic:pic xmlns:pic="http://schemas.openxmlformats.org/drawingml/2006/picture">
                        <pic:nvPicPr>
                          <pic:cNvPr id="861" name="AutoShape_2_SpCnt_32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62" name="AutoShape_2_SpCnt_327"/>
                  <wp:cNvGraphicFramePr/>
                  <a:graphic xmlns:a="http://schemas.openxmlformats.org/drawingml/2006/main">
                    <a:graphicData uri="http://schemas.openxmlformats.org/drawingml/2006/picture">
                      <pic:pic xmlns:pic="http://schemas.openxmlformats.org/drawingml/2006/picture">
                        <pic:nvPicPr>
                          <pic:cNvPr id="862" name="AutoShape_2_SpCnt_32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63" name="AutoShape_2_SpCnt_328"/>
                  <wp:cNvGraphicFramePr/>
                  <a:graphic xmlns:a="http://schemas.openxmlformats.org/drawingml/2006/main">
                    <a:graphicData uri="http://schemas.openxmlformats.org/drawingml/2006/picture">
                      <pic:pic xmlns:pic="http://schemas.openxmlformats.org/drawingml/2006/picture">
                        <pic:nvPicPr>
                          <pic:cNvPr id="863" name="AutoShape_2_SpCnt_32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64" name="AutoShape_2_SpCnt_329"/>
                  <wp:cNvGraphicFramePr/>
                  <a:graphic xmlns:a="http://schemas.openxmlformats.org/drawingml/2006/main">
                    <a:graphicData uri="http://schemas.openxmlformats.org/drawingml/2006/picture">
                      <pic:pic xmlns:pic="http://schemas.openxmlformats.org/drawingml/2006/picture">
                        <pic:nvPicPr>
                          <pic:cNvPr id="864" name="AutoShape_2_SpCnt_32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65" name="AutoShape_1_SpCnt_368"/>
                  <wp:cNvGraphicFramePr/>
                  <a:graphic xmlns:a="http://schemas.openxmlformats.org/drawingml/2006/main">
                    <a:graphicData uri="http://schemas.openxmlformats.org/drawingml/2006/picture">
                      <pic:pic xmlns:pic="http://schemas.openxmlformats.org/drawingml/2006/picture">
                        <pic:nvPicPr>
                          <pic:cNvPr id="865" name="AutoShape_1_SpCnt_36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66" name="AutoShape_1_SpCnt_369"/>
                  <wp:cNvGraphicFramePr/>
                  <a:graphic xmlns:a="http://schemas.openxmlformats.org/drawingml/2006/main">
                    <a:graphicData uri="http://schemas.openxmlformats.org/drawingml/2006/picture">
                      <pic:pic xmlns:pic="http://schemas.openxmlformats.org/drawingml/2006/picture">
                        <pic:nvPicPr>
                          <pic:cNvPr id="866" name="AutoShape_1_SpCnt_36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67" name="AutoShape_2_SpCnt_330"/>
                  <wp:cNvGraphicFramePr/>
                  <a:graphic xmlns:a="http://schemas.openxmlformats.org/drawingml/2006/main">
                    <a:graphicData uri="http://schemas.openxmlformats.org/drawingml/2006/picture">
                      <pic:pic xmlns:pic="http://schemas.openxmlformats.org/drawingml/2006/picture">
                        <pic:nvPicPr>
                          <pic:cNvPr id="867" name="AutoShape_2_SpCnt_33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68" name="AutoShape_1_SpCnt_370"/>
                  <wp:cNvGraphicFramePr/>
                  <a:graphic xmlns:a="http://schemas.openxmlformats.org/drawingml/2006/main">
                    <a:graphicData uri="http://schemas.openxmlformats.org/drawingml/2006/picture">
                      <pic:pic xmlns:pic="http://schemas.openxmlformats.org/drawingml/2006/picture">
                        <pic:nvPicPr>
                          <pic:cNvPr id="868" name="AutoShape_1_SpCnt_37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69" name="AutoShape_1_SpCnt_371"/>
                  <wp:cNvGraphicFramePr/>
                  <a:graphic xmlns:a="http://schemas.openxmlformats.org/drawingml/2006/main">
                    <a:graphicData uri="http://schemas.openxmlformats.org/drawingml/2006/picture">
                      <pic:pic xmlns:pic="http://schemas.openxmlformats.org/drawingml/2006/picture">
                        <pic:nvPicPr>
                          <pic:cNvPr id="869" name="AutoShape_1_SpCnt_37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70" name="AutoShape_1_SpCnt_372"/>
                  <wp:cNvGraphicFramePr/>
                  <a:graphic xmlns:a="http://schemas.openxmlformats.org/drawingml/2006/main">
                    <a:graphicData uri="http://schemas.openxmlformats.org/drawingml/2006/picture">
                      <pic:pic xmlns:pic="http://schemas.openxmlformats.org/drawingml/2006/picture">
                        <pic:nvPicPr>
                          <pic:cNvPr id="870" name="AutoShape_1_SpCnt_37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71" name="AutoShape_1_SpCnt_373"/>
                  <wp:cNvGraphicFramePr/>
                  <a:graphic xmlns:a="http://schemas.openxmlformats.org/drawingml/2006/main">
                    <a:graphicData uri="http://schemas.openxmlformats.org/drawingml/2006/picture">
                      <pic:pic xmlns:pic="http://schemas.openxmlformats.org/drawingml/2006/picture">
                        <pic:nvPicPr>
                          <pic:cNvPr id="871" name="AutoShape_1_SpCnt_37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72" name="AutoShape_1_SpCnt_374"/>
                  <wp:cNvGraphicFramePr/>
                  <a:graphic xmlns:a="http://schemas.openxmlformats.org/drawingml/2006/main">
                    <a:graphicData uri="http://schemas.openxmlformats.org/drawingml/2006/picture">
                      <pic:pic xmlns:pic="http://schemas.openxmlformats.org/drawingml/2006/picture">
                        <pic:nvPicPr>
                          <pic:cNvPr id="872" name="AutoShape_1_SpCnt_37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73" name="AutoShape_2_SpCnt_331"/>
                  <wp:cNvGraphicFramePr/>
                  <a:graphic xmlns:a="http://schemas.openxmlformats.org/drawingml/2006/main">
                    <a:graphicData uri="http://schemas.openxmlformats.org/drawingml/2006/picture">
                      <pic:pic xmlns:pic="http://schemas.openxmlformats.org/drawingml/2006/picture">
                        <pic:nvPicPr>
                          <pic:cNvPr id="873" name="AutoShape_2_SpCnt_33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74" name="AutoShape_2_SpCnt_332"/>
                  <wp:cNvGraphicFramePr/>
                  <a:graphic xmlns:a="http://schemas.openxmlformats.org/drawingml/2006/main">
                    <a:graphicData uri="http://schemas.openxmlformats.org/drawingml/2006/picture">
                      <pic:pic xmlns:pic="http://schemas.openxmlformats.org/drawingml/2006/picture">
                        <pic:nvPicPr>
                          <pic:cNvPr id="874" name="AutoShape_2_SpCnt_33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75" name="AutoShape_2_SpCnt_333"/>
                  <wp:cNvGraphicFramePr/>
                  <a:graphic xmlns:a="http://schemas.openxmlformats.org/drawingml/2006/main">
                    <a:graphicData uri="http://schemas.openxmlformats.org/drawingml/2006/picture">
                      <pic:pic xmlns:pic="http://schemas.openxmlformats.org/drawingml/2006/picture">
                        <pic:nvPicPr>
                          <pic:cNvPr id="875" name="AutoShape_2_SpCnt_33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76" name="AutoShape_2_SpCnt_334"/>
                  <wp:cNvGraphicFramePr/>
                  <a:graphic xmlns:a="http://schemas.openxmlformats.org/drawingml/2006/main">
                    <a:graphicData uri="http://schemas.openxmlformats.org/drawingml/2006/picture">
                      <pic:pic xmlns:pic="http://schemas.openxmlformats.org/drawingml/2006/picture">
                        <pic:nvPicPr>
                          <pic:cNvPr id="876" name="AutoShape_2_SpCnt_33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77" name="AutoShape_1_SpCnt_375"/>
                  <wp:cNvGraphicFramePr/>
                  <a:graphic xmlns:a="http://schemas.openxmlformats.org/drawingml/2006/main">
                    <a:graphicData uri="http://schemas.openxmlformats.org/drawingml/2006/picture">
                      <pic:pic xmlns:pic="http://schemas.openxmlformats.org/drawingml/2006/picture">
                        <pic:nvPicPr>
                          <pic:cNvPr id="877" name="AutoShape_1_SpCnt_37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78" name="AutoShape_2_SpCnt_335"/>
                  <wp:cNvGraphicFramePr/>
                  <a:graphic xmlns:a="http://schemas.openxmlformats.org/drawingml/2006/main">
                    <a:graphicData uri="http://schemas.openxmlformats.org/drawingml/2006/picture">
                      <pic:pic xmlns:pic="http://schemas.openxmlformats.org/drawingml/2006/picture">
                        <pic:nvPicPr>
                          <pic:cNvPr id="878" name="AutoShape_2_SpCnt_33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79" name="AutoShape_2_SpCnt_336"/>
                  <wp:cNvGraphicFramePr/>
                  <a:graphic xmlns:a="http://schemas.openxmlformats.org/drawingml/2006/main">
                    <a:graphicData uri="http://schemas.openxmlformats.org/drawingml/2006/picture">
                      <pic:pic xmlns:pic="http://schemas.openxmlformats.org/drawingml/2006/picture">
                        <pic:nvPicPr>
                          <pic:cNvPr id="879" name="AutoShape_2_SpCnt_33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80" name="AutoShape_1_SpCnt_376"/>
                  <wp:cNvGraphicFramePr/>
                  <a:graphic xmlns:a="http://schemas.openxmlformats.org/drawingml/2006/main">
                    <a:graphicData uri="http://schemas.openxmlformats.org/drawingml/2006/picture">
                      <pic:pic xmlns:pic="http://schemas.openxmlformats.org/drawingml/2006/picture">
                        <pic:nvPicPr>
                          <pic:cNvPr id="880" name="AutoShape_1_SpCnt_37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81" name="AutoShape_2_SpCnt_337"/>
                  <wp:cNvGraphicFramePr/>
                  <a:graphic xmlns:a="http://schemas.openxmlformats.org/drawingml/2006/main">
                    <a:graphicData uri="http://schemas.openxmlformats.org/drawingml/2006/picture">
                      <pic:pic xmlns:pic="http://schemas.openxmlformats.org/drawingml/2006/picture">
                        <pic:nvPicPr>
                          <pic:cNvPr id="881" name="AutoShape_2_SpCnt_33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82" name="AutoShape_1_SpCnt_377"/>
                  <wp:cNvGraphicFramePr/>
                  <a:graphic xmlns:a="http://schemas.openxmlformats.org/drawingml/2006/main">
                    <a:graphicData uri="http://schemas.openxmlformats.org/drawingml/2006/picture">
                      <pic:pic xmlns:pic="http://schemas.openxmlformats.org/drawingml/2006/picture">
                        <pic:nvPicPr>
                          <pic:cNvPr id="882" name="AutoShape_1_SpCnt_37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83" name="AutoShape_2_SpCnt_338"/>
                  <wp:cNvGraphicFramePr/>
                  <a:graphic xmlns:a="http://schemas.openxmlformats.org/drawingml/2006/main">
                    <a:graphicData uri="http://schemas.openxmlformats.org/drawingml/2006/picture">
                      <pic:pic xmlns:pic="http://schemas.openxmlformats.org/drawingml/2006/picture">
                        <pic:nvPicPr>
                          <pic:cNvPr id="883" name="AutoShape_2_SpCnt_33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84" name="AutoShape_2_SpCnt_339"/>
                  <wp:cNvGraphicFramePr/>
                  <a:graphic xmlns:a="http://schemas.openxmlformats.org/drawingml/2006/main">
                    <a:graphicData uri="http://schemas.openxmlformats.org/drawingml/2006/picture">
                      <pic:pic xmlns:pic="http://schemas.openxmlformats.org/drawingml/2006/picture">
                        <pic:nvPicPr>
                          <pic:cNvPr id="884" name="AutoShape_2_SpCnt_33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85" name="AutoShape_1_SpCnt_378"/>
                  <wp:cNvGraphicFramePr/>
                  <a:graphic xmlns:a="http://schemas.openxmlformats.org/drawingml/2006/main">
                    <a:graphicData uri="http://schemas.openxmlformats.org/drawingml/2006/picture">
                      <pic:pic xmlns:pic="http://schemas.openxmlformats.org/drawingml/2006/picture">
                        <pic:nvPicPr>
                          <pic:cNvPr id="885" name="AutoShape_1_SpCnt_37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86" name="AutoShape_2_SpCnt_340"/>
                  <wp:cNvGraphicFramePr/>
                  <a:graphic xmlns:a="http://schemas.openxmlformats.org/drawingml/2006/main">
                    <a:graphicData uri="http://schemas.openxmlformats.org/drawingml/2006/picture">
                      <pic:pic xmlns:pic="http://schemas.openxmlformats.org/drawingml/2006/picture">
                        <pic:nvPicPr>
                          <pic:cNvPr id="886" name="AutoShape_2_SpCnt_34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87" name="AutoShape_2_SpCnt_341"/>
                  <wp:cNvGraphicFramePr/>
                  <a:graphic xmlns:a="http://schemas.openxmlformats.org/drawingml/2006/main">
                    <a:graphicData uri="http://schemas.openxmlformats.org/drawingml/2006/picture">
                      <pic:pic xmlns:pic="http://schemas.openxmlformats.org/drawingml/2006/picture">
                        <pic:nvPicPr>
                          <pic:cNvPr id="887" name="AutoShape_2_SpCnt_34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88" name="AutoShape_1_SpCnt_379"/>
                  <wp:cNvGraphicFramePr/>
                  <a:graphic xmlns:a="http://schemas.openxmlformats.org/drawingml/2006/main">
                    <a:graphicData uri="http://schemas.openxmlformats.org/drawingml/2006/picture">
                      <pic:pic xmlns:pic="http://schemas.openxmlformats.org/drawingml/2006/picture">
                        <pic:nvPicPr>
                          <pic:cNvPr id="888" name="AutoShape_1_SpCnt_37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89" name="AutoShape_1_SpCnt_380"/>
                  <wp:cNvGraphicFramePr/>
                  <a:graphic xmlns:a="http://schemas.openxmlformats.org/drawingml/2006/main">
                    <a:graphicData uri="http://schemas.openxmlformats.org/drawingml/2006/picture">
                      <pic:pic xmlns:pic="http://schemas.openxmlformats.org/drawingml/2006/picture">
                        <pic:nvPicPr>
                          <pic:cNvPr id="889" name="AutoShape_1_SpCnt_38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90" name="AutoShape_1_SpCnt_381"/>
                  <wp:cNvGraphicFramePr/>
                  <a:graphic xmlns:a="http://schemas.openxmlformats.org/drawingml/2006/main">
                    <a:graphicData uri="http://schemas.openxmlformats.org/drawingml/2006/picture">
                      <pic:pic xmlns:pic="http://schemas.openxmlformats.org/drawingml/2006/picture">
                        <pic:nvPicPr>
                          <pic:cNvPr id="890" name="AutoShape_1_SpCnt_38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91" name="AutoShape_2_SpCnt_342"/>
                  <wp:cNvGraphicFramePr/>
                  <a:graphic xmlns:a="http://schemas.openxmlformats.org/drawingml/2006/main">
                    <a:graphicData uri="http://schemas.openxmlformats.org/drawingml/2006/picture">
                      <pic:pic xmlns:pic="http://schemas.openxmlformats.org/drawingml/2006/picture">
                        <pic:nvPicPr>
                          <pic:cNvPr id="891" name="AutoShape_2_SpCnt_34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92" name="AutoShape_1_SpCnt_382"/>
                  <wp:cNvGraphicFramePr/>
                  <a:graphic xmlns:a="http://schemas.openxmlformats.org/drawingml/2006/main">
                    <a:graphicData uri="http://schemas.openxmlformats.org/drawingml/2006/picture">
                      <pic:pic xmlns:pic="http://schemas.openxmlformats.org/drawingml/2006/picture">
                        <pic:nvPicPr>
                          <pic:cNvPr id="892" name="AutoShape_1_SpCnt_38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93" name="AutoShape_2_SpCnt_343"/>
                  <wp:cNvGraphicFramePr/>
                  <a:graphic xmlns:a="http://schemas.openxmlformats.org/drawingml/2006/main">
                    <a:graphicData uri="http://schemas.openxmlformats.org/drawingml/2006/picture">
                      <pic:pic xmlns:pic="http://schemas.openxmlformats.org/drawingml/2006/picture">
                        <pic:nvPicPr>
                          <pic:cNvPr id="893" name="AutoShape_2_SpCnt_34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94" name="AutoShape_1_SpCnt_383"/>
                  <wp:cNvGraphicFramePr/>
                  <a:graphic xmlns:a="http://schemas.openxmlformats.org/drawingml/2006/main">
                    <a:graphicData uri="http://schemas.openxmlformats.org/drawingml/2006/picture">
                      <pic:pic xmlns:pic="http://schemas.openxmlformats.org/drawingml/2006/picture">
                        <pic:nvPicPr>
                          <pic:cNvPr id="894" name="AutoShape_1_SpCnt_38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95" name="AutoShape_1_SpCnt_384"/>
                  <wp:cNvGraphicFramePr/>
                  <a:graphic xmlns:a="http://schemas.openxmlformats.org/drawingml/2006/main">
                    <a:graphicData uri="http://schemas.openxmlformats.org/drawingml/2006/picture">
                      <pic:pic xmlns:pic="http://schemas.openxmlformats.org/drawingml/2006/picture">
                        <pic:nvPicPr>
                          <pic:cNvPr id="895" name="AutoShape_1_SpCnt_38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96" name="AutoShape_1_SpCnt_385"/>
                  <wp:cNvGraphicFramePr/>
                  <a:graphic xmlns:a="http://schemas.openxmlformats.org/drawingml/2006/main">
                    <a:graphicData uri="http://schemas.openxmlformats.org/drawingml/2006/picture">
                      <pic:pic xmlns:pic="http://schemas.openxmlformats.org/drawingml/2006/picture">
                        <pic:nvPicPr>
                          <pic:cNvPr id="896" name="AutoShape_1_SpCnt_38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97" name="AutoShape_2_SpCnt_344"/>
                  <wp:cNvGraphicFramePr/>
                  <a:graphic xmlns:a="http://schemas.openxmlformats.org/drawingml/2006/main">
                    <a:graphicData uri="http://schemas.openxmlformats.org/drawingml/2006/picture">
                      <pic:pic xmlns:pic="http://schemas.openxmlformats.org/drawingml/2006/picture">
                        <pic:nvPicPr>
                          <pic:cNvPr id="897" name="AutoShape_2_SpCnt_34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98" name="AutoShape_2_SpCnt_345"/>
                  <wp:cNvGraphicFramePr/>
                  <a:graphic xmlns:a="http://schemas.openxmlformats.org/drawingml/2006/main">
                    <a:graphicData uri="http://schemas.openxmlformats.org/drawingml/2006/picture">
                      <pic:pic xmlns:pic="http://schemas.openxmlformats.org/drawingml/2006/picture">
                        <pic:nvPicPr>
                          <pic:cNvPr id="898" name="AutoShape_2_SpCnt_34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899" name="AutoShape_2_SpCnt_346"/>
                  <wp:cNvGraphicFramePr/>
                  <a:graphic xmlns:a="http://schemas.openxmlformats.org/drawingml/2006/main">
                    <a:graphicData uri="http://schemas.openxmlformats.org/drawingml/2006/picture">
                      <pic:pic xmlns:pic="http://schemas.openxmlformats.org/drawingml/2006/picture">
                        <pic:nvPicPr>
                          <pic:cNvPr id="899" name="AutoShape_2_SpCnt_34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00" name="AutoShape_1_SpCnt_386"/>
                  <wp:cNvGraphicFramePr/>
                  <a:graphic xmlns:a="http://schemas.openxmlformats.org/drawingml/2006/main">
                    <a:graphicData uri="http://schemas.openxmlformats.org/drawingml/2006/picture">
                      <pic:pic xmlns:pic="http://schemas.openxmlformats.org/drawingml/2006/picture">
                        <pic:nvPicPr>
                          <pic:cNvPr id="900" name="AutoShape_1_SpCnt_38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01" name="AutoShape_2_SpCnt_347"/>
                  <wp:cNvGraphicFramePr/>
                  <a:graphic xmlns:a="http://schemas.openxmlformats.org/drawingml/2006/main">
                    <a:graphicData uri="http://schemas.openxmlformats.org/drawingml/2006/picture">
                      <pic:pic xmlns:pic="http://schemas.openxmlformats.org/drawingml/2006/picture">
                        <pic:nvPicPr>
                          <pic:cNvPr id="901" name="AutoShape_2_SpCnt_34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02" name="AutoShape_1_SpCnt_387"/>
                  <wp:cNvGraphicFramePr/>
                  <a:graphic xmlns:a="http://schemas.openxmlformats.org/drawingml/2006/main">
                    <a:graphicData uri="http://schemas.openxmlformats.org/drawingml/2006/picture">
                      <pic:pic xmlns:pic="http://schemas.openxmlformats.org/drawingml/2006/picture">
                        <pic:nvPicPr>
                          <pic:cNvPr id="902" name="AutoShape_1_SpCnt_38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03" name="AutoShape_1_SpCnt_388"/>
                  <wp:cNvGraphicFramePr/>
                  <a:graphic xmlns:a="http://schemas.openxmlformats.org/drawingml/2006/main">
                    <a:graphicData uri="http://schemas.openxmlformats.org/drawingml/2006/picture">
                      <pic:pic xmlns:pic="http://schemas.openxmlformats.org/drawingml/2006/picture">
                        <pic:nvPicPr>
                          <pic:cNvPr id="903" name="AutoShape_1_SpCnt_38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04" name="AutoShape_2_SpCnt_348"/>
                  <wp:cNvGraphicFramePr/>
                  <a:graphic xmlns:a="http://schemas.openxmlformats.org/drawingml/2006/main">
                    <a:graphicData uri="http://schemas.openxmlformats.org/drawingml/2006/picture">
                      <pic:pic xmlns:pic="http://schemas.openxmlformats.org/drawingml/2006/picture">
                        <pic:nvPicPr>
                          <pic:cNvPr id="904" name="AutoShape_2_SpCnt_34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05" name="AutoShape_1_SpCnt_389"/>
                  <wp:cNvGraphicFramePr/>
                  <a:graphic xmlns:a="http://schemas.openxmlformats.org/drawingml/2006/main">
                    <a:graphicData uri="http://schemas.openxmlformats.org/drawingml/2006/picture">
                      <pic:pic xmlns:pic="http://schemas.openxmlformats.org/drawingml/2006/picture">
                        <pic:nvPicPr>
                          <pic:cNvPr id="905" name="AutoShape_1_SpCnt_38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06" name="AutoShape_2_SpCnt_349"/>
                  <wp:cNvGraphicFramePr/>
                  <a:graphic xmlns:a="http://schemas.openxmlformats.org/drawingml/2006/main">
                    <a:graphicData uri="http://schemas.openxmlformats.org/drawingml/2006/picture">
                      <pic:pic xmlns:pic="http://schemas.openxmlformats.org/drawingml/2006/picture">
                        <pic:nvPicPr>
                          <pic:cNvPr id="906" name="AutoShape_2_SpCnt_34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07" name="AutoShape_1_SpCnt_390"/>
                  <wp:cNvGraphicFramePr/>
                  <a:graphic xmlns:a="http://schemas.openxmlformats.org/drawingml/2006/main">
                    <a:graphicData uri="http://schemas.openxmlformats.org/drawingml/2006/picture">
                      <pic:pic xmlns:pic="http://schemas.openxmlformats.org/drawingml/2006/picture">
                        <pic:nvPicPr>
                          <pic:cNvPr id="907" name="AutoShape_1_SpCnt_39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08" name="AutoShape_1_SpCnt_391"/>
                  <wp:cNvGraphicFramePr/>
                  <a:graphic xmlns:a="http://schemas.openxmlformats.org/drawingml/2006/main">
                    <a:graphicData uri="http://schemas.openxmlformats.org/drawingml/2006/picture">
                      <pic:pic xmlns:pic="http://schemas.openxmlformats.org/drawingml/2006/picture">
                        <pic:nvPicPr>
                          <pic:cNvPr id="908" name="AutoShape_1_SpCnt_39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09" name="AutoShape_2_SpCnt_350"/>
                  <wp:cNvGraphicFramePr/>
                  <a:graphic xmlns:a="http://schemas.openxmlformats.org/drawingml/2006/main">
                    <a:graphicData uri="http://schemas.openxmlformats.org/drawingml/2006/picture">
                      <pic:pic xmlns:pic="http://schemas.openxmlformats.org/drawingml/2006/picture">
                        <pic:nvPicPr>
                          <pic:cNvPr id="909" name="AutoShape_2_SpCnt_35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10" name="AutoShape_1_SpCnt_392"/>
                  <wp:cNvGraphicFramePr/>
                  <a:graphic xmlns:a="http://schemas.openxmlformats.org/drawingml/2006/main">
                    <a:graphicData uri="http://schemas.openxmlformats.org/drawingml/2006/picture">
                      <pic:pic xmlns:pic="http://schemas.openxmlformats.org/drawingml/2006/picture">
                        <pic:nvPicPr>
                          <pic:cNvPr id="910" name="AutoShape_1_SpCnt_39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11" name="AutoShape_1_SpCnt_393"/>
                  <wp:cNvGraphicFramePr/>
                  <a:graphic xmlns:a="http://schemas.openxmlformats.org/drawingml/2006/main">
                    <a:graphicData uri="http://schemas.openxmlformats.org/drawingml/2006/picture">
                      <pic:pic xmlns:pic="http://schemas.openxmlformats.org/drawingml/2006/picture">
                        <pic:nvPicPr>
                          <pic:cNvPr id="911" name="AutoShape_1_SpCnt_39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12" name="AutoShape_1_SpCnt_394"/>
                  <wp:cNvGraphicFramePr/>
                  <a:graphic xmlns:a="http://schemas.openxmlformats.org/drawingml/2006/main">
                    <a:graphicData uri="http://schemas.openxmlformats.org/drawingml/2006/picture">
                      <pic:pic xmlns:pic="http://schemas.openxmlformats.org/drawingml/2006/picture">
                        <pic:nvPicPr>
                          <pic:cNvPr id="912" name="AutoShape_1_SpCnt_39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13" name="AutoShape_2_SpCnt_351"/>
                  <wp:cNvGraphicFramePr/>
                  <a:graphic xmlns:a="http://schemas.openxmlformats.org/drawingml/2006/main">
                    <a:graphicData uri="http://schemas.openxmlformats.org/drawingml/2006/picture">
                      <pic:pic xmlns:pic="http://schemas.openxmlformats.org/drawingml/2006/picture">
                        <pic:nvPicPr>
                          <pic:cNvPr id="913" name="AutoShape_2_SpCnt_35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14" name="AutoShape_2_SpCnt_352"/>
                  <wp:cNvGraphicFramePr/>
                  <a:graphic xmlns:a="http://schemas.openxmlformats.org/drawingml/2006/main">
                    <a:graphicData uri="http://schemas.openxmlformats.org/drawingml/2006/picture">
                      <pic:pic xmlns:pic="http://schemas.openxmlformats.org/drawingml/2006/picture">
                        <pic:nvPicPr>
                          <pic:cNvPr id="914" name="AutoShape_2_SpCnt_35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15" name="AutoShape_2_SpCnt_353"/>
                  <wp:cNvGraphicFramePr/>
                  <a:graphic xmlns:a="http://schemas.openxmlformats.org/drawingml/2006/main">
                    <a:graphicData uri="http://schemas.openxmlformats.org/drawingml/2006/picture">
                      <pic:pic xmlns:pic="http://schemas.openxmlformats.org/drawingml/2006/picture">
                        <pic:nvPicPr>
                          <pic:cNvPr id="915" name="AutoShape_2_SpCnt_35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16" name="AutoShape_1_SpCnt_395"/>
                  <wp:cNvGraphicFramePr/>
                  <a:graphic xmlns:a="http://schemas.openxmlformats.org/drawingml/2006/main">
                    <a:graphicData uri="http://schemas.openxmlformats.org/drawingml/2006/picture">
                      <pic:pic xmlns:pic="http://schemas.openxmlformats.org/drawingml/2006/picture">
                        <pic:nvPicPr>
                          <pic:cNvPr id="916" name="AutoShape_1_SpCnt_39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17" name="AutoShape_2_SpCnt_354"/>
                  <wp:cNvGraphicFramePr/>
                  <a:graphic xmlns:a="http://schemas.openxmlformats.org/drawingml/2006/main">
                    <a:graphicData uri="http://schemas.openxmlformats.org/drawingml/2006/picture">
                      <pic:pic xmlns:pic="http://schemas.openxmlformats.org/drawingml/2006/picture">
                        <pic:nvPicPr>
                          <pic:cNvPr id="917" name="AutoShape_2_SpCnt_35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18" name="AutoShape_2_SpCnt_355"/>
                  <wp:cNvGraphicFramePr/>
                  <a:graphic xmlns:a="http://schemas.openxmlformats.org/drawingml/2006/main">
                    <a:graphicData uri="http://schemas.openxmlformats.org/drawingml/2006/picture">
                      <pic:pic xmlns:pic="http://schemas.openxmlformats.org/drawingml/2006/picture">
                        <pic:nvPicPr>
                          <pic:cNvPr id="918" name="AutoShape_2_SpCnt_35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19" name="AutoShape_2_SpCnt_356"/>
                  <wp:cNvGraphicFramePr/>
                  <a:graphic xmlns:a="http://schemas.openxmlformats.org/drawingml/2006/main">
                    <a:graphicData uri="http://schemas.openxmlformats.org/drawingml/2006/picture">
                      <pic:pic xmlns:pic="http://schemas.openxmlformats.org/drawingml/2006/picture">
                        <pic:nvPicPr>
                          <pic:cNvPr id="919" name="AutoShape_2_SpCnt_35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20" name="AutoShape_1_SpCnt_396"/>
                  <wp:cNvGraphicFramePr/>
                  <a:graphic xmlns:a="http://schemas.openxmlformats.org/drawingml/2006/main">
                    <a:graphicData uri="http://schemas.openxmlformats.org/drawingml/2006/picture">
                      <pic:pic xmlns:pic="http://schemas.openxmlformats.org/drawingml/2006/picture">
                        <pic:nvPicPr>
                          <pic:cNvPr id="920" name="AutoShape_1_SpCnt_39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921" name="AutoShape_2_SpCnt_357"/>
                  <wp:cNvGraphicFramePr/>
                  <a:graphic xmlns:a="http://schemas.openxmlformats.org/drawingml/2006/main">
                    <a:graphicData uri="http://schemas.openxmlformats.org/drawingml/2006/picture">
                      <pic:pic xmlns:pic="http://schemas.openxmlformats.org/drawingml/2006/picture">
                        <pic:nvPicPr>
                          <pic:cNvPr id="921" name="AutoShape_2_SpCnt_35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64" name="AutoShape_2_SpCnt_358"/>
                  <wp:cNvGraphicFramePr/>
                  <a:graphic xmlns:a="http://schemas.openxmlformats.org/drawingml/2006/main">
                    <a:graphicData uri="http://schemas.openxmlformats.org/drawingml/2006/picture">
                      <pic:pic xmlns:pic="http://schemas.openxmlformats.org/drawingml/2006/picture">
                        <pic:nvPicPr>
                          <pic:cNvPr id="1164" name="AutoShape_2_SpCnt_35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65" name="AutoShape_2_SpCnt_359"/>
                  <wp:cNvGraphicFramePr/>
                  <a:graphic xmlns:a="http://schemas.openxmlformats.org/drawingml/2006/main">
                    <a:graphicData uri="http://schemas.openxmlformats.org/drawingml/2006/picture">
                      <pic:pic xmlns:pic="http://schemas.openxmlformats.org/drawingml/2006/picture">
                        <pic:nvPicPr>
                          <pic:cNvPr id="1165" name="AutoShape_2_SpCnt_35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66" name="AutoShape_1_SpCnt_397"/>
                  <wp:cNvGraphicFramePr/>
                  <a:graphic xmlns:a="http://schemas.openxmlformats.org/drawingml/2006/main">
                    <a:graphicData uri="http://schemas.openxmlformats.org/drawingml/2006/picture">
                      <pic:pic xmlns:pic="http://schemas.openxmlformats.org/drawingml/2006/picture">
                        <pic:nvPicPr>
                          <pic:cNvPr id="1166" name="AutoShape_1_SpCnt_39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67" name="AutoShape_2_SpCnt_360"/>
                  <wp:cNvGraphicFramePr/>
                  <a:graphic xmlns:a="http://schemas.openxmlformats.org/drawingml/2006/main">
                    <a:graphicData uri="http://schemas.openxmlformats.org/drawingml/2006/picture">
                      <pic:pic xmlns:pic="http://schemas.openxmlformats.org/drawingml/2006/picture">
                        <pic:nvPicPr>
                          <pic:cNvPr id="1167" name="AutoShape_2_SpCnt_36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68" name="AutoShape_1_SpCnt_398"/>
                  <wp:cNvGraphicFramePr/>
                  <a:graphic xmlns:a="http://schemas.openxmlformats.org/drawingml/2006/main">
                    <a:graphicData uri="http://schemas.openxmlformats.org/drawingml/2006/picture">
                      <pic:pic xmlns:pic="http://schemas.openxmlformats.org/drawingml/2006/picture">
                        <pic:nvPicPr>
                          <pic:cNvPr id="1168" name="AutoShape_1_SpCnt_39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69" name="AutoShape_1_SpCnt_399"/>
                  <wp:cNvGraphicFramePr/>
                  <a:graphic xmlns:a="http://schemas.openxmlformats.org/drawingml/2006/main">
                    <a:graphicData uri="http://schemas.openxmlformats.org/drawingml/2006/picture">
                      <pic:pic xmlns:pic="http://schemas.openxmlformats.org/drawingml/2006/picture">
                        <pic:nvPicPr>
                          <pic:cNvPr id="1169" name="AutoShape_1_SpCnt_39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70" name="AutoShape_2_SpCnt_361"/>
                  <wp:cNvGraphicFramePr/>
                  <a:graphic xmlns:a="http://schemas.openxmlformats.org/drawingml/2006/main">
                    <a:graphicData uri="http://schemas.openxmlformats.org/drawingml/2006/picture">
                      <pic:pic xmlns:pic="http://schemas.openxmlformats.org/drawingml/2006/picture">
                        <pic:nvPicPr>
                          <pic:cNvPr id="1170" name="AutoShape_2_SpCnt_36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71" name="AutoShape_1_SpCnt_400"/>
                  <wp:cNvGraphicFramePr/>
                  <a:graphic xmlns:a="http://schemas.openxmlformats.org/drawingml/2006/main">
                    <a:graphicData uri="http://schemas.openxmlformats.org/drawingml/2006/picture">
                      <pic:pic xmlns:pic="http://schemas.openxmlformats.org/drawingml/2006/picture">
                        <pic:nvPicPr>
                          <pic:cNvPr id="1171" name="AutoShape_1_SpCnt_40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72" name="AutoShape_1_SpCnt_401"/>
                  <wp:cNvGraphicFramePr/>
                  <a:graphic xmlns:a="http://schemas.openxmlformats.org/drawingml/2006/main">
                    <a:graphicData uri="http://schemas.openxmlformats.org/drawingml/2006/picture">
                      <pic:pic xmlns:pic="http://schemas.openxmlformats.org/drawingml/2006/picture">
                        <pic:nvPicPr>
                          <pic:cNvPr id="1172" name="AutoShape_1_SpCnt_40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73" name="AutoShape_1_SpCnt_402"/>
                  <wp:cNvGraphicFramePr/>
                  <a:graphic xmlns:a="http://schemas.openxmlformats.org/drawingml/2006/main">
                    <a:graphicData uri="http://schemas.openxmlformats.org/drawingml/2006/picture">
                      <pic:pic xmlns:pic="http://schemas.openxmlformats.org/drawingml/2006/picture">
                        <pic:nvPicPr>
                          <pic:cNvPr id="1173" name="AutoShape_1_SpCnt_40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74" name="AutoShape_2_SpCnt_362"/>
                  <wp:cNvGraphicFramePr/>
                  <a:graphic xmlns:a="http://schemas.openxmlformats.org/drawingml/2006/main">
                    <a:graphicData uri="http://schemas.openxmlformats.org/drawingml/2006/picture">
                      <pic:pic xmlns:pic="http://schemas.openxmlformats.org/drawingml/2006/picture">
                        <pic:nvPicPr>
                          <pic:cNvPr id="1174" name="AutoShape_2_SpCnt_36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75" name="AutoShape_1_SpCnt_403"/>
                  <wp:cNvGraphicFramePr/>
                  <a:graphic xmlns:a="http://schemas.openxmlformats.org/drawingml/2006/main">
                    <a:graphicData uri="http://schemas.openxmlformats.org/drawingml/2006/picture">
                      <pic:pic xmlns:pic="http://schemas.openxmlformats.org/drawingml/2006/picture">
                        <pic:nvPicPr>
                          <pic:cNvPr id="1175" name="AutoShape_1_SpCnt_40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76" name="AutoShape_2_SpCnt_363"/>
                  <wp:cNvGraphicFramePr/>
                  <a:graphic xmlns:a="http://schemas.openxmlformats.org/drawingml/2006/main">
                    <a:graphicData uri="http://schemas.openxmlformats.org/drawingml/2006/picture">
                      <pic:pic xmlns:pic="http://schemas.openxmlformats.org/drawingml/2006/picture">
                        <pic:nvPicPr>
                          <pic:cNvPr id="1176" name="AutoShape_2_SpCnt_36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77" name="AutoShape_1_SpCnt_404"/>
                  <wp:cNvGraphicFramePr/>
                  <a:graphic xmlns:a="http://schemas.openxmlformats.org/drawingml/2006/main">
                    <a:graphicData uri="http://schemas.openxmlformats.org/drawingml/2006/picture">
                      <pic:pic xmlns:pic="http://schemas.openxmlformats.org/drawingml/2006/picture">
                        <pic:nvPicPr>
                          <pic:cNvPr id="1177" name="AutoShape_1_SpCnt_40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78" name="AutoShape_2_SpCnt_364"/>
                  <wp:cNvGraphicFramePr/>
                  <a:graphic xmlns:a="http://schemas.openxmlformats.org/drawingml/2006/main">
                    <a:graphicData uri="http://schemas.openxmlformats.org/drawingml/2006/picture">
                      <pic:pic xmlns:pic="http://schemas.openxmlformats.org/drawingml/2006/picture">
                        <pic:nvPicPr>
                          <pic:cNvPr id="1178" name="AutoShape_2_SpCnt_36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79" name="AutoShape_2_SpCnt_365"/>
                  <wp:cNvGraphicFramePr/>
                  <a:graphic xmlns:a="http://schemas.openxmlformats.org/drawingml/2006/main">
                    <a:graphicData uri="http://schemas.openxmlformats.org/drawingml/2006/picture">
                      <pic:pic xmlns:pic="http://schemas.openxmlformats.org/drawingml/2006/picture">
                        <pic:nvPicPr>
                          <pic:cNvPr id="1179" name="AutoShape_2_SpCnt_36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80" name="AutoShape_2_SpCnt_366"/>
                  <wp:cNvGraphicFramePr/>
                  <a:graphic xmlns:a="http://schemas.openxmlformats.org/drawingml/2006/main">
                    <a:graphicData uri="http://schemas.openxmlformats.org/drawingml/2006/picture">
                      <pic:pic xmlns:pic="http://schemas.openxmlformats.org/drawingml/2006/picture">
                        <pic:nvPicPr>
                          <pic:cNvPr id="1180" name="AutoShape_2_SpCnt_36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81" name="AutoShape_1_SpCnt_405"/>
                  <wp:cNvGraphicFramePr/>
                  <a:graphic xmlns:a="http://schemas.openxmlformats.org/drawingml/2006/main">
                    <a:graphicData uri="http://schemas.openxmlformats.org/drawingml/2006/picture">
                      <pic:pic xmlns:pic="http://schemas.openxmlformats.org/drawingml/2006/picture">
                        <pic:nvPicPr>
                          <pic:cNvPr id="1181" name="AutoShape_1_SpCnt_40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82" name="AutoShape_2_SpCnt_367"/>
                  <wp:cNvGraphicFramePr/>
                  <a:graphic xmlns:a="http://schemas.openxmlformats.org/drawingml/2006/main">
                    <a:graphicData uri="http://schemas.openxmlformats.org/drawingml/2006/picture">
                      <pic:pic xmlns:pic="http://schemas.openxmlformats.org/drawingml/2006/picture">
                        <pic:nvPicPr>
                          <pic:cNvPr id="1182" name="AutoShape_2_SpCnt_36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83" name="AutoShape_1_SpCnt_406"/>
                  <wp:cNvGraphicFramePr/>
                  <a:graphic xmlns:a="http://schemas.openxmlformats.org/drawingml/2006/main">
                    <a:graphicData uri="http://schemas.openxmlformats.org/drawingml/2006/picture">
                      <pic:pic xmlns:pic="http://schemas.openxmlformats.org/drawingml/2006/picture">
                        <pic:nvPicPr>
                          <pic:cNvPr id="1183" name="AutoShape_1_SpCnt_40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84" name="AutoShape_1_SpCnt_407"/>
                  <wp:cNvGraphicFramePr/>
                  <a:graphic xmlns:a="http://schemas.openxmlformats.org/drawingml/2006/main">
                    <a:graphicData uri="http://schemas.openxmlformats.org/drawingml/2006/picture">
                      <pic:pic xmlns:pic="http://schemas.openxmlformats.org/drawingml/2006/picture">
                        <pic:nvPicPr>
                          <pic:cNvPr id="1184" name="AutoShape_1_SpCnt_40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85" name="AutoShape_1_SpCnt_408"/>
                  <wp:cNvGraphicFramePr/>
                  <a:graphic xmlns:a="http://schemas.openxmlformats.org/drawingml/2006/main">
                    <a:graphicData uri="http://schemas.openxmlformats.org/drawingml/2006/picture">
                      <pic:pic xmlns:pic="http://schemas.openxmlformats.org/drawingml/2006/picture">
                        <pic:nvPicPr>
                          <pic:cNvPr id="1185" name="AutoShape_1_SpCnt_40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86" name="AutoShape_2_SpCnt_368"/>
                  <wp:cNvGraphicFramePr/>
                  <a:graphic xmlns:a="http://schemas.openxmlformats.org/drawingml/2006/main">
                    <a:graphicData uri="http://schemas.openxmlformats.org/drawingml/2006/picture">
                      <pic:pic xmlns:pic="http://schemas.openxmlformats.org/drawingml/2006/picture">
                        <pic:nvPicPr>
                          <pic:cNvPr id="1186" name="AutoShape_2_SpCnt_36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87" name="AutoShape_2_SpCnt_369"/>
                  <wp:cNvGraphicFramePr/>
                  <a:graphic xmlns:a="http://schemas.openxmlformats.org/drawingml/2006/main">
                    <a:graphicData uri="http://schemas.openxmlformats.org/drawingml/2006/picture">
                      <pic:pic xmlns:pic="http://schemas.openxmlformats.org/drawingml/2006/picture">
                        <pic:nvPicPr>
                          <pic:cNvPr id="1187" name="AutoShape_2_SpCnt_36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88" name="AutoShape_2_SpCnt_370"/>
                  <wp:cNvGraphicFramePr/>
                  <a:graphic xmlns:a="http://schemas.openxmlformats.org/drawingml/2006/main">
                    <a:graphicData uri="http://schemas.openxmlformats.org/drawingml/2006/picture">
                      <pic:pic xmlns:pic="http://schemas.openxmlformats.org/drawingml/2006/picture">
                        <pic:nvPicPr>
                          <pic:cNvPr id="1188" name="AutoShape_2_SpCnt_37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89" name="AutoShape_2_SpCnt_371"/>
                  <wp:cNvGraphicFramePr/>
                  <a:graphic xmlns:a="http://schemas.openxmlformats.org/drawingml/2006/main">
                    <a:graphicData uri="http://schemas.openxmlformats.org/drawingml/2006/picture">
                      <pic:pic xmlns:pic="http://schemas.openxmlformats.org/drawingml/2006/picture">
                        <pic:nvPicPr>
                          <pic:cNvPr id="1189" name="AutoShape_2_SpCnt_37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90" name="AutoShape_1_SpCnt_409"/>
                  <wp:cNvGraphicFramePr/>
                  <a:graphic xmlns:a="http://schemas.openxmlformats.org/drawingml/2006/main">
                    <a:graphicData uri="http://schemas.openxmlformats.org/drawingml/2006/picture">
                      <pic:pic xmlns:pic="http://schemas.openxmlformats.org/drawingml/2006/picture">
                        <pic:nvPicPr>
                          <pic:cNvPr id="1190" name="AutoShape_1_SpCnt_40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91" name="AutoShape_2_SpCnt_372"/>
                  <wp:cNvGraphicFramePr/>
                  <a:graphic xmlns:a="http://schemas.openxmlformats.org/drawingml/2006/main">
                    <a:graphicData uri="http://schemas.openxmlformats.org/drawingml/2006/picture">
                      <pic:pic xmlns:pic="http://schemas.openxmlformats.org/drawingml/2006/picture">
                        <pic:nvPicPr>
                          <pic:cNvPr id="1191" name="AutoShape_2_SpCnt_37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92" name="AutoShape_1_SpCnt_410"/>
                  <wp:cNvGraphicFramePr/>
                  <a:graphic xmlns:a="http://schemas.openxmlformats.org/drawingml/2006/main">
                    <a:graphicData uri="http://schemas.openxmlformats.org/drawingml/2006/picture">
                      <pic:pic xmlns:pic="http://schemas.openxmlformats.org/drawingml/2006/picture">
                        <pic:nvPicPr>
                          <pic:cNvPr id="1192" name="AutoShape_1_SpCnt_41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93" name="AutoShape_2_SpCnt_373"/>
                  <wp:cNvGraphicFramePr/>
                  <a:graphic xmlns:a="http://schemas.openxmlformats.org/drawingml/2006/main">
                    <a:graphicData uri="http://schemas.openxmlformats.org/drawingml/2006/picture">
                      <pic:pic xmlns:pic="http://schemas.openxmlformats.org/drawingml/2006/picture">
                        <pic:nvPicPr>
                          <pic:cNvPr id="1193" name="AutoShape_2_SpCnt_37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94" name="AutoShape_2_SpCnt_374"/>
                  <wp:cNvGraphicFramePr/>
                  <a:graphic xmlns:a="http://schemas.openxmlformats.org/drawingml/2006/main">
                    <a:graphicData uri="http://schemas.openxmlformats.org/drawingml/2006/picture">
                      <pic:pic xmlns:pic="http://schemas.openxmlformats.org/drawingml/2006/picture">
                        <pic:nvPicPr>
                          <pic:cNvPr id="1194" name="AutoShape_2_SpCnt_37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95" name="AutoShape_1_SpCnt_411"/>
                  <wp:cNvGraphicFramePr/>
                  <a:graphic xmlns:a="http://schemas.openxmlformats.org/drawingml/2006/main">
                    <a:graphicData uri="http://schemas.openxmlformats.org/drawingml/2006/picture">
                      <pic:pic xmlns:pic="http://schemas.openxmlformats.org/drawingml/2006/picture">
                        <pic:nvPicPr>
                          <pic:cNvPr id="1195" name="AutoShape_1_SpCnt_41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96" name="AutoShape_2_SpCnt_375"/>
                  <wp:cNvGraphicFramePr/>
                  <a:graphic xmlns:a="http://schemas.openxmlformats.org/drawingml/2006/main">
                    <a:graphicData uri="http://schemas.openxmlformats.org/drawingml/2006/picture">
                      <pic:pic xmlns:pic="http://schemas.openxmlformats.org/drawingml/2006/picture">
                        <pic:nvPicPr>
                          <pic:cNvPr id="1196" name="AutoShape_2_SpCnt_37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97" name="AutoShape_2_SpCnt_376"/>
                  <wp:cNvGraphicFramePr/>
                  <a:graphic xmlns:a="http://schemas.openxmlformats.org/drawingml/2006/main">
                    <a:graphicData uri="http://schemas.openxmlformats.org/drawingml/2006/picture">
                      <pic:pic xmlns:pic="http://schemas.openxmlformats.org/drawingml/2006/picture">
                        <pic:nvPicPr>
                          <pic:cNvPr id="1197" name="AutoShape_2_SpCnt_37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98" name="AutoShape_1_SpCnt_412"/>
                  <wp:cNvGraphicFramePr/>
                  <a:graphic xmlns:a="http://schemas.openxmlformats.org/drawingml/2006/main">
                    <a:graphicData uri="http://schemas.openxmlformats.org/drawingml/2006/picture">
                      <pic:pic xmlns:pic="http://schemas.openxmlformats.org/drawingml/2006/picture">
                        <pic:nvPicPr>
                          <pic:cNvPr id="1198" name="AutoShape_1_SpCnt_41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199" name="AutoShape_2_SpCnt_377"/>
                  <wp:cNvGraphicFramePr/>
                  <a:graphic xmlns:a="http://schemas.openxmlformats.org/drawingml/2006/main">
                    <a:graphicData uri="http://schemas.openxmlformats.org/drawingml/2006/picture">
                      <pic:pic xmlns:pic="http://schemas.openxmlformats.org/drawingml/2006/picture">
                        <pic:nvPicPr>
                          <pic:cNvPr id="1199" name="AutoShape_2_SpCnt_37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200" name="AutoShape_2_SpCnt_378"/>
                  <wp:cNvGraphicFramePr/>
                  <a:graphic xmlns:a="http://schemas.openxmlformats.org/drawingml/2006/main">
                    <a:graphicData uri="http://schemas.openxmlformats.org/drawingml/2006/picture">
                      <pic:pic xmlns:pic="http://schemas.openxmlformats.org/drawingml/2006/picture">
                        <pic:nvPicPr>
                          <pic:cNvPr id="1200" name="AutoShape_2_SpCnt_37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201" name="AutoShape_1_SpCnt_413"/>
                  <wp:cNvGraphicFramePr/>
                  <a:graphic xmlns:a="http://schemas.openxmlformats.org/drawingml/2006/main">
                    <a:graphicData uri="http://schemas.openxmlformats.org/drawingml/2006/picture">
                      <pic:pic xmlns:pic="http://schemas.openxmlformats.org/drawingml/2006/picture">
                        <pic:nvPicPr>
                          <pic:cNvPr id="1201" name="AutoShape_1_SpCnt_41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202" name="AutoShape_2_SpCnt_379"/>
                  <wp:cNvGraphicFramePr/>
                  <a:graphic xmlns:a="http://schemas.openxmlformats.org/drawingml/2006/main">
                    <a:graphicData uri="http://schemas.openxmlformats.org/drawingml/2006/picture">
                      <pic:pic xmlns:pic="http://schemas.openxmlformats.org/drawingml/2006/picture">
                        <pic:nvPicPr>
                          <pic:cNvPr id="1202" name="AutoShape_2_SpCnt_37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203" name="AutoShape_1_SpCnt_414"/>
                  <wp:cNvGraphicFramePr/>
                  <a:graphic xmlns:a="http://schemas.openxmlformats.org/drawingml/2006/main">
                    <a:graphicData uri="http://schemas.openxmlformats.org/drawingml/2006/picture">
                      <pic:pic xmlns:pic="http://schemas.openxmlformats.org/drawingml/2006/picture">
                        <pic:nvPicPr>
                          <pic:cNvPr id="1203" name="AutoShape_1_SpCnt_41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204" name="AutoShape_1_SpCnt_415"/>
                  <wp:cNvGraphicFramePr/>
                  <a:graphic xmlns:a="http://schemas.openxmlformats.org/drawingml/2006/main">
                    <a:graphicData uri="http://schemas.openxmlformats.org/drawingml/2006/picture">
                      <pic:pic xmlns:pic="http://schemas.openxmlformats.org/drawingml/2006/picture">
                        <pic:nvPicPr>
                          <pic:cNvPr id="1204" name="AutoShape_1_SpCnt_41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205" name="AutoShape_1_SpCnt_416"/>
                  <wp:cNvGraphicFramePr/>
                  <a:graphic xmlns:a="http://schemas.openxmlformats.org/drawingml/2006/main">
                    <a:graphicData uri="http://schemas.openxmlformats.org/drawingml/2006/picture">
                      <pic:pic xmlns:pic="http://schemas.openxmlformats.org/drawingml/2006/picture">
                        <pic:nvPicPr>
                          <pic:cNvPr id="1205" name="AutoShape_1_SpCnt_41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206" name="AutoShape_1_SpCnt_417"/>
                  <wp:cNvGraphicFramePr/>
                  <a:graphic xmlns:a="http://schemas.openxmlformats.org/drawingml/2006/main">
                    <a:graphicData uri="http://schemas.openxmlformats.org/drawingml/2006/picture">
                      <pic:pic xmlns:pic="http://schemas.openxmlformats.org/drawingml/2006/picture">
                        <pic:nvPicPr>
                          <pic:cNvPr id="1206" name="AutoShape_1_SpCnt_41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207" name="AutoShape_1_SpCnt_418"/>
                  <wp:cNvGraphicFramePr/>
                  <a:graphic xmlns:a="http://schemas.openxmlformats.org/drawingml/2006/main">
                    <a:graphicData uri="http://schemas.openxmlformats.org/drawingml/2006/picture">
                      <pic:pic xmlns:pic="http://schemas.openxmlformats.org/drawingml/2006/picture">
                        <pic:nvPicPr>
                          <pic:cNvPr id="1207" name="AutoShape_1_SpCnt_418"/>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208" name="AutoShape_1_SpCnt_419"/>
                  <wp:cNvGraphicFramePr/>
                  <a:graphic xmlns:a="http://schemas.openxmlformats.org/drawingml/2006/main">
                    <a:graphicData uri="http://schemas.openxmlformats.org/drawingml/2006/picture">
                      <pic:pic xmlns:pic="http://schemas.openxmlformats.org/drawingml/2006/picture">
                        <pic:nvPicPr>
                          <pic:cNvPr id="1208" name="AutoShape_1_SpCnt_419"/>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209" name="AutoShape_2_SpCnt_380"/>
                  <wp:cNvGraphicFramePr/>
                  <a:graphic xmlns:a="http://schemas.openxmlformats.org/drawingml/2006/main">
                    <a:graphicData uri="http://schemas.openxmlformats.org/drawingml/2006/picture">
                      <pic:pic xmlns:pic="http://schemas.openxmlformats.org/drawingml/2006/picture">
                        <pic:nvPicPr>
                          <pic:cNvPr id="1209" name="AutoShape_2_SpCnt_38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210" name="AutoShape_1_SpCnt_420"/>
                  <wp:cNvGraphicFramePr/>
                  <a:graphic xmlns:a="http://schemas.openxmlformats.org/drawingml/2006/main">
                    <a:graphicData uri="http://schemas.openxmlformats.org/drawingml/2006/picture">
                      <pic:pic xmlns:pic="http://schemas.openxmlformats.org/drawingml/2006/picture">
                        <pic:nvPicPr>
                          <pic:cNvPr id="1210" name="AutoShape_1_SpCnt_420"/>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211" name="AutoShape_2_SpCnt_381"/>
                  <wp:cNvGraphicFramePr/>
                  <a:graphic xmlns:a="http://schemas.openxmlformats.org/drawingml/2006/main">
                    <a:graphicData uri="http://schemas.openxmlformats.org/drawingml/2006/picture">
                      <pic:pic xmlns:pic="http://schemas.openxmlformats.org/drawingml/2006/picture">
                        <pic:nvPicPr>
                          <pic:cNvPr id="1211" name="AutoShape_2_SpCnt_38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212" name="AutoShape_2_SpCnt_382"/>
                  <wp:cNvGraphicFramePr/>
                  <a:graphic xmlns:a="http://schemas.openxmlformats.org/drawingml/2006/main">
                    <a:graphicData uri="http://schemas.openxmlformats.org/drawingml/2006/picture">
                      <pic:pic xmlns:pic="http://schemas.openxmlformats.org/drawingml/2006/picture">
                        <pic:nvPicPr>
                          <pic:cNvPr id="1212" name="AutoShape_2_SpCnt_38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213" name="AutoShape_2_SpCnt_383"/>
                  <wp:cNvGraphicFramePr/>
                  <a:graphic xmlns:a="http://schemas.openxmlformats.org/drawingml/2006/main">
                    <a:graphicData uri="http://schemas.openxmlformats.org/drawingml/2006/picture">
                      <pic:pic xmlns:pic="http://schemas.openxmlformats.org/drawingml/2006/picture">
                        <pic:nvPicPr>
                          <pic:cNvPr id="1213" name="AutoShape_2_SpCnt_38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214" name="AutoShape_2_SpCnt_384"/>
                  <wp:cNvGraphicFramePr/>
                  <a:graphic xmlns:a="http://schemas.openxmlformats.org/drawingml/2006/main">
                    <a:graphicData uri="http://schemas.openxmlformats.org/drawingml/2006/picture">
                      <pic:pic xmlns:pic="http://schemas.openxmlformats.org/drawingml/2006/picture">
                        <pic:nvPicPr>
                          <pic:cNvPr id="1214" name="AutoShape_2_SpCnt_384"/>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215" name="AutoShape_1_SpCnt_421"/>
                  <wp:cNvGraphicFramePr/>
                  <a:graphic xmlns:a="http://schemas.openxmlformats.org/drawingml/2006/main">
                    <a:graphicData uri="http://schemas.openxmlformats.org/drawingml/2006/picture">
                      <pic:pic xmlns:pic="http://schemas.openxmlformats.org/drawingml/2006/picture">
                        <pic:nvPicPr>
                          <pic:cNvPr id="1215" name="AutoShape_1_SpCnt_421"/>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216" name="AutoShape_1_SpCnt_422"/>
                  <wp:cNvGraphicFramePr/>
                  <a:graphic xmlns:a="http://schemas.openxmlformats.org/drawingml/2006/main">
                    <a:graphicData uri="http://schemas.openxmlformats.org/drawingml/2006/picture">
                      <pic:pic xmlns:pic="http://schemas.openxmlformats.org/drawingml/2006/picture">
                        <pic:nvPicPr>
                          <pic:cNvPr id="1216" name="AutoShape_1_SpCnt_422"/>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217" name="AutoShape_2_SpCnt_385"/>
                  <wp:cNvGraphicFramePr/>
                  <a:graphic xmlns:a="http://schemas.openxmlformats.org/drawingml/2006/main">
                    <a:graphicData uri="http://schemas.openxmlformats.org/drawingml/2006/picture">
                      <pic:pic xmlns:pic="http://schemas.openxmlformats.org/drawingml/2006/picture">
                        <pic:nvPicPr>
                          <pic:cNvPr id="1217" name="AutoShape_2_SpCnt_385"/>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218" name="AutoShape_2_SpCnt_386"/>
                  <wp:cNvGraphicFramePr/>
                  <a:graphic xmlns:a="http://schemas.openxmlformats.org/drawingml/2006/main">
                    <a:graphicData uri="http://schemas.openxmlformats.org/drawingml/2006/picture">
                      <pic:pic xmlns:pic="http://schemas.openxmlformats.org/drawingml/2006/picture">
                        <pic:nvPicPr>
                          <pic:cNvPr id="1218" name="AutoShape_2_SpCnt_386"/>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219" name="AutoShape_2_SpCnt_387"/>
                  <wp:cNvGraphicFramePr/>
                  <a:graphic xmlns:a="http://schemas.openxmlformats.org/drawingml/2006/main">
                    <a:graphicData uri="http://schemas.openxmlformats.org/drawingml/2006/picture">
                      <pic:pic xmlns:pic="http://schemas.openxmlformats.org/drawingml/2006/picture">
                        <pic:nvPicPr>
                          <pic:cNvPr id="1219" name="AutoShape_2_SpCnt_387"/>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047750"/>
                  <wp:effectExtent l="0" t="0" r="0" b="0"/>
                  <wp:wrapNone/>
                  <wp:docPr id="1220" name="AutoShape_1_SpCnt_423"/>
                  <wp:cNvGraphicFramePr/>
                  <a:graphic xmlns:a="http://schemas.openxmlformats.org/drawingml/2006/main">
                    <a:graphicData uri="http://schemas.openxmlformats.org/drawingml/2006/picture">
                      <pic:pic xmlns:pic="http://schemas.openxmlformats.org/drawingml/2006/picture">
                        <pic:nvPicPr>
                          <pic:cNvPr id="1220" name="AutoShape_1_SpCnt_423"/>
                          <pic:cNvPicPr/>
                        </pic:nvPicPr>
                        <pic:blipFill>
                          <a:blip r:embed="rId7"/>
                          <a:stretch>
                            <a:fillRect/>
                          </a:stretch>
                        </pic:blipFill>
                        <pic:spPr>
                          <a:xfrm>
                            <a:off x="0" y="0"/>
                            <a:ext cx="304800" cy="104775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4"/>
                <w:szCs w:val="24"/>
                <w:highlight w:val="none"/>
                <w:u w:val="none"/>
                <w:lang w:val="en-US" w:eastAsia="zh-CN" w:bidi="ar"/>
              </w:rPr>
              <w:t>主体结构封顶</w:t>
            </w:r>
          </w:p>
        </w:tc>
      </w:tr>
      <w:tr w14:paraId="6FC36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1"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43B1C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66</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695DAC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新睿樾府（NO.2022G25）</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6972C0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主体结构封顶；精装修完成90%；外立面完成95%；景观区完成60%；水电气完成90%；配套完成100%</w:t>
            </w:r>
          </w:p>
        </w:tc>
      </w:tr>
      <w:tr w14:paraId="14292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D8C7F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67</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7C0DAC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保利文华（NO.2022G26）</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721E6D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4D8A4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2"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AD4A0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68</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3392204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誉璟府</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（原伟星南部新城佳营路以南项目NO.2022G65）</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260AE9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主体建设完成</w:t>
            </w:r>
          </w:p>
        </w:tc>
      </w:tr>
      <w:tr w14:paraId="6D337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5FBE3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69</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19F244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文璟和颂</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（原南部新城佳营路南，明贤路东地块</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NO.2023G02）</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7C874E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主体施工</w:t>
            </w:r>
          </w:p>
        </w:tc>
      </w:tr>
      <w:tr w14:paraId="17F36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F8492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70</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08D2D7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玖樾印象</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（NO.2021G29）</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6296F0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1#2#5#6#7#完工，3#4#8#室内精装施工</w:t>
            </w:r>
          </w:p>
        </w:tc>
      </w:tr>
      <w:tr w14:paraId="1486B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64EAB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71</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14DDDD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金基石杨路以南项目（NO.2022G23）</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14C0A2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所有结构封顶，外立面施工完成，精装、景观施工</w:t>
            </w:r>
          </w:p>
        </w:tc>
      </w:tr>
      <w:tr w14:paraId="51A1B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E3D47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72</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5F020C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煤场住宅地块（NO.2021G122 ）</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783677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主体建设完成</w:t>
            </w:r>
          </w:p>
        </w:tc>
      </w:tr>
      <w:tr w14:paraId="0FEBC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528D8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73</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68DB98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南京云上</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（原地铁小天堂地块）</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2ABD0D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A地块外立面完成，装修工程完成70%；B地块外立面外场20%，装修进场施工</w:t>
            </w:r>
          </w:p>
        </w:tc>
      </w:tr>
      <w:tr w14:paraId="06557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16809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74</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3417B3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范家塘商住楼（NO.2019G17）</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1FA4EF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室内精装修完成60%，外墙装修完成100%，室外管综完成70%，室外园林景观完成70%</w:t>
            </w:r>
          </w:p>
        </w:tc>
      </w:tr>
      <w:tr w14:paraId="1434C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955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CA61148">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（四）社会事业类项目</w:t>
            </w:r>
          </w:p>
        </w:tc>
      </w:tr>
      <w:tr w14:paraId="36E99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12"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5BA35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75</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748504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富华路两侧教育配套设施</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（幼儿园、小学、初中）</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1424259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主体结构完成，二次结构完成，装饰装修完成20%；机电安装完成40%</w:t>
            </w:r>
          </w:p>
        </w:tc>
      </w:tr>
      <w:tr w14:paraId="4B979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9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13F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76</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7E0CEB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广洋路东幼儿园、社区中心及南侧公园绿地</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6B5D71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完成桩基施工及土方外运，完成幼儿园地下室施工</w:t>
            </w:r>
          </w:p>
        </w:tc>
      </w:tr>
      <w:tr w14:paraId="2AEA0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4"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ACCBE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77</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38487C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怡居路北侧幼儿园</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792165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6C924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4"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E4C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78</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45062A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响水河路南侧幼儿园（原西一路幼儿园）</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4ADEAB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6844E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AC6C4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79</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12ADBA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油库南中小学</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4E1438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完成土方开挖，开展地下室结构施工</w:t>
            </w:r>
          </w:p>
        </w:tc>
      </w:tr>
      <w:tr w14:paraId="0D85C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E94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80</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117F53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大明路东侧居住社区中心</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2DDA21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主体结构完成，二次结构完成，开始装饰装修施工；机电安装完成30%</w:t>
            </w:r>
          </w:p>
        </w:tc>
      </w:tr>
      <w:tr w14:paraId="547F7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9"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DEC3E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81</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5087DD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国际路社区中心（含公交场站、消防站）</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21E258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color w:val="auto"/>
                <w:kern w:val="0"/>
                <w:sz w:val="24"/>
                <w:highlight w:val="none"/>
                <w:lang w:bidi="ar"/>
              </w:rPr>
              <w:t>完成主体结构施工</w:t>
            </w:r>
            <w:r>
              <w:rPr>
                <w:rFonts w:hint="eastAsia" w:ascii="Times New Roman" w:hAnsi="Times New Roman" w:eastAsia="方正仿宋_GBK" w:cs="Times New Roman"/>
                <w:color w:val="auto"/>
                <w:kern w:val="0"/>
                <w:sz w:val="24"/>
                <w:highlight w:val="none"/>
                <w:lang w:bidi="ar"/>
              </w:rPr>
              <w:t>，开展机电工程、装饰工程施工</w:t>
            </w:r>
          </w:p>
        </w:tc>
      </w:tr>
      <w:tr w14:paraId="23913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E8F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82</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6DE269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机场三路居住社区中心（划拨）（含合并的一处基层社区中心）</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6383AA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A地块二次结构完成50%；B地块二次结构完成60%；C地块机电安装完成20%</w:t>
            </w:r>
          </w:p>
        </w:tc>
      </w:tr>
      <w:tr w14:paraId="28753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CDC38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83</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2FBC0E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永乐南路社区中心</w:t>
            </w:r>
          </w:p>
        </w:tc>
        <w:tc>
          <w:tcPr>
            <w:tcW w:w="3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C4C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室外施工</w:t>
            </w:r>
          </w:p>
        </w:tc>
      </w:tr>
      <w:tr w14:paraId="59A6C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6E1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84</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1EF7CE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检察院业务技术大楼</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03D880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室外施工</w:t>
            </w:r>
          </w:p>
        </w:tc>
      </w:tr>
      <w:tr w14:paraId="00A22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27F40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85</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7A8448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中牌楼保障房项目二期工程</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60BA04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color w:val="auto"/>
                <w:kern w:val="0"/>
                <w:sz w:val="24"/>
                <w:highlight w:val="none"/>
                <w:lang w:bidi="ar"/>
              </w:rPr>
              <w:t>B地块：完工；C地块：</w:t>
            </w:r>
            <w:r>
              <w:rPr>
                <w:rFonts w:hint="eastAsia" w:ascii="Times New Roman" w:hAnsi="Times New Roman" w:eastAsia="方正仿宋_GBK" w:cs="Times New Roman"/>
                <w:color w:val="auto"/>
                <w:kern w:val="0"/>
                <w:sz w:val="24"/>
                <w:highlight w:val="none"/>
                <w:lang w:bidi="ar"/>
              </w:rPr>
              <w:t>地库结构完成，主体结构完成80%</w:t>
            </w:r>
            <w:r>
              <w:rPr>
                <w:rFonts w:ascii="Times New Roman" w:hAnsi="Times New Roman" w:eastAsia="方正仿宋_GBK" w:cs="Times New Roman"/>
                <w:color w:val="auto"/>
                <w:kern w:val="0"/>
                <w:sz w:val="24"/>
                <w:highlight w:val="none"/>
                <w:lang w:bidi="ar"/>
              </w:rPr>
              <w:t>；D地块：桩基及支护工程完成</w:t>
            </w:r>
            <w:r>
              <w:rPr>
                <w:rFonts w:hint="eastAsia" w:ascii="Times New Roman" w:hAnsi="Times New Roman" w:eastAsia="方正仿宋_GBK" w:cs="Times New Roman"/>
                <w:color w:val="auto"/>
                <w:kern w:val="0"/>
                <w:sz w:val="24"/>
                <w:highlight w:val="none"/>
                <w:lang w:bidi="ar"/>
              </w:rPr>
              <w:t>80</w:t>
            </w:r>
            <w:r>
              <w:rPr>
                <w:rFonts w:ascii="Times New Roman" w:hAnsi="Times New Roman" w:eastAsia="方正仿宋_GBK" w:cs="Times New Roman"/>
                <w:color w:val="auto"/>
                <w:kern w:val="0"/>
                <w:sz w:val="24"/>
                <w:highlight w:val="none"/>
                <w:lang w:bidi="ar"/>
              </w:rPr>
              <w:t>%</w:t>
            </w:r>
          </w:p>
        </w:tc>
      </w:tr>
      <w:tr w14:paraId="58337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8"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920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86</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6028A5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杨庄北侧保障房（含紫杨佳园中小学、社区中心）</w:t>
            </w:r>
          </w:p>
        </w:tc>
        <w:tc>
          <w:tcPr>
            <w:tcW w:w="3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3AB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0E0D1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9"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C960E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87</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42B1AD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煤场地块幼儿园</w:t>
            </w:r>
          </w:p>
        </w:tc>
        <w:tc>
          <w:tcPr>
            <w:tcW w:w="3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312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主体施工</w:t>
            </w:r>
          </w:p>
        </w:tc>
      </w:tr>
      <w:tr w14:paraId="66644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955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69ECDCA">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三、前期项目</w:t>
            </w:r>
          </w:p>
        </w:tc>
      </w:tr>
      <w:tr w14:paraId="762A6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955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CA29B7D">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（一）楼宇园区改造类项目</w:t>
            </w:r>
          </w:p>
        </w:tc>
      </w:tr>
      <w:tr w14:paraId="73B8E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759BF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88</w:t>
            </w:r>
          </w:p>
        </w:tc>
        <w:tc>
          <w:tcPr>
            <w:tcW w:w="49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081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光华产业园</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7539D8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44284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49905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89</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7DC389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建华大厦</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3A1D7B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49348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1CFC5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90</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37C825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香港城</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56B590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17AD2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F4CD7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91</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0BC472E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印象汇</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708470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028FD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8317F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92</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1ABA37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英王府中医药文化健康产业中心（二期）</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013821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4DA63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955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641CB72">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（二）低效用地类项目</w:t>
            </w:r>
          </w:p>
        </w:tc>
      </w:tr>
      <w:tr w14:paraId="477E7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69C5B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93</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6A2263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中牌楼西118号地块</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1BE907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56468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77093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94</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5DE997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金陵智造研究院</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（晨光科技创新园）</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010215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44DC3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4D61E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95</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5BBD62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石门坎华联超市</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（中远航修厂）</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40AE441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22DC4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B85B6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96</w:t>
            </w:r>
          </w:p>
        </w:tc>
        <w:tc>
          <w:tcPr>
            <w:tcW w:w="49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C82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石城商业广场</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2FEFC36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4C9E1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06C71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97</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3A37DD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江苏万邦总部基地与研发中心</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497C58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67CD1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79BBE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98</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0E3853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剪子巷156号地块</w:t>
            </w:r>
          </w:p>
        </w:tc>
        <w:tc>
          <w:tcPr>
            <w:tcW w:w="3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430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2450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955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47E0148">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（三）研究类项目</w:t>
            </w:r>
          </w:p>
        </w:tc>
      </w:tr>
      <w:tr w14:paraId="09393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A49A4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99</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589B8F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★南京博物院南院</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75CAF1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37F4E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6D588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100</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606935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★宏光科技大厦</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63EDFB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402FF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91993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101</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0F5E5B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★大报恩寺遗址公园二期黄泥塘地块</w:t>
            </w:r>
          </w:p>
        </w:tc>
        <w:tc>
          <w:tcPr>
            <w:tcW w:w="3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2B8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1E7EB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A275E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102</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361135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☆秦淮智慧产业孵化园</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（原洪家园片区危旧房改造）</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3C3BF0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2416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D2284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103</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5E58B1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☆牌楼、郑家营地块</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1BBF3C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52F1A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65925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104</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4319CC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☆西街城市记忆文旅街区</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3950F6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04857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F6DC0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105</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409628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河头项目</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5F116E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适时启动</w:t>
            </w:r>
          </w:p>
        </w:tc>
      </w:tr>
      <w:tr w14:paraId="2F543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8B653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106</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42B155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南部新城佳营路南，祥天路西地块</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265105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4C508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5B37F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107</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417280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南部新城汇秀路南，广洋路东地块</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77A001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6FCCA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8AB74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2"/>
                <w:sz w:val="24"/>
                <w:szCs w:val="24"/>
                <w:highlight w:val="none"/>
                <w:u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108</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229B06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油库公园</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7ED80D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53BD7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3EBC33A">
            <w:pPr>
              <w:widowControl/>
              <w:spacing w:line="3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ascii="Times New Roman" w:hAnsi="Times New Roman" w:eastAsia="方正仿宋_GBK" w:cs="Times New Roman"/>
                <w:color w:val="auto"/>
                <w:kern w:val="0"/>
                <w:sz w:val="24"/>
                <w:highlight w:val="none"/>
                <w:lang w:bidi="ar"/>
              </w:rPr>
              <w:t>109</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2709C777">
            <w:pPr>
              <w:widowControl/>
              <w:spacing w:line="300" w:lineRule="exact"/>
              <w:jc w:val="left"/>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highlight w:val="none"/>
                <w:lang w:bidi="ar"/>
              </w:rPr>
              <w:t>比亚迪东部战区总部</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467BD7F0">
            <w:pPr>
              <w:widowControl/>
              <w:spacing w:line="300" w:lineRule="exact"/>
              <w:jc w:val="left"/>
              <w:textAlignment w:val="center"/>
              <w:rPr>
                <w:rFonts w:hint="default" w:ascii="Times New Roman" w:hAnsi="Times New Roman" w:eastAsia="方正仿宋_GBK" w:cs="Times New Roman"/>
                <w:color w:val="auto"/>
                <w:kern w:val="0"/>
                <w:sz w:val="24"/>
                <w:szCs w:val="24"/>
                <w:highlight w:val="none"/>
                <w:lang w:val="en-US" w:eastAsia="zh-CN" w:bidi="ar"/>
              </w:rPr>
            </w:pPr>
            <w:r>
              <w:rPr>
                <w:rFonts w:ascii="Times New Roman" w:hAnsi="Times New Roman" w:eastAsia="方正仿宋_GBK" w:cs="Times New Roman"/>
                <w:color w:val="auto"/>
                <w:kern w:val="0"/>
                <w:sz w:val="24"/>
                <w:highlight w:val="none"/>
                <w:lang w:bidi="ar"/>
              </w:rPr>
              <w:t>前期研究</w:t>
            </w:r>
          </w:p>
        </w:tc>
      </w:tr>
      <w:tr w14:paraId="723D3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96F19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110</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534B52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弘学路地块</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62F39B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51B9B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71BFB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111</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72A66F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秦淮硅巷·蓝旗街配套地块</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5434E0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3D3E6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61D2E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112</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317A08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白下高新区科创基地项目</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1D1FDA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6B95A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35D20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113</w:t>
            </w:r>
          </w:p>
        </w:tc>
        <w:tc>
          <w:tcPr>
            <w:tcW w:w="49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7A7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LG南绿地项目</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2D72357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6F386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661CF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114</w:t>
            </w:r>
          </w:p>
        </w:tc>
        <w:tc>
          <w:tcPr>
            <w:tcW w:w="49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4C7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东部医疗中心</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5414E8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544E4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5A074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115</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24960A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光华路南地块</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（光华路道路综合整治指挥部地块）</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6C363B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3973E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C1524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116</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0389851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八宝东街学校</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0D06AA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2D4FA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9A4A7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117</w:t>
            </w:r>
          </w:p>
        </w:tc>
        <w:tc>
          <w:tcPr>
            <w:tcW w:w="49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FAC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光华新村剩余地块</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789EE4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20EB6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46F6A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118</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76294D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普天1号518街区A-2、B地块项目</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（普天518智造创新街区）</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6C940A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5FB87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9545D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119</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1EACAC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养虎仓地块</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2931C5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4F494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4A6E3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120</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7AD2E1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凤凰台片区</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3F72AA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18583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D43E5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121</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679206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小锏银巷</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4AFCA2E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6F8FB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9176C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122</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165BE2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太平巷20号地块</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4D0720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r w14:paraId="270E5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A9E18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123</w:t>
            </w:r>
          </w:p>
        </w:tc>
        <w:tc>
          <w:tcPr>
            <w:tcW w:w="4920" w:type="dxa"/>
            <w:tcBorders>
              <w:top w:val="single" w:color="auto" w:sz="4" w:space="0"/>
              <w:left w:val="single" w:color="auto" w:sz="4" w:space="0"/>
              <w:bottom w:val="single" w:color="auto" w:sz="4" w:space="0"/>
              <w:right w:val="single" w:color="auto" w:sz="4" w:space="0"/>
            </w:tcBorders>
            <w:shd w:val="clear" w:color="auto" w:fill="auto"/>
            <w:vAlign w:val="center"/>
          </w:tcPr>
          <w:p w14:paraId="5BAA45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仓巷地块</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14:paraId="6F6EBB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前期研究</w:t>
            </w:r>
          </w:p>
        </w:tc>
      </w:tr>
    </w:tbl>
    <w:p w14:paraId="3FF1552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color w:val="auto"/>
          <w:sz w:val="24"/>
          <w:szCs w:val="24"/>
          <w:highlight w:val="none"/>
          <w:lang w:val="en-US" w:eastAsia="zh-CN"/>
        </w:rPr>
      </w:pPr>
    </w:p>
    <w:p w14:paraId="4D90EE5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备注：</w:t>
      </w:r>
    </w:p>
    <w:p w14:paraId="5D931B3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1、★★为省重大项目，共计申报省重大前期项目1个，为省中医院科教大楼项目。</w:t>
      </w:r>
    </w:p>
    <w:p w14:paraId="401843F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2、★为市重大项目，共计申报市重大项目26个（包含省重大项目），其中新开工项目2个，力争开工项目2个，在建项目18个，前期项目4个，项目总投资982.18亿元，2024年计划投资</w:t>
      </w:r>
      <w:r>
        <w:rPr>
          <w:rFonts w:hint="eastAsia" w:ascii="Times New Roman" w:hAnsi="Times New Roman" w:eastAsia="方正仿宋_GBK" w:cs="Times New Roman"/>
          <w:color w:val="auto"/>
          <w:sz w:val="24"/>
          <w:szCs w:val="24"/>
          <w:highlight w:val="none"/>
          <w:lang w:val="en-US" w:eastAsia="zh-CN"/>
        </w:rPr>
        <w:t>89.2</w:t>
      </w:r>
      <w:r>
        <w:rPr>
          <w:rFonts w:hint="default" w:ascii="Times New Roman" w:hAnsi="Times New Roman" w:eastAsia="方正仿宋_GBK" w:cs="Times New Roman"/>
          <w:color w:val="auto"/>
          <w:sz w:val="24"/>
          <w:szCs w:val="24"/>
          <w:highlight w:val="none"/>
          <w:lang w:val="en-US" w:eastAsia="zh-CN"/>
        </w:rPr>
        <w:t>亿元（华夏幸福华东运营总部与金地商置苏鲁区域总部在市重大项目计划中合并为“南部新城商务中心”，</w:t>
      </w:r>
      <w:r>
        <w:rPr>
          <w:rFonts w:hint="default" w:ascii="Times New Roman" w:hAnsi="Times New Roman" w:eastAsia="方正仿宋_GBK" w:cs="Times New Roman"/>
          <w:i w:val="0"/>
          <w:iCs w:val="0"/>
          <w:color w:val="auto"/>
          <w:kern w:val="0"/>
          <w:sz w:val="24"/>
          <w:szCs w:val="24"/>
          <w:highlight w:val="none"/>
          <w:u w:val="none"/>
          <w:lang w:val="en-US" w:eastAsia="zh-CN" w:bidi="ar"/>
        </w:rPr>
        <w:t>新街口商务商贸大厦在市重大项目计划中列为前期项目</w:t>
      </w:r>
      <w:r>
        <w:rPr>
          <w:rFonts w:hint="default" w:ascii="Times New Roman" w:hAnsi="Times New Roman" w:eastAsia="方正仿宋_GBK" w:cs="Times New Roman"/>
          <w:color w:val="auto"/>
          <w:sz w:val="24"/>
          <w:szCs w:val="24"/>
          <w:highlight w:val="none"/>
          <w:lang w:val="en-US" w:eastAsia="zh-CN"/>
        </w:rPr>
        <w:t>）。</w:t>
      </w:r>
    </w:p>
    <w:p w14:paraId="75F62CC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24"/>
          <w:szCs w:val="24"/>
          <w:highlight w:val="none"/>
          <w:lang w:val="en-US" w:eastAsia="zh-CN"/>
        </w:rPr>
        <w:t>3、☆为攻坚项目，共10个。</w:t>
      </w:r>
      <w:r>
        <w:rPr>
          <w:rFonts w:hint="default" w:ascii="Times New Roman" w:hAnsi="Times New Roman" w:eastAsia="方正仿宋_GBK" w:cs="Times New Roman"/>
          <w:color w:val="auto"/>
          <w:sz w:val="32"/>
          <w:szCs w:val="32"/>
          <w:highlight w:val="none"/>
          <w:lang w:val="en-US" w:eastAsia="zh-CN"/>
        </w:rPr>
        <w:br w:type="page"/>
      </w:r>
    </w:p>
    <w:p w14:paraId="63456AB0">
      <w:pPr>
        <w:pStyle w:val="9"/>
        <w:outlineLvl w:val="1"/>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附件3：</w:t>
      </w:r>
    </w:p>
    <w:p w14:paraId="2D254EA7">
      <w:pPr>
        <w:pStyle w:val="9"/>
        <w:jc w:val="center"/>
        <w:rPr>
          <w:rFonts w:hint="default" w:ascii="Times New Roman" w:hAnsi="Times New Roman" w:eastAsia="方正黑体_GBK" w:cs="Times New Roman"/>
          <w:color w:val="auto"/>
          <w:sz w:val="36"/>
          <w:szCs w:val="36"/>
          <w:highlight w:val="none"/>
        </w:rPr>
      </w:pPr>
      <w:r>
        <w:rPr>
          <w:rFonts w:hint="default" w:ascii="Times New Roman" w:hAnsi="Times New Roman" w:eastAsia="方正黑体_GBK" w:cs="Times New Roman"/>
          <w:color w:val="auto"/>
          <w:sz w:val="36"/>
          <w:szCs w:val="36"/>
          <w:highlight w:val="none"/>
        </w:rPr>
        <w:t>秦淮区202</w:t>
      </w:r>
      <w:r>
        <w:rPr>
          <w:rFonts w:hint="default" w:ascii="Times New Roman" w:hAnsi="Times New Roman" w:eastAsia="方正黑体_GBK" w:cs="Times New Roman"/>
          <w:color w:val="auto"/>
          <w:sz w:val="36"/>
          <w:szCs w:val="36"/>
          <w:highlight w:val="none"/>
          <w:lang w:val="en-US" w:eastAsia="zh-CN"/>
        </w:rPr>
        <w:t>4</w:t>
      </w:r>
      <w:r>
        <w:rPr>
          <w:rFonts w:hint="default" w:ascii="Times New Roman" w:hAnsi="Times New Roman" w:eastAsia="方正黑体_GBK" w:cs="Times New Roman"/>
          <w:color w:val="auto"/>
          <w:sz w:val="36"/>
          <w:szCs w:val="36"/>
          <w:highlight w:val="none"/>
        </w:rPr>
        <w:t>年度政府投资计划表（非城建类）</w:t>
      </w:r>
    </w:p>
    <w:tbl>
      <w:tblPr>
        <w:tblStyle w:val="13"/>
        <w:tblW w:w="104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7"/>
        <w:gridCol w:w="5662"/>
        <w:gridCol w:w="990"/>
        <w:gridCol w:w="1245"/>
        <w:gridCol w:w="1763"/>
      </w:tblGrid>
      <w:tr w14:paraId="290B2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blHeader/>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DE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auto"/>
                <w:sz w:val="24"/>
                <w:szCs w:val="24"/>
                <w:highlight w:val="none"/>
                <w:u w:val="none"/>
              </w:rPr>
            </w:pPr>
            <w:r>
              <w:rPr>
                <w:rFonts w:hint="default" w:ascii="Times New Roman" w:hAnsi="Times New Roman" w:eastAsia="方正黑体_GBK" w:cs="Times New Roman"/>
                <w:b w:val="0"/>
                <w:bCs w:val="0"/>
                <w:i w:val="0"/>
                <w:iCs w:val="0"/>
                <w:color w:val="auto"/>
                <w:kern w:val="0"/>
                <w:sz w:val="24"/>
                <w:szCs w:val="24"/>
                <w:highlight w:val="none"/>
                <w:u w:val="none"/>
                <w:lang w:val="en-US" w:eastAsia="zh-CN" w:bidi="ar"/>
              </w:rPr>
              <w:t>序号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23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auto"/>
                <w:sz w:val="24"/>
                <w:szCs w:val="24"/>
                <w:highlight w:val="none"/>
                <w:u w:val="none"/>
              </w:rPr>
            </w:pPr>
            <w:r>
              <w:rPr>
                <w:rFonts w:hint="default" w:ascii="Times New Roman" w:hAnsi="Times New Roman" w:eastAsia="方正黑体_GBK" w:cs="Times New Roman"/>
                <w:b w:val="0"/>
                <w:bCs w:val="0"/>
                <w:i w:val="0"/>
                <w:iCs w:val="0"/>
                <w:color w:val="auto"/>
                <w:kern w:val="0"/>
                <w:sz w:val="24"/>
                <w:szCs w:val="24"/>
                <w:highlight w:val="none"/>
                <w:u w:val="none"/>
                <w:lang w:val="en-US" w:eastAsia="zh-CN" w:bidi="ar"/>
              </w:rPr>
              <w:t>项目名称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15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黑体_GBK" w:cs="Times New Roman"/>
                <w:b w:val="0"/>
                <w:bCs w:val="0"/>
                <w:i w:val="0"/>
                <w:iCs w:val="0"/>
                <w:color w:val="auto"/>
                <w:kern w:val="0"/>
                <w:sz w:val="24"/>
                <w:szCs w:val="24"/>
                <w:highlight w:val="none"/>
                <w:u w:val="none"/>
                <w:lang w:val="en-US" w:eastAsia="zh-CN" w:bidi="ar"/>
              </w:rPr>
              <w:t>项目</w:t>
            </w:r>
          </w:p>
          <w:p w14:paraId="4D758B5A">
            <w:pPr>
              <w:pStyle w:val="2"/>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cs="Times New Roman"/>
                <w:color w:val="auto"/>
                <w:highlight w:val="none"/>
                <w:lang w:val="en-US" w:eastAsia="zh-CN"/>
              </w:rPr>
            </w:pPr>
            <w:r>
              <w:rPr>
                <w:rFonts w:hint="default" w:ascii="Times New Roman" w:hAnsi="Times New Roman" w:eastAsia="方正黑体_GBK" w:cs="Times New Roman"/>
                <w:b w:val="0"/>
                <w:bCs w:val="0"/>
                <w:i w:val="0"/>
                <w:iCs w:val="0"/>
                <w:color w:val="auto"/>
                <w:kern w:val="0"/>
                <w:sz w:val="24"/>
                <w:szCs w:val="24"/>
                <w:highlight w:val="none"/>
                <w:u w:val="none"/>
                <w:lang w:val="en-US" w:eastAsia="zh-CN" w:bidi="ar"/>
              </w:rPr>
              <w:t>类别</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33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auto"/>
                <w:sz w:val="24"/>
                <w:szCs w:val="24"/>
                <w:highlight w:val="none"/>
                <w:u w:val="none"/>
              </w:rPr>
            </w:pPr>
            <w:r>
              <w:rPr>
                <w:rFonts w:hint="default" w:ascii="Times New Roman" w:hAnsi="Times New Roman" w:eastAsia="方正黑体_GBK" w:cs="Times New Roman"/>
                <w:b w:val="0"/>
                <w:bCs w:val="0"/>
                <w:i w:val="0"/>
                <w:iCs w:val="0"/>
                <w:color w:val="auto"/>
                <w:kern w:val="0"/>
                <w:sz w:val="24"/>
                <w:szCs w:val="24"/>
                <w:highlight w:val="none"/>
                <w:u w:val="none"/>
                <w:lang w:val="en-US" w:eastAsia="zh-CN" w:bidi="ar"/>
              </w:rPr>
              <w:t>总投资（万元）</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DE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auto"/>
                <w:sz w:val="24"/>
                <w:szCs w:val="24"/>
                <w:highlight w:val="none"/>
                <w:u w:val="none"/>
              </w:rPr>
            </w:pPr>
            <w:r>
              <w:rPr>
                <w:rFonts w:hint="default" w:ascii="Times New Roman" w:hAnsi="Times New Roman" w:eastAsia="方正黑体_GBK" w:cs="Times New Roman"/>
                <w:b w:val="0"/>
                <w:bCs w:val="0"/>
                <w:i w:val="0"/>
                <w:iCs w:val="0"/>
                <w:color w:val="auto"/>
                <w:kern w:val="0"/>
                <w:sz w:val="24"/>
                <w:szCs w:val="24"/>
                <w:highlight w:val="none"/>
                <w:u w:val="none"/>
                <w:lang w:val="en-US" w:eastAsia="zh-CN" w:bidi="ar"/>
              </w:rPr>
              <w:t>年度进度目标</w:t>
            </w:r>
          </w:p>
        </w:tc>
      </w:tr>
      <w:tr w14:paraId="64478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36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t>1</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FE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南京市红十字医院门诊楼升级改造工程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6F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A</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2B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 xml:space="preserve">400 </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7B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4B2E4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20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t>2</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EE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秦淮区基层卫生人员实训中心建设项目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D4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A</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CE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 xml:space="preserve">260 </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12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主体完工</w:t>
            </w:r>
          </w:p>
        </w:tc>
      </w:tr>
      <w:tr w14:paraId="7AAF8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EF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t>3</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4C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月牙湖社区卫生服务中心配电房改造工程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74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A</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A6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 xml:space="preserve">200 </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06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7BA21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96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t>4</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40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秦淮区职工文化与服务中心建设项目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2C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A</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6F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 xml:space="preserve">700 </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AC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0E5AB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6F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t>5</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1C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大光路街道信访室和社区新时代文明实践站修缮改造工程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BC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A</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E9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 xml:space="preserve">55 </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85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68579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D3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t>6</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A2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胡家花园纳凉场所山体护坡消险项目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48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A</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2B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18</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39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44678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90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t>7</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C4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南京市中山小学改扩建工程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CA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A</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28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250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A5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61421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8A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t>8</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83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南京市武定新村小学维修改造工程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DC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A</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74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576</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C7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453EA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BD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t>9</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D4E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南京郑和外国语学校童创楼及童享友好园建设工程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68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A</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67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2600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E2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完成50%</w:t>
            </w:r>
          </w:p>
        </w:tc>
      </w:tr>
      <w:tr w14:paraId="7159B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AB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t>10</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98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南京市钟英中学（东校区）南教学楼、报告厅楼维修改造工程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DB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A</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DA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1620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0C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完成50%</w:t>
            </w:r>
          </w:p>
        </w:tc>
      </w:tr>
      <w:tr w14:paraId="7FD67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EC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t>11</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05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秦淮区餐饮油烟及涉</w:t>
            </w:r>
            <w:r>
              <w:rPr>
                <w:rStyle w:val="28"/>
                <w:rFonts w:hint="default" w:ascii="Times New Roman" w:hAnsi="Times New Roman" w:eastAsia="方正仿宋_GBK" w:cs="Times New Roman"/>
                <w:color w:val="auto"/>
                <w:highlight w:val="none"/>
                <w:lang w:val="en-US" w:eastAsia="zh-CN" w:bidi="ar"/>
              </w:rPr>
              <w:t>VOCs</w:t>
            </w:r>
            <w:r>
              <w:rPr>
                <w:rFonts w:hint="default" w:ascii="Times New Roman" w:hAnsi="Times New Roman" w:eastAsia="方正仿宋_GBK" w:cs="Times New Roman"/>
                <w:i w:val="0"/>
                <w:iCs w:val="0"/>
                <w:color w:val="auto"/>
                <w:kern w:val="0"/>
                <w:sz w:val="24"/>
                <w:szCs w:val="24"/>
                <w:highlight w:val="none"/>
                <w:u w:val="none"/>
                <w:lang w:val="en-US" w:eastAsia="zh-CN" w:bidi="ar"/>
              </w:rPr>
              <w:t>企业在线监测服务项目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C6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A</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E2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1395.2</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87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投入运行</w:t>
            </w:r>
          </w:p>
        </w:tc>
      </w:tr>
      <w:tr w14:paraId="7936B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75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t>12</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DE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新街口智慧商圈建设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69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A</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7A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1135</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80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部分竣工</w:t>
            </w:r>
          </w:p>
        </w:tc>
      </w:tr>
      <w:tr w14:paraId="741B0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0B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13</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C1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红花街道智慧社区项目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F4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A</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AF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200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B2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部分功能模块上线运行</w:t>
            </w:r>
          </w:p>
        </w:tc>
      </w:tr>
      <w:tr w14:paraId="7B60A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0501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14</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A4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秦淮区政务协同办公系统（OA）建设项目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55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A</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03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120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3A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验收</w:t>
            </w:r>
          </w:p>
        </w:tc>
      </w:tr>
      <w:tr w14:paraId="1AD11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77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15</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C7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秦淮区政务网络改造项目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B0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A</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49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1200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8E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完成改造</w:t>
            </w:r>
          </w:p>
        </w:tc>
      </w:tr>
      <w:tr w14:paraId="0B048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83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16</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75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秦淮区数据中台建设及应用场景开发项目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E2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A</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31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465.5</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26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验收</w:t>
            </w:r>
          </w:p>
        </w:tc>
      </w:tr>
      <w:tr w14:paraId="73A3C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35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17</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86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秦淮区统一安全防护和运维升级改造项目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43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A</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0A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299</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8F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完工</w:t>
            </w:r>
          </w:p>
        </w:tc>
      </w:tr>
      <w:tr w14:paraId="1D724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60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18</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1F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秦淮区污染防治智能化指挥系统项目（2023-2026年）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E5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A</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11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894.45</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04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正常运行</w:t>
            </w:r>
          </w:p>
        </w:tc>
      </w:tr>
      <w:tr w14:paraId="0E186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D7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19</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8D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秦淮区餐饮油烟在线监控运维服务项目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6F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A</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C8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1260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76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完成</w:t>
            </w:r>
          </w:p>
        </w:tc>
      </w:tr>
      <w:tr w14:paraId="37DC4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DE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20</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73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国家级数字档案馆网络安全基础设施建设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35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A</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74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112</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87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验收</w:t>
            </w:r>
          </w:p>
        </w:tc>
      </w:tr>
      <w:tr w14:paraId="44FBC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DA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21</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BB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档案库房管理系统和自动查档系统建设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4C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A</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48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16.6</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6F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验收</w:t>
            </w:r>
          </w:p>
        </w:tc>
      </w:tr>
      <w:tr w14:paraId="37A11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32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22</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73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秦淮区基层医疗信息系统建设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C4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A</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8A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1200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DB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基本完工</w:t>
            </w:r>
          </w:p>
        </w:tc>
      </w:tr>
      <w:tr w14:paraId="77179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81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23</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79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军休中心改造项目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11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A</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48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 xml:space="preserve">4000 </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B8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开工</w:t>
            </w:r>
          </w:p>
        </w:tc>
      </w:tr>
      <w:tr w14:paraId="75713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0E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24</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1D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夫子庙“预约制”入园及大客流保障场景建设项目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BB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B</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CD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290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94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验收</w:t>
            </w:r>
          </w:p>
        </w:tc>
      </w:tr>
      <w:tr w14:paraId="42F15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24CF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25</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FC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智慧水务综合管控平台服务项目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DB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B</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EC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388</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85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竣工</w:t>
            </w:r>
          </w:p>
        </w:tc>
      </w:tr>
      <w:tr w14:paraId="3D71C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6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F55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合计（实际27个）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6A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61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20744.6</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9E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bl>
    <w:p w14:paraId="10BAB1DB">
      <w:pPr>
        <w:pStyle w:val="9"/>
        <w:jc w:val="both"/>
        <w:rPr>
          <w:rFonts w:hint="default" w:ascii="Times New Roman" w:hAnsi="Times New Roman" w:eastAsia="方正仿宋_GBK" w:cs="Times New Roman"/>
          <w:color w:val="auto"/>
          <w:sz w:val="24"/>
          <w:szCs w:val="24"/>
          <w:highlight w:val="none"/>
          <w:lang w:val="en-US" w:eastAsia="zh-CN"/>
        </w:rPr>
      </w:pPr>
    </w:p>
    <w:p w14:paraId="2EDC9625">
      <w:pPr>
        <w:pStyle w:val="9"/>
        <w:jc w:val="both"/>
        <w:rPr>
          <w:rFonts w:hint="default" w:ascii="Times New Roman" w:hAnsi="Times New Roman" w:cs="Times New Roman"/>
          <w:color w:val="auto"/>
          <w:highlight w:val="none"/>
          <w:lang w:val="en-US" w:eastAsia="zh-CN"/>
        </w:rPr>
      </w:pPr>
      <w:r>
        <w:rPr>
          <w:rFonts w:hint="default" w:ascii="Times New Roman" w:hAnsi="Times New Roman" w:eastAsia="方正仿宋_GBK" w:cs="Times New Roman"/>
          <w:color w:val="auto"/>
          <w:sz w:val="24"/>
          <w:szCs w:val="24"/>
          <w:highlight w:val="none"/>
          <w:lang w:val="en-US" w:eastAsia="zh-CN"/>
        </w:rPr>
        <w:t>备注：2024年度政府投资计划（非城建类）项目共27个，因有2个项目涉密（总投资0.11亿元），表内实际列出25个项目，总投资仍按27个项目进行合计。</w:t>
      </w:r>
    </w:p>
    <w:sectPr>
      <w:pgSz w:w="11906" w:h="16838"/>
      <w:pgMar w:top="1814" w:right="1587" w:bottom="181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83941">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F9235">
                          <w:pPr>
                            <w:pStyle w:val="9"/>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41F9235">
                    <w:pPr>
                      <w:pStyle w:val="9"/>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68A1D849">
      <w:pPr>
        <w:pStyle w:val="11"/>
        <w:snapToGrid w:val="0"/>
        <w:rPr>
          <w:rFonts w:hint="default" w:ascii="Times New Roman" w:hAnsi="Times New Roman" w:eastAsia="方正仿宋_GBK" w:cs="Times New Roman"/>
          <w:sz w:val="21"/>
          <w:szCs w:val="21"/>
        </w:rPr>
      </w:pPr>
      <w:r>
        <w:rPr>
          <w:rStyle w:val="16"/>
          <w:rFonts w:hint="default" w:ascii="Times New Roman" w:hAnsi="Times New Roman" w:eastAsia="方正仿宋_GBK" w:cs="Times New Roman"/>
          <w:sz w:val="21"/>
          <w:szCs w:val="21"/>
        </w:rPr>
        <w:footnoteRef/>
      </w:r>
      <w:r>
        <w:rPr>
          <w:rFonts w:hint="default" w:ascii="Times New Roman" w:hAnsi="Times New Roman" w:eastAsia="方正仿宋_GBK" w:cs="Times New Roman"/>
          <w:sz w:val="21"/>
          <w:szCs w:val="21"/>
        </w:rPr>
        <w:t xml:space="preserve"> AEO是Authorized Economic Operator的简称，是指以任何一种方式参与货物国际流通，符合海关总署规定标准的企业，AEO制度是世界海关组织《全球贸易安全与便利标准框架》中的核心制度。</w:t>
      </w:r>
    </w:p>
  </w:footnote>
  <w:footnote w:id="1">
    <w:p w14:paraId="17C1982F">
      <w:pPr>
        <w:pStyle w:val="11"/>
        <w:snapToGrid w:val="0"/>
        <w:rPr>
          <w:rFonts w:hint="default" w:ascii="Times New Roman" w:hAnsi="Times New Roman" w:eastAsia="方正仿宋_GBK" w:cs="Times New Roman"/>
          <w:sz w:val="21"/>
          <w:szCs w:val="21"/>
        </w:rPr>
      </w:pPr>
      <w:r>
        <w:rPr>
          <w:rStyle w:val="16"/>
          <w:rFonts w:hint="default" w:ascii="Times New Roman" w:hAnsi="Times New Roman" w:eastAsia="方正仿宋_GBK" w:cs="Times New Roman"/>
          <w:sz w:val="21"/>
          <w:szCs w:val="21"/>
        </w:rPr>
        <w:footnoteRef/>
      </w:r>
      <w:r>
        <w:rPr>
          <w:rFonts w:hint="default" w:ascii="Times New Roman" w:hAnsi="Times New Roman" w:eastAsia="方正仿宋_GBK" w:cs="Times New Roman"/>
          <w:sz w:val="21"/>
          <w:szCs w:val="21"/>
        </w:rPr>
        <w:t xml:space="preserve"> </w:t>
      </w:r>
      <w:r>
        <w:rPr>
          <w:rFonts w:hint="eastAsia" w:ascii="Times New Roman" w:hAnsi="Times New Roman" w:eastAsia="方正仿宋_GBK" w:cs="Times New Roman"/>
          <w:sz w:val="21"/>
          <w:szCs w:val="21"/>
          <w:lang w:eastAsia="zh-CN"/>
        </w:rPr>
        <w:t>就业公共服务</w:t>
      </w:r>
      <w:r>
        <w:rPr>
          <w:rFonts w:hint="default" w:ascii="Times New Roman" w:hAnsi="Times New Roman" w:eastAsia="方正仿宋_GBK" w:cs="Times New Roman"/>
          <w:sz w:val="21"/>
          <w:szCs w:val="21"/>
        </w:rPr>
        <w:t>进校区、进社区、进园区、进景区</w:t>
      </w:r>
    </w:p>
  </w:footnote>
  <w:footnote w:id="2">
    <w:p w14:paraId="5C1C37D1">
      <w:pPr>
        <w:pStyle w:val="11"/>
        <w:snapToGrid w:val="0"/>
        <w:rPr>
          <w:rFonts w:hint="default" w:ascii="Times New Roman" w:hAnsi="Times New Roman" w:eastAsia="方正仿宋_GBK" w:cs="Times New Roman"/>
          <w:sz w:val="21"/>
          <w:szCs w:val="21"/>
          <w:lang w:eastAsia="zh-CN"/>
        </w:rPr>
      </w:pPr>
      <w:r>
        <w:rPr>
          <w:rStyle w:val="16"/>
          <w:rFonts w:hint="default" w:ascii="Times New Roman" w:hAnsi="Times New Roman" w:eastAsia="方正仿宋_GBK" w:cs="Times New Roman"/>
          <w:sz w:val="21"/>
          <w:szCs w:val="21"/>
        </w:rPr>
        <w:footnoteRef/>
      </w:r>
      <w:r>
        <w:rPr>
          <w:rFonts w:hint="default" w:ascii="Times New Roman" w:hAnsi="Times New Roman" w:eastAsia="方正仿宋_GBK" w:cs="Times New Roman"/>
          <w:sz w:val="21"/>
          <w:szCs w:val="21"/>
        </w:rPr>
        <w:t xml:space="preserve"> 即1次政策宣传、3次岗位推荐、1次职业指导、1次技能培训</w:t>
      </w:r>
      <w:r>
        <w:rPr>
          <w:rFonts w:hint="default" w:ascii="Times New Roman" w:hAnsi="Times New Roman" w:eastAsia="方正仿宋_GBK" w:cs="Times New Roman"/>
          <w:sz w:val="21"/>
          <w:szCs w:val="21"/>
          <w:lang w:eastAsia="zh-CN"/>
        </w:rPr>
        <w:t>。</w:t>
      </w:r>
    </w:p>
  </w:footnote>
  <w:footnote w:id="3">
    <w:p w14:paraId="5751D51F">
      <w:pPr>
        <w:pStyle w:val="11"/>
        <w:snapToGrid w:val="0"/>
        <w:rPr>
          <w:rFonts w:hint="default" w:ascii="Times New Roman" w:hAnsi="Times New Roman" w:eastAsia="方正仿宋_GBK" w:cs="Times New Roman"/>
          <w:sz w:val="21"/>
          <w:szCs w:val="21"/>
          <w:lang w:val="en-US"/>
        </w:rPr>
      </w:pPr>
      <w:r>
        <w:rPr>
          <w:rStyle w:val="16"/>
          <w:rFonts w:hint="default" w:ascii="Times New Roman" w:hAnsi="Times New Roman" w:eastAsia="方正仿宋_GBK" w:cs="Times New Roman"/>
          <w:sz w:val="21"/>
          <w:szCs w:val="21"/>
        </w:rPr>
        <w:footnoteRef/>
      </w:r>
      <w:r>
        <w:rPr>
          <w:rFonts w:hint="default" w:ascii="Times New Roman" w:hAnsi="Times New Roman" w:eastAsia="方正仿宋_GBK" w:cs="Times New Roman"/>
          <w:sz w:val="21"/>
          <w:szCs w:val="21"/>
        </w:rPr>
        <w:t xml:space="preserve"> </w:t>
      </w:r>
      <w:r>
        <w:rPr>
          <w:rFonts w:hint="default" w:ascii="Times New Roman" w:hAnsi="Times New Roman" w:eastAsia="方正仿宋_GBK" w:cs="Times New Roman"/>
          <w:sz w:val="21"/>
          <w:szCs w:val="21"/>
          <w:lang w:eastAsia="zh-CN"/>
        </w:rPr>
        <w:t>第一个“</w:t>
      </w:r>
      <w:r>
        <w:rPr>
          <w:rFonts w:hint="default" w:ascii="Times New Roman" w:hAnsi="Times New Roman" w:eastAsia="方正仿宋_GBK" w:cs="Times New Roman"/>
          <w:sz w:val="21"/>
          <w:szCs w:val="21"/>
          <w:lang w:val="en-US" w:eastAsia="zh-CN"/>
        </w:rPr>
        <w:t>4</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lang w:val="en-US" w:eastAsia="zh-CN"/>
        </w:rPr>
        <w:t>持续巩固高端商务商贸、现代金融、文化旅游、软件和信息服务业四大主导产业优势地位；“3”：持续提升物联网、车联网、航空航天</w:t>
      </w:r>
      <w:r>
        <w:rPr>
          <w:rFonts w:hint="eastAsia" w:ascii="Times New Roman" w:hAnsi="Times New Roman" w:eastAsia="方正仿宋_GBK" w:cs="Times New Roman"/>
          <w:sz w:val="21"/>
          <w:szCs w:val="21"/>
          <w:lang w:val="en-US" w:eastAsia="zh-CN"/>
        </w:rPr>
        <w:t>三</w:t>
      </w:r>
      <w:r>
        <w:rPr>
          <w:rFonts w:hint="default" w:ascii="Times New Roman" w:hAnsi="Times New Roman" w:eastAsia="方正仿宋_GBK" w:cs="Times New Roman"/>
          <w:sz w:val="21"/>
          <w:szCs w:val="21"/>
          <w:lang w:val="en-US" w:eastAsia="zh-CN"/>
        </w:rPr>
        <w:t>个特色明显的新兴产业；第二个“4”：抢占人工智能、大健康、元宇宙、新型储能4个引领突破的未来产业赛道</w:t>
      </w:r>
      <w:r>
        <w:rPr>
          <w:rFonts w:hint="eastAsia" w:ascii="Times New Roman" w:hAnsi="Times New Roman" w:eastAsia="方正仿宋_GBK" w:cs="Times New Roman"/>
          <w:sz w:val="21"/>
          <w:szCs w:val="21"/>
          <w:lang w:val="en-US" w:eastAsia="zh-CN"/>
        </w:rPr>
        <w:t>。</w:t>
      </w:r>
    </w:p>
  </w:footnote>
  <w:footnote w:id="4">
    <w:p w14:paraId="0BBDE88B">
      <w:pPr>
        <w:pStyle w:val="11"/>
        <w:snapToGrid w:val="0"/>
        <w:rPr>
          <w:rFonts w:hint="default" w:ascii="Times New Roman" w:hAnsi="Times New Roman" w:eastAsia="方正仿宋_GBK" w:cs="Times New Roman"/>
          <w:sz w:val="21"/>
          <w:szCs w:val="21"/>
        </w:rPr>
      </w:pPr>
      <w:r>
        <w:rPr>
          <w:rStyle w:val="16"/>
          <w:rFonts w:hint="default" w:ascii="Times New Roman" w:hAnsi="Times New Roman" w:eastAsia="方正仿宋_GBK" w:cs="Times New Roman"/>
          <w:sz w:val="21"/>
          <w:szCs w:val="21"/>
        </w:rPr>
        <w:footnoteRef/>
      </w:r>
      <w:r>
        <w:rPr>
          <w:rFonts w:hint="default" w:ascii="Times New Roman" w:hAnsi="Times New Roman" w:eastAsia="方正仿宋_GBK" w:cs="Times New Roman"/>
          <w:sz w:val="21"/>
          <w:szCs w:val="21"/>
        </w:rPr>
        <w:t xml:space="preserve"> 2024年计划安排新项目7个：地铁6号线（市中医院站）、地铁10号线二期（卡子门站）增补</w:t>
      </w:r>
      <w:r>
        <w:rPr>
          <w:rFonts w:hint="eastAsia" w:ascii="Times New Roman" w:hAnsi="Times New Roman" w:eastAsia="方正仿宋_GBK" w:cs="Times New Roman"/>
          <w:sz w:val="21"/>
          <w:szCs w:val="21"/>
          <w:lang w:val="en-US" w:eastAsia="zh-CN"/>
        </w:rPr>
        <w:t>2个项目因建设需求</w:t>
      </w:r>
      <w:r>
        <w:rPr>
          <w:rFonts w:hint="eastAsia" w:ascii="Times New Roman" w:hAnsi="Times New Roman" w:eastAsia="方正仿宋_GBK" w:cs="Times New Roman"/>
          <w:sz w:val="21"/>
          <w:szCs w:val="21"/>
          <w:lang w:eastAsia="zh-CN"/>
        </w:rPr>
        <w:t>，拟扩大征收面积；</w:t>
      </w:r>
      <w:r>
        <w:rPr>
          <w:rFonts w:hint="default" w:ascii="Times New Roman" w:hAnsi="Times New Roman" w:eastAsia="方正仿宋_GBK" w:cs="Times New Roman"/>
          <w:sz w:val="21"/>
          <w:szCs w:val="21"/>
        </w:rPr>
        <w:t>牌楼、郑家营地块城中村改造项目、养虎仓地块城中村改造项目、弘学路地块城中村改造项目</w:t>
      </w:r>
      <w:r>
        <w:rPr>
          <w:rFonts w:hint="default" w:ascii="Times New Roman" w:hAnsi="Times New Roman" w:eastAsia="方正仿宋_GBK" w:cs="Times New Roman"/>
          <w:sz w:val="21"/>
          <w:szCs w:val="21"/>
          <w:lang w:val="en-US" w:eastAsia="zh-CN"/>
        </w:rPr>
        <w:t>为计划进行</w:t>
      </w:r>
      <w:r>
        <w:rPr>
          <w:rFonts w:hint="eastAsia" w:ascii="Times New Roman" w:hAnsi="Times New Roman" w:eastAsia="方正仿宋_GBK" w:cs="Times New Roman"/>
          <w:sz w:val="21"/>
          <w:szCs w:val="21"/>
          <w:lang w:val="en-US" w:eastAsia="zh-CN"/>
        </w:rPr>
        <w:t>的4处</w:t>
      </w:r>
      <w:r>
        <w:rPr>
          <w:rFonts w:hint="default" w:ascii="Times New Roman" w:hAnsi="Times New Roman" w:eastAsia="方正仿宋_GBK" w:cs="Times New Roman"/>
          <w:sz w:val="21"/>
          <w:szCs w:val="21"/>
          <w:lang w:val="en-US" w:eastAsia="zh-CN"/>
        </w:rPr>
        <w:t>城中村改造项目</w:t>
      </w:r>
      <w:r>
        <w:rPr>
          <w:rFonts w:hint="eastAsia" w:ascii="Times New Roman" w:hAnsi="Times New Roman" w:eastAsia="方正仿宋_GBK" w:cs="Times New Roman"/>
          <w:sz w:val="21"/>
          <w:szCs w:val="21"/>
          <w:lang w:val="en-US" w:eastAsia="zh-CN"/>
        </w:rPr>
        <w:t>；</w:t>
      </w:r>
      <w:r>
        <w:rPr>
          <w:rFonts w:hint="default" w:ascii="Times New Roman" w:hAnsi="Times New Roman" w:eastAsia="方正仿宋_GBK" w:cs="Times New Roman"/>
          <w:sz w:val="21"/>
          <w:szCs w:val="21"/>
        </w:rPr>
        <w:t>新华社地块东侧道路项目</w:t>
      </w:r>
      <w:r>
        <w:rPr>
          <w:rFonts w:hint="default" w:ascii="Times New Roman" w:hAnsi="Times New Roman" w:eastAsia="方正仿宋_GBK" w:cs="Times New Roman"/>
          <w:sz w:val="21"/>
          <w:szCs w:val="21"/>
          <w:lang w:val="en-US" w:eastAsia="zh-CN"/>
        </w:rPr>
        <w:t>为新华社地块建设配套项目</w:t>
      </w:r>
      <w:r>
        <w:rPr>
          <w:rFonts w:hint="default" w:ascii="Times New Roman" w:hAnsi="Times New Roman" w:eastAsia="方正仿宋_GBK" w:cs="Times New Roman"/>
          <w:sz w:val="21"/>
          <w:szCs w:val="21"/>
        </w:rPr>
        <w:t>。</w:t>
      </w:r>
    </w:p>
    <w:p w14:paraId="419D986C">
      <w:pPr>
        <w:pStyle w:val="11"/>
        <w:snapToGrid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2023年及之前扫尾项目9个：门西整体扫尾项目、小西湖地块棚户区（危旧房）改造项目（一期、二期、六期）、新工·秦淮硅巷柳树湾数创产业园内</w:t>
      </w:r>
      <w:r>
        <w:rPr>
          <w:rFonts w:hint="eastAsia" w:ascii="Times New Roman" w:hAnsi="Times New Roman" w:eastAsia="方正仿宋_GBK" w:cs="Times New Roman"/>
          <w:sz w:val="21"/>
          <w:szCs w:val="21"/>
          <w:lang w:eastAsia="zh-CN"/>
        </w:rPr>
        <w:t>（原名</w:t>
      </w:r>
      <w:r>
        <w:rPr>
          <w:rFonts w:hint="default" w:ascii="Times New Roman" w:hAnsi="Times New Roman" w:eastAsia="方正仿宋_GBK" w:cs="Times New Roman"/>
          <w:sz w:val="21"/>
          <w:szCs w:val="21"/>
        </w:rPr>
        <w:t>南京世界之窗</w:t>
      </w:r>
      <w:r>
        <w:rPr>
          <w:rFonts w:hint="eastAsia" w:ascii="Times New Roman" w:hAnsi="Times New Roman" w:eastAsia="方正仿宋_GBK" w:cs="Times New Roman"/>
          <w:sz w:val="21"/>
          <w:szCs w:val="21"/>
          <w:lang w:eastAsia="zh-CN"/>
        </w:rPr>
        <w:t>产业</w:t>
      </w:r>
      <w:r>
        <w:rPr>
          <w:rFonts w:hint="default" w:ascii="Times New Roman" w:hAnsi="Times New Roman" w:eastAsia="方正仿宋_GBK" w:cs="Times New Roman"/>
          <w:sz w:val="21"/>
          <w:szCs w:val="21"/>
        </w:rPr>
        <w:t>园</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（光华东街4号）危旧房改造及环境整治工程项目</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门东东延地块棚户区改造项目、洪家园片区危旧房改造项目</w:t>
      </w:r>
      <w:r>
        <w:rPr>
          <w:rFonts w:hint="eastAsia" w:ascii="Times New Roman" w:hAnsi="Times New Roman" w:eastAsia="方正仿宋_GBK" w:cs="Times New Roman"/>
          <w:sz w:val="21"/>
          <w:szCs w:val="21"/>
          <w:lang w:eastAsia="zh-CN"/>
        </w:rPr>
        <w:t>等进行扫尾；</w:t>
      </w:r>
      <w:r>
        <w:rPr>
          <w:rFonts w:hint="default" w:ascii="Times New Roman" w:hAnsi="Times New Roman" w:eastAsia="方正仿宋_GBK" w:cs="Times New Roman"/>
          <w:sz w:val="21"/>
          <w:szCs w:val="21"/>
        </w:rPr>
        <w:t>金陵大报恩寺遗址公园及配套建设项目</w:t>
      </w:r>
      <w:r>
        <w:rPr>
          <w:rFonts w:hint="default" w:ascii="Times New Roman" w:hAnsi="Times New Roman" w:eastAsia="方正仿宋_GBK" w:cs="Times New Roman"/>
          <w:sz w:val="21"/>
          <w:szCs w:val="21"/>
          <w:lang w:val="en-US" w:eastAsia="zh-CN"/>
        </w:rPr>
        <w:t>（二期晨光医院）</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地铁6号线（中和桥站）环境整治2号地块</w:t>
      </w:r>
      <w:r>
        <w:rPr>
          <w:rFonts w:hint="eastAsia" w:ascii="Times New Roman" w:hAnsi="Times New Roman" w:eastAsia="方正仿宋_GBK" w:cs="Times New Roman"/>
          <w:sz w:val="21"/>
          <w:szCs w:val="21"/>
          <w:lang w:eastAsia="zh-CN"/>
        </w:rPr>
        <w:t>等</w:t>
      </w:r>
      <w:r>
        <w:rPr>
          <w:rFonts w:hint="eastAsia" w:ascii="Times New Roman" w:hAnsi="Times New Roman" w:eastAsia="方正仿宋_GBK" w:cs="Times New Roman"/>
          <w:sz w:val="21"/>
          <w:szCs w:val="21"/>
          <w:lang w:val="en-US" w:eastAsia="zh-CN"/>
        </w:rPr>
        <w:t>2个项目</w:t>
      </w:r>
      <w:r>
        <w:rPr>
          <w:rFonts w:hint="eastAsia" w:ascii="Times New Roman" w:hAnsi="Times New Roman" w:eastAsia="方正仿宋_GBK" w:cs="Times New Roman"/>
          <w:sz w:val="21"/>
          <w:szCs w:val="21"/>
          <w:lang w:eastAsia="zh-CN"/>
        </w:rPr>
        <w:t>，</w:t>
      </w:r>
      <w:r>
        <w:rPr>
          <w:rFonts w:hint="eastAsia" w:ascii="Times New Roman" w:hAnsi="Times New Roman" w:eastAsia="方正仿宋_GBK" w:cs="Times New Roman"/>
          <w:sz w:val="21"/>
          <w:szCs w:val="21"/>
          <w:lang w:val="en-US" w:eastAsia="zh-CN"/>
        </w:rPr>
        <w:t>已议定不征收，需实施单位申请撤回征收决定。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A286F"/>
    <w:multiLevelType w:val="singleLevel"/>
    <w:tmpl w:val="934A286F"/>
    <w:lvl w:ilvl="0" w:tentative="0">
      <w:start w:val="2"/>
      <w:numFmt w:val="chineseCounting"/>
      <w:suff w:val="nothing"/>
      <w:lvlText w:val="%1、"/>
      <w:lvlJc w:val="left"/>
      <w:rPr>
        <w:rFonts w:hint="eastAsia"/>
      </w:rPr>
    </w:lvl>
  </w:abstractNum>
  <w:abstractNum w:abstractNumId="1">
    <w:nsid w:val="A86570B6"/>
    <w:multiLevelType w:val="singleLevel"/>
    <w:tmpl w:val="A86570B6"/>
    <w:lvl w:ilvl="0" w:tentative="0">
      <w:start w:val="2"/>
      <w:numFmt w:val="decimal"/>
      <w:suff w:val="nothing"/>
      <w:lvlText w:val="%1、"/>
      <w:lvlJc w:val="left"/>
    </w:lvl>
  </w:abstractNum>
  <w:abstractNum w:abstractNumId="2">
    <w:nsid w:val="AA0072E1"/>
    <w:multiLevelType w:val="singleLevel"/>
    <w:tmpl w:val="AA0072E1"/>
    <w:lvl w:ilvl="0" w:tentative="0">
      <w:start w:val="5"/>
      <w:numFmt w:val="chineseCounting"/>
      <w:suff w:val="nothing"/>
      <w:lvlText w:val="（%1）"/>
      <w:lvlJc w:val="left"/>
      <w:rPr>
        <w:rFonts w:hint="eastAsia"/>
      </w:rPr>
    </w:lvl>
  </w:abstractNum>
  <w:abstractNum w:abstractNumId="3">
    <w:nsid w:val="C090CA9B"/>
    <w:multiLevelType w:val="singleLevel"/>
    <w:tmpl w:val="C090CA9B"/>
    <w:lvl w:ilvl="0" w:tentative="0">
      <w:start w:val="1"/>
      <w:numFmt w:val="bullet"/>
      <w:pStyle w:val="19"/>
      <w:lvlText w:val=""/>
      <w:lvlJc w:val="left"/>
      <w:pPr>
        <w:ind w:left="420" w:hanging="420"/>
      </w:pPr>
      <w:rPr>
        <w:rFonts w:hint="default" w:ascii="Wingdings" w:hAnsi="Wingdings" w:eastAsia="方正仿宋_GBK"/>
      </w:rPr>
    </w:lvl>
  </w:abstractNum>
  <w:abstractNum w:abstractNumId="4">
    <w:nsid w:val="5B7B3803"/>
    <w:multiLevelType w:val="singleLevel"/>
    <w:tmpl w:val="5B7B3803"/>
    <w:lvl w:ilvl="0" w:tentative="0">
      <w:start w:val="1"/>
      <w:numFmt w:val="bullet"/>
      <w:lvlText w:val=""/>
      <w:lvlJc w:val="left"/>
      <w:pPr>
        <w:ind w:left="420" w:hanging="420"/>
      </w:pPr>
      <w:rPr>
        <w:rFonts w:hint="default" w:ascii="Wingdings" w:hAnsi="Wingdings"/>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0"/>
    <w:footnote w:id="1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N2RmNmZkODUyZjg2MGQ2MzUwODkzMWVjYzI5NTcifQ=="/>
  </w:docVars>
  <w:rsids>
    <w:rsidRoot w:val="1B06018E"/>
    <w:rsid w:val="00215C08"/>
    <w:rsid w:val="004F1CF8"/>
    <w:rsid w:val="00501EE6"/>
    <w:rsid w:val="005E1EEE"/>
    <w:rsid w:val="005F037B"/>
    <w:rsid w:val="00612345"/>
    <w:rsid w:val="00615EA1"/>
    <w:rsid w:val="00784DE9"/>
    <w:rsid w:val="009049D8"/>
    <w:rsid w:val="00C116A3"/>
    <w:rsid w:val="00D26D9F"/>
    <w:rsid w:val="00DA3EA5"/>
    <w:rsid w:val="00DF4D7C"/>
    <w:rsid w:val="00E86636"/>
    <w:rsid w:val="00EB741B"/>
    <w:rsid w:val="00FD3989"/>
    <w:rsid w:val="010A0887"/>
    <w:rsid w:val="01192C1F"/>
    <w:rsid w:val="011C538A"/>
    <w:rsid w:val="011C626C"/>
    <w:rsid w:val="0123238A"/>
    <w:rsid w:val="012366FE"/>
    <w:rsid w:val="012B729D"/>
    <w:rsid w:val="012D66CB"/>
    <w:rsid w:val="01301DA6"/>
    <w:rsid w:val="01536131"/>
    <w:rsid w:val="01565C22"/>
    <w:rsid w:val="015C3DB1"/>
    <w:rsid w:val="01803FF7"/>
    <w:rsid w:val="018C33F1"/>
    <w:rsid w:val="01960BF8"/>
    <w:rsid w:val="01A10964"/>
    <w:rsid w:val="01AC75F0"/>
    <w:rsid w:val="01B52526"/>
    <w:rsid w:val="01BB7833"/>
    <w:rsid w:val="01CA5CC8"/>
    <w:rsid w:val="01D46F35"/>
    <w:rsid w:val="01E34BBB"/>
    <w:rsid w:val="01E9256A"/>
    <w:rsid w:val="01F928B5"/>
    <w:rsid w:val="01FF3BC3"/>
    <w:rsid w:val="020D16B3"/>
    <w:rsid w:val="0241242E"/>
    <w:rsid w:val="024C1839"/>
    <w:rsid w:val="024F3AFA"/>
    <w:rsid w:val="025657AD"/>
    <w:rsid w:val="025963C8"/>
    <w:rsid w:val="027A3D0E"/>
    <w:rsid w:val="027D58F8"/>
    <w:rsid w:val="029429C1"/>
    <w:rsid w:val="02951F95"/>
    <w:rsid w:val="02D533EE"/>
    <w:rsid w:val="02DF78C3"/>
    <w:rsid w:val="031D21C1"/>
    <w:rsid w:val="03217B69"/>
    <w:rsid w:val="034C1864"/>
    <w:rsid w:val="035C6DF3"/>
    <w:rsid w:val="03600692"/>
    <w:rsid w:val="03AF1065"/>
    <w:rsid w:val="03B0225A"/>
    <w:rsid w:val="03BA6178"/>
    <w:rsid w:val="03D66BA6"/>
    <w:rsid w:val="03DA2C38"/>
    <w:rsid w:val="03DD6186"/>
    <w:rsid w:val="03DE3CAC"/>
    <w:rsid w:val="0406304E"/>
    <w:rsid w:val="043833BC"/>
    <w:rsid w:val="043D484D"/>
    <w:rsid w:val="043D5E82"/>
    <w:rsid w:val="04461F7D"/>
    <w:rsid w:val="04547873"/>
    <w:rsid w:val="04597F72"/>
    <w:rsid w:val="046D46AB"/>
    <w:rsid w:val="049F168E"/>
    <w:rsid w:val="04AE7B23"/>
    <w:rsid w:val="04DD6FF2"/>
    <w:rsid w:val="04E81A9D"/>
    <w:rsid w:val="04EB48D3"/>
    <w:rsid w:val="04F80D9E"/>
    <w:rsid w:val="04F86690"/>
    <w:rsid w:val="04FE60C2"/>
    <w:rsid w:val="0542188D"/>
    <w:rsid w:val="055C132D"/>
    <w:rsid w:val="05613C9E"/>
    <w:rsid w:val="056262F9"/>
    <w:rsid w:val="056C7A1B"/>
    <w:rsid w:val="058C1C12"/>
    <w:rsid w:val="05972365"/>
    <w:rsid w:val="059E1945"/>
    <w:rsid w:val="059E4F18"/>
    <w:rsid w:val="05A924C6"/>
    <w:rsid w:val="05C930B9"/>
    <w:rsid w:val="05D47115"/>
    <w:rsid w:val="05D67331"/>
    <w:rsid w:val="05D709B3"/>
    <w:rsid w:val="05DF2BCC"/>
    <w:rsid w:val="05ED01D7"/>
    <w:rsid w:val="061D0ABC"/>
    <w:rsid w:val="062449FC"/>
    <w:rsid w:val="064129D2"/>
    <w:rsid w:val="06415432"/>
    <w:rsid w:val="064D2186"/>
    <w:rsid w:val="06537AE2"/>
    <w:rsid w:val="065B7836"/>
    <w:rsid w:val="06640499"/>
    <w:rsid w:val="06835712"/>
    <w:rsid w:val="06A25465"/>
    <w:rsid w:val="06AA0FF0"/>
    <w:rsid w:val="06C426FE"/>
    <w:rsid w:val="06D80460"/>
    <w:rsid w:val="06F0643C"/>
    <w:rsid w:val="06FC5BE7"/>
    <w:rsid w:val="06FE3D53"/>
    <w:rsid w:val="07001165"/>
    <w:rsid w:val="070B6B66"/>
    <w:rsid w:val="071C6FC5"/>
    <w:rsid w:val="07247C28"/>
    <w:rsid w:val="073B7C4A"/>
    <w:rsid w:val="073C7FDB"/>
    <w:rsid w:val="075C73C2"/>
    <w:rsid w:val="075E54CA"/>
    <w:rsid w:val="07683FB9"/>
    <w:rsid w:val="076D38BD"/>
    <w:rsid w:val="07783F90"/>
    <w:rsid w:val="079923C4"/>
    <w:rsid w:val="079B5763"/>
    <w:rsid w:val="07A56FBB"/>
    <w:rsid w:val="07B23486"/>
    <w:rsid w:val="07B94814"/>
    <w:rsid w:val="07BA233A"/>
    <w:rsid w:val="07C32356"/>
    <w:rsid w:val="07F949EC"/>
    <w:rsid w:val="080737D2"/>
    <w:rsid w:val="0825634E"/>
    <w:rsid w:val="082936CA"/>
    <w:rsid w:val="08345247"/>
    <w:rsid w:val="0849203C"/>
    <w:rsid w:val="085409E1"/>
    <w:rsid w:val="08571D21"/>
    <w:rsid w:val="08587AB3"/>
    <w:rsid w:val="085B03F1"/>
    <w:rsid w:val="085C6ED9"/>
    <w:rsid w:val="08657B4F"/>
    <w:rsid w:val="08766BA9"/>
    <w:rsid w:val="08793FA4"/>
    <w:rsid w:val="08843074"/>
    <w:rsid w:val="089963F4"/>
    <w:rsid w:val="089B6610"/>
    <w:rsid w:val="08AD6024"/>
    <w:rsid w:val="08AE6343"/>
    <w:rsid w:val="08B64B4E"/>
    <w:rsid w:val="08BA0E0D"/>
    <w:rsid w:val="08C96D7B"/>
    <w:rsid w:val="092B1742"/>
    <w:rsid w:val="093F6F9B"/>
    <w:rsid w:val="095962AF"/>
    <w:rsid w:val="095F13EB"/>
    <w:rsid w:val="0966277A"/>
    <w:rsid w:val="09880942"/>
    <w:rsid w:val="098B3F8E"/>
    <w:rsid w:val="099A2423"/>
    <w:rsid w:val="09B554AF"/>
    <w:rsid w:val="09C643F9"/>
    <w:rsid w:val="09D4100C"/>
    <w:rsid w:val="09E004E6"/>
    <w:rsid w:val="09E244F6"/>
    <w:rsid w:val="09E657FC"/>
    <w:rsid w:val="0A1641A0"/>
    <w:rsid w:val="0A2226F7"/>
    <w:rsid w:val="0A32324C"/>
    <w:rsid w:val="0A4B7B4E"/>
    <w:rsid w:val="0A514B12"/>
    <w:rsid w:val="0A590531"/>
    <w:rsid w:val="0A876E4C"/>
    <w:rsid w:val="0AAB65A1"/>
    <w:rsid w:val="0ABE3350"/>
    <w:rsid w:val="0ADC51AE"/>
    <w:rsid w:val="0AE72A82"/>
    <w:rsid w:val="0B025E7B"/>
    <w:rsid w:val="0B085BAA"/>
    <w:rsid w:val="0B1D50BA"/>
    <w:rsid w:val="0B2B203A"/>
    <w:rsid w:val="0B3568A8"/>
    <w:rsid w:val="0B446AEB"/>
    <w:rsid w:val="0B483DED"/>
    <w:rsid w:val="0B6D7317"/>
    <w:rsid w:val="0B755F25"/>
    <w:rsid w:val="0B7A2F8C"/>
    <w:rsid w:val="0B8247A8"/>
    <w:rsid w:val="0B9A670B"/>
    <w:rsid w:val="0BB318B2"/>
    <w:rsid w:val="0BB8232A"/>
    <w:rsid w:val="0BBA6759"/>
    <w:rsid w:val="0BD55995"/>
    <w:rsid w:val="0BD730A1"/>
    <w:rsid w:val="0BDC6D23"/>
    <w:rsid w:val="0BDF0877"/>
    <w:rsid w:val="0BEA7692"/>
    <w:rsid w:val="0C020A0B"/>
    <w:rsid w:val="0C473F1F"/>
    <w:rsid w:val="0C697443"/>
    <w:rsid w:val="0C6E256D"/>
    <w:rsid w:val="0C8278CB"/>
    <w:rsid w:val="0C902EA8"/>
    <w:rsid w:val="0CB35CD6"/>
    <w:rsid w:val="0CB87790"/>
    <w:rsid w:val="0CBC3BE7"/>
    <w:rsid w:val="0CC47EE3"/>
    <w:rsid w:val="0CD65E68"/>
    <w:rsid w:val="0CF46B40"/>
    <w:rsid w:val="0CFF66CC"/>
    <w:rsid w:val="0D1F5436"/>
    <w:rsid w:val="0D3D1A44"/>
    <w:rsid w:val="0D683ADB"/>
    <w:rsid w:val="0D70006B"/>
    <w:rsid w:val="0D7336B7"/>
    <w:rsid w:val="0D786F20"/>
    <w:rsid w:val="0D814026"/>
    <w:rsid w:val="0D874E3E"/>
    <w:rsid w:val="0D933D59"/>
    <w:rsid w:val="0D951880"/>
    <w:rsid w:val="0D957AD2"/>
    <w:rsid w:val="0D9C676A"/>
    <w:rsid w:val="0DA61597"/>
    <w:rsid w:val="0DAA7807"/>
    <w:rsid w:val="0DCA1DB9"/>
    <w:rsid w:val="0DCB52A1"/>
    <w:rsid w:val="0DCE6B40"/>
    <w:rsid w:val="0DDB0CA4"/>
    <w:rsid w:val="0E022099"/>
    <w:rsid w:val="0E030861"/>
    <w:rsid w:val="0E440BB0"/>
    <w:rsid w:val="0E4A4418"/>
    <w:rsid w:val="0E4F6BE7"/>
    <w:rsid w:val="0E521106"/>
    <w:rsid w:val="0E675753"/>
    <w:rsid w:val="0E9733D5"/>
    <w:rsid w:val="0E9C09EC"/>
    <w:rsid w:val="0EAE1A38"/>
    <w:rsid w:val="0EB05D7F"/>
    <w:rsid w:val="0EC93644"/>
    <w:rsid w:val="0ED0356B"/>
    <w:rsid w:val="0EEB5A47"/>
    <w:rsid w:val="0EF05EB3"/>
    <w:rsid w:val="0EF13D6A"/>
    <w:rsid w:val="0EF702F0"/>
    <w:rsid w:val="0EFD76DC"/>
    <w:rsid w:val="0F01138E"/>
    <w:rsid w:val="0F0F5662"/>
    <w:rsid w:val="0F130CAE"/>
    <w:rsid w:val="0F1B7B63"/>
    <w:rsid w:val="0F2A659F"/>
    <w:rsid w:val="0F603EED"/>
    <w:rsid w:val="0F605A5C"/>
    <w:rsid w:val="0F6C03BE"/>
    <w:rsid w:val="0FB00E14"/>
    <w:rsid w:val="0FB14DCB"/>
    <w:rsid w:val="0FB373A1"/>
    <w:rsid w:val="0FCF7859"/>
    <w:rsid w:val="0FDB0F02"/>
    <w:rsid w:val="0FE7165A"/>
    <w:rsid w:val="0FF3288D"/>
    <w:rsid w:val="10014FAA"/>
    <w:rsid w:val="10167D23"/>
    <w:rsid w:val="1017471F"/>
    <w:rsid w:val="1045133B"/>
    <w:rsid w:val="10524765"/>
    <w:rsid w:val="106519DD"/>
    <w:rsid w:val="10741861"/>
    <w:rsid w:val="108E5E7A"/>
    <w:rsid w:val="10A72500"/>
    <w:rsid w:val="10AD0C8E"/>
    <w:rsid w:val="10C84D5E"/>
    <w:rsid w:val="10D54D80"/>
    <w:rsid w:val="10DE353E"/>
    <w:rsid w:val="10E24EFD"/>
    <w:rsid w:val="10EC5C5A"/>
    <w:rsid w:val="11280166"/>
    <w:rsid w:val="114535BD"/>
    <w:rsid w:val="11573AA5"/>
    <w:rsid w:val="115832F0"/>
    <w:rsid w:val="117B2B3A"/>
    <w:rsid w:val="11A55700"/>
    <w:rsid w:val="11BA5F58"/>
    <w:rsid w:val="11F06B57"/>
    <w:rsid w:val="11F72B09"/>
    <w:rsid w:val="11F8418B"/>
    <w:rsid w:val="11FE7ED2"/>
    <w:rsid w:val="12032E76"/>
    <w:rsid w:val="12080872"/>
    <w:rsid w:val="120C71E5"/>
    <w:rsid w:val="120D40DA"/>
    <w:rsid w:val="122C48A4"/>
    <w:rsid w:val="122C789F"/>
    <w:rsid w:val="12837EF9"/>
    <w:rsid w:val="129239B4"/>
    <w:rsid w:val="129B1443"/>
    <w:rsid w:val="12AB744F"/>
    <w:rsid w:val="12C21479"/>
    <w:rsid w:val="12E81B6E"/>
    <w:rsid w:val="12EF558E"/>
    <w:rsid w:val="13394C63"/>
    <w:rsid w:val="13474541"/>
    <w:rsid w:val="13635E90"/>
    <w:rsid w:val="136C3083"/>
    <w:rsid w:val="137D22DD"/>
    <w:rsid w:val="139908A5"/>
    <w:rsid w:val="13BD38DE"/>
    <w:rsid w:val="13C24A51"/>
    <w:rsid w:val="13C605E0"/>
    <w:rsid w:val="13CA1B57"/>
    <w:rsid w:val="13CB6A88"/>
    <w:rsid w:val="13D22765"/>
    <w:rsid w:val="13D65FBA"/>
    <w:rsid w:val="13E7095B"/>
    <w:rsid w:val="13F84916"/>
    <w:rsid w:val="140137CB"/>
    <w:rsid w:val="141B3CCB"/>
    <w:rsid w:val="14366476"/>
    <w:rsid w:val="144B14A4"/>
    <w:rsid w:val="145204CA"/>
    <w:rsid w:val="145833BA"/>
    <w:rsid w:val="14A800EA"/>
    <w:rsid w:val="14B95E54"/>
    <w:rsid w:val="14BC1DE8"/>
    <w:rsid w:val="14E85C59"/>
    <w:rsid w:val="14F450DE"/>
    <w:rsid w:val="1507677D"/>
    <w:rsid w:val="150C0679"/>
    <w:rsid w:val="15240FF7"/>
    <w:rsid w:val="15247191"/>
    <w:rsid w:val="152D6842"/>
    <w:rsid w:val="15423D01"/>
    <w:rsid w:val="15506B23"/>
    <w:rsid w:val="15545B7C"/>
    <w:rsid w:val="155B6F0B"/>
    <w:rsid w:val="157F52EF"/>
    <w:rsid w:val="159D67CB"/>
    <w:rsid w:val="15DD3DC4"/>
    <w:rsid w:val="15E72E94"/>
    <w:rsid w:val="15E909BB"/>
    <w:rsid w:val="16022C53"/>
    <w:rsid w:val="161D2575"/>
    <w:rsid w:val="162E2639"/>
    <w:rsid w:val="16572E99"/>
    <w:rsid w:val="16585B39"/>
    <w:rsid w:val="166167A3"/>
    <w:rsid w:val="16622E99"/>
    <w:rsid w:val="167C50AC"/>
    <w:rsid w:val="1684665A"/>
    <w:rsid w:val="168C261E"/>
    <w:rsid w:val="16B027EA"/>
    <w:rsid w:val="16DA5F29"/>
    <w:rsid w:val="16DE6045"/>
    <w:rsid w:val="16FB7D77"/>
    <w:rsid w:val="16FC6067"/>
    <w:rsid w:val="172A3039"/>
    <w:rsid w:val="1740460A"/>
    <w:rsid w:val="17481711"/>
    <w:rsid w:val="17544559"/>
    <w:rsid w:val="17587820"/>
    <w:rsid w:val="176A1687"/>
    <w:rsid w:val="1791130A"/>
    <w:rsid w:val="1796247C"/>
    <w:rsid w:val="17A315CA"/>
    <w:rsid w:val="17B03902"/>
    <w:rsid w:val="17B80644"/>
    <w:rsid w:val="17BA5DF9"/>
    <w:rsid w:val="17EE4314"/>
    <w:rsid w:val="17F13B56"/>
    <w:rsid w:val="17F43647"/>
    <w:rsid w:val="17F8087D"/>
    <w:rsid w:val="17F81CA5"/>
    <w:rsid w:val="1800023D"/>
    <w:rsid w:val="18003D99"/>
    <w:rsid w:val="18245CDA"/>
    <w:rsid w:val="182D33FE"/>
    <w:rsid w:val="182E0907"/>
    <w:rsid w:val="18300B23"/>
    <w:rsid w:val="18386F0B"/>
    <w:rsid w:val="18450A59"/>
    <w:rsid w:val="184B770B"/>
    <w:rsid w:val="18636337"/>
    <w:rsid w:val="18697B91"/>
    <w:rsid w:val="18784278"/>
    <w:rsid w:val="18844E09"/>
    <w:rsid w:val="18866995"/>
    <w:rsid w:val="189957CB"/>
    <w:rsid w:val="18D1482C"/>
    <w:rsid w:val="18E11E1D"/>
    <w:rsid w:val="18EF453A"/>
    <w:rsid w:val="192C6DD0"/>
    <w:rsid w:val="194128BC"/>
    <w:rsid w:val="1944400A"/>
    <w:rsid w:val="196262B4"/>
    <w:rsid w:val="19A277FE"/>
    <w:rsid w:val="19BC1F42"/>
    <w:rsid w:val="19C220EE"/>
    <w:rsid w:val="19D03B63"/>
    <w:rsid w:val="19ED7866"/>
    <w:rsid w:val="19EF40C6"/>
    <w:rsid w:val="19F416DC"/>
    <w:rsid w:val="1A0D279E"/>
    <w:rsid w:val="1A192B3F"/>
    <w:rsid w:val="1A266884"/>
    <w:rsid w:val="1A312930"/>
    <w:rsid w:val="1A7866CD"/>
    <w:rsid w:val="1A795D2B"/>
    <w:rsid w:val="1A89451A"/>
    <w:rsid w:val="1AA616FE"/>
    <w:rsid w:val="1AC73A41"/>
    <w:rsid w:val="1AD0039B"/>
    <w:rsid w:val="1ADA6B24"/>
    <w:rsid w:val="1AEC6C18"/>
    <w:rsid w:val="1AF57E02"/>
    <w:rsid w:val="1AF63BE2"/>
    <w:rsid w:val="1AFD1BAF"/>
    <w:rsid w:val="1B06018E"/>
    <w:rsid w:val="1B0F0EC3"/>
    <w:rsid w:val="1B1477AE"/>
    <w:rsid w:val="1B1738D4"/>
    <w:rsid w:val="1B226C8B"/>
    <w:rsid w:val="1B32775E"/>
    <w:rsid w:val="1B4136CD"/>
    <w:rsid w:val="1B414148"/>
    <w:rsid w:val="1B4D379A"/>
    <w:rsid w:val="1B636151"/>
    <w:rsid w:val="1B6D168B"/>
    <w:rsid w:val="1B7077C3"/>
    <w:rsid w:val="1B783D41"/>
    <w:rsid w:val="1BAA0BEC"/>
    <w:rsid w:val="1BAB04C0"/>
    <w:rsid w:val="1BBD091F"/>
    <w:rsid w:val="1BBE4697"/>
    <w:rsid w:val="1BC83FED"/>
    <w:rsid w:val="1BDC68CC"/>
    <w:rsid w:val="1BF550D0"/>
    <w:rsid w:val="1BF71070"/>
    <w:rsid w:val="1C2564C4"/>
    <w:rsid w:val="1C3A38C5"/>
    <w:rsid w:val="1C645E03"/>
    <w:rsid w:val="1C730FDE"/>
    <w:rsid w:val="1C843F95"/>
    <w:rsid w:val="1C882160"/>
    <w:rsid w:val="1C8C295D"/>
    <w:rsid w:val="1CB57E73"/>
    <w:rsid w:val="1CB97B08"/>
    <w:rsid w:val="1CC96E50"/>
    <w:rsid w:val="1CD81789"/>
    <w:rsid w:val="1CD87093"/>
    <w:rsid w:val="1CE238AE"/>
    <w:rsid w:val="1CE819CC"/>
    <w:rsid w:val="1CF7783C"/>
    <w:rsid w:val="1CFB1DB5"/>
    <w:rsid w:val="1D102CD1"/>
    <w:rsid w:val="1D1D10FD"/>
    <w:rsid w:val="1D2015CB"/>
    <w:rsid w:val="1D440BCC"/>
    <w:rsid w:val="1D4B24DF"/>
    <w:rsid w:val="1D76522A"/>
    <w:rsid w:val="1D807E56"/>
    <w:rsid w:val="1DA44152"/>
    <w:rsid w:val="1DAF0704"/>
    <w:rsid w:val="1DAF6046"/>
    <w:rsid w:val="1DB418AE"/>
    <w:rsid w:val="1DCF24A0"/>
    <w:rsid w:val="1DCF66E8"/>
    <w:rsid w:val="1DD17CE5"/>
    <w:rsid w:val="1DD26DCC"/>
    <w:rsid w:val="1DD51824"/>
    <w:rsid w:val="1DD97567"/>
    <w:rsid w:val="1DDB32DF"/>
    <w:rsid w:val="1DE5480D"/>
    <w:rsid w:val="1E012619"/>
    <w:rsid w:val="1E032A6F"/>
    <w:rsid w:val="1E1113DB"/>
    <w:rsid w:val="1E1B36DB"/>
    <w:rsid w:val="1E1C064C"/>
    <w:rsid w:val="1E592455"/>
    <w:rsid w:val="1E5F6307"/>
    <w:rsid w:val="1E7F595E"/>
    <w:rsid w:val="1E831280"/>
    <w:rsid w:val="1EAA2431"/>
    <w:rsid w:val="1EAA2CB1"/>
    <w:rsid w:val="1EB458DE"/>
    <w:rsid w:val="1EBF675C"/>
    <w:rsid w:val="1EC44A63"/>
    <w:rsid w:val="1EC65D3D"/>
    <w:rsid w:val="1ED16490"/>
    <w:rsid w:val="1EED151B"/>
    <w:rsid w:val="1EFA416B"/>
    <w:rsid w:val="1EFA59E6"/>
    <w:rsid w:val="1F001CB1"/>
    <w:rsid w:val="1F062D1C"/>
    <w:rsid w:val="1F0D1E03"/>
    <w:rsid w:val="1F147105"/>
    <w:rsid w:val="1F176276"/>
    <w:rsid w:val="1F1D16D5"/>
    <w:rsid w:val="1F572E39"/>
    <w:rsid w:val="1F617814"/>
    <w:rsid w:val="1F6B68E4"/>
    <w:rsid w:val="1F6D7F66"/>
    <w:rsid w:val="1F6F5FFD"/>
    <w:rsid w:val="1F7E6617"/>
    <w:rsid w:val="1F8D0609"/>
    <w:rsid w:val="1FA65B62"/>
    <w:rsid w:val="1FA674A3"/>
    <w:rsid w:val="1FAE74D8"/>
    <w:rsid w:val="1FB026C7"/>
    <w:rsid w:val="1FC13108"/>
    <w:rsid w:val="1FCF6E73"/>
    <w:rsid w:val="1FFE32B4"/>
    <w:rsid w:val="200A700D"/>
    <w:rsid w:val="202A765B"/>
    <w:rsid w:val="20360CA0"/>
    <w:rsid w:val="204F7F36"/>
    <w:rsid w:val="20607ACB"/>
    <w:rsid w:val="20863CB7"/>
    <w:rsid w:val="208F215E"/>
    <w:rsid w:val="20BB73F7"/>
    <w:rsid w:val="20DD55C0"/>
    <w:rsid w:val="20F16CA2"/>
    <w:rsid w:val="2108164D"/>
    <w:rsid w:val="2114223D"/>
    <w:rsid w:val="211A2370"/>
    <w:rsid w:val="21325C72"/>
    <w:rsid w:val="214178FD"/>
    <w:rsid w:val="21463165"/>
    <w:rsid w:val="216735A6"/>
    <w:rsid w:val="217A2E0F"/>
    <w:rsid w:val="218E2416"/>
    <w:rsid w:val="21B75E11"/>
    <w:rsid w:val="21BE151D"/>
    <w:rsid w:val="21BF07C2"/>
    <w:rsid w:val="21D06A21"/>
    <w:rsid w:val="21DF2C72"/>
    <w:rsid w:val="21E309B4"/>
    <w:rsid w:val="21F15CAB"/>
    <w:rsid w:val="21FA42E7"/>
    <w:rsid w:val="22224AD9"/>
    <w:rsid w:val="226D64CF"/>
    <w:rsid w:val="227762A3"/>
    <w:rsid w:val="227B299A"/>
    <w:rsid w:val="22D30A28"/>
    <w:rsid w:val="22E06CA1"/>
    <w:rsid w:val="22E732E3"/>
    <w:rsid w:val="22FB7F7F"/>
    <w:rsid w:val="2305495A"/>
    <w:rsid w:val="23111551"/>
    <w:rsid w:val="2318643B"/>
    <w:rsid w:val="23241284"/>
    <w:rsid w:val="232E5C5F"/>
    <w:rsid w:val="233209D1"/>
    <w:rsid w:val="234B4D59"/>
    <w:rsid w:val="23531B69"/>
    <w:rsid w:val="235A4CA6"/>
    <w:rsid w:val="23614286"/>
    <w:rsid w:val="2366189C"/>
    <w:rsid w:val="236B0C61"/>
    <w:rsid w:val="237D3DBF"/>
    <w:rsid w:val="2382570C"/>
    <w:rsid w:val="23A457AD"/>
    <w:rsid w:val="23B73EA6"/>
    <w:rsid w:val="23CE7442"/>
    <w:rsid w:val="23D9706E"/>
    <w:rsid w:val="23F21382"/>
    <w:rsid w:val="23F73FAA"/>
    <w:rsid w:val="24092228"/>
    <w:rsid w:val="240B2444"/>
    <w:rsid w:val="2429042B"/>
    <w:rsid w:val="243A6885"/>
    <w:rsid w:val="244C08C7"/>
    <w:rsid w:val="245060A9"/>
    <w:rsid w:val="247A7666"/>
    <w:rsid w:val="24A81A41"/>
    <w:rsid w:val="24A85EE5"/>
    <w:rsid w:val="24AA5527"/>
    <w:rsid w:val="24B623B0"/>
    <w:rsid w:val="24D1092D"/>
    <w:rsid w:val="24DE36B4"/>
    <w:rsid w:val="24EB4489"/>
    <w:rsid w:val="24FF6206"/>
    <w:rsid w:val="25115838"/>
    <w:rsid w:val="2527505B"/>
    <w:rsid w:val="252D21D2"/>
    <w:rsid w:val="252E110E"/>
    <w:rsid w:val="25361BF9"/>
    <w:rsid w:val="253C3621"/>
    <w:rsid w:val="25427493"/>
    <w:rsid w:val="254F15CA"/>
    <w:rsid w:val="256A3BC1"/>
    <w:rsid w:val="256F255E"/>
    <w:rsid w:val="25861774"/>
    <w:rsid w:val="25973F8F"/>
    <w:rsid w:val="25A36C3A"/>
    <w:rsid w:val="25AB2F2A"/>
    <w:rsid w:val="25AE5DBF"/>
    <w:rsid w:val="25C25679"/>
    <w:rsid w:val="25CF5082"/>
    <w:rsid w:val="25E318F3"/>
    <w:rsid w:val="25FF38E2"/>
    <w:rsid w:val="26192BF6"/>
    <w:rsid w:val="26232D51"/>
    <w:rsid w:val="26255963"/>
    <w:rsid w:val="26307F40"/>
    <w:rsid w:val="263C6CC9"/>
    <w:rsid w:val="263F0183"/>
    <w:rsid w:val="26890459"/>
    <w:rsid w:val="269009DE"/>
    <w:rsid w:val="26A1499A"/>
    <w:rsid w:val="26A8129B"/>
    <w:rsid w:val="26B96187"/>
    <w:rsid w:val="26D42FC1"/>
    <w:rsid w:val="26D44D6F"/>
    <w:rsid w:val="26DA267C"/>
    <w:rsid w:val="26E70C9F"/>
    <w:rsid w:val="26EF3957"/>
    <w:rsid w:val="26FB22FC"/>
    <w:rsid w:val="26FC6074"/>
    <w:rsid w:val="27550B20"/>
    <w:rsid w:val="27584A80"/>
    <w:rsid w:val="276F4A98"/>
    <w:rsid w:val="277C2A42"/>
    <w:rsid w:val="278542BB"/>
    <w:rsid w:val="27895B59"/>
    <w:rsid w:val="278E3654"/>
    <w:rsid w:val="27944016"/>
    <w:rsid w:val="279664C8"/>
    <w:rsid w:val="27B01063"/>
    <w:rsid w:val="27B675A4"/>
    <w:rsid w:val="27B8715C"/>
    <w:rsid w:val="27D52801"/>
    <w:rsid w:val="27DD7C53"/>
    <w:rsid w:val="28094EEC"/>
    <w:rsid w:val="28096C9A"/>
    <w:rsid w:val="280E605F"/>
    <w:rsid w:val="281C4C20"/>
    <w:rsid w:val="284321AC"/>
    <w:rsid w:val="284F6DA3"/>
    <w:rsid w:val="286529C9"/>
    <w:rsid w:val="2867720B"/>
    <w:rsid w:val="286914E7"/>
    <w:rsid w:val="2879797C"/>
    <w:rsid w:val="28887BBF"/>
    <w:rsid w:val="288C1BA5"/>
    <w:rsid w:val="289E5D8E"/>
    <w:rsid w:val="28A53720"/>
    <w:rsid w:val="28B135BA"/>
    <w:rsid w:val="28B22E8E"/>
    <w:rsid w:val="28B23594"/>
    <w:rsid w:val="28BA5E34"/>
    <w:rsid w:val="28BB61E6"/>
    <w:rsid w:val="28BE5377"/>
    <w:rsid w:val="28CD4903"/>
    <w:rsid w:val="28DB1A78"/>
    <w:rsid w:val="28DE3C83"/>
    <w:rsid w:val="290556B4"/>
    <w:rsid w:val="292A40FB"/>
    <w:rsid w:val="29584973"/>
    <w:rsid w:val="295959FF"/>
    <w:rsid w:val="296A3769"/>
    <w:rsid w:val="29726AEC"/>
    <w:rsid w:val="29766715"/>
    <w:rsid w:val="29866026"/>
    <w:rsid w:val="298E38FB"/>
    <w:rsid w:val="299B6018"/>
    <w:rsid w:val="29F15C38"/>
    <w:rsid w:val="29FC6AB7"/>
    <w:rsid w:val="2A047719"/>
    <w:rsid w:val="2A0C4820"/>
    <w:rsid w:val="2A0C65CE"/>
    <w:rsid w:val="2A426494"/>
    <w:rsid w:val="2A496BF5"/>
    <w:rsid w:val="2A4B5484"/>
    <w:rsid w:val="2A6729B3"/>
    <w:rsid w:val="2A731B79"/>
    <w:rsid w:val="2A862824"/>
    <w:rsid w:val="2A944F41"/>
    <w:rsid w:val="2AA14252"/>
    <w:rsid w:val="2AA1765E"/>
    <w:rsid w:val="2AC46472"/>
    <w:rsid w:val="2AE31A25"/>
    <w:rsid w:val="2AF07C9E"/>
    <w:rsid w:val="2AF87A83"/>
    <w:rsid w:val="2B146082"/>
    <w:rsid w:val="2B1B03CE"/>
    <w:rsid w:val="2B20108E"/>
    <w:rsid w:val="2B213D29"/>
    <w:rsid w:val="2B3758CC"/>
    <w:rsid w:val="2B54022C"/>
    <w:rsid w:val="2B5B15BB"/>
    <w:rsid w:val="2B7934F0"/>
    <w:rsid w:val="2B8A14D8"/>
    <w:rsid w:val="2B9E594C"/>
    <w:rsid w:val="2BAA5F79"/>
    <w:rsid w:val="2BB5507B"/>
    <w:rsid w:val="2BCA276E"/>
    <w:rsid w:val="2BDF043E"/>
    <w:rsid w:val="2BF77448"/>
    <w:rsid w:val="2C022AF4"/>
    <w:rsid w:val="2C1D16A7"/>
    <w:rsid w:val="2C42277B"/>
    <w:rsid w:val="2C5B56BF"/>
    <w:rsid w:val="2C633894"/>
    <w:rsid w:val="2C6646BB"/>
    <w:rsid w:val="2C7072E8"/>
    <w:rsid w:val="2C782F2B"/>
    <w:rsid w:val="2C7C5C8D"/>
    <w:rsid w:val="2C8B5ED0"/>
    <w:rsid w:val="2C90798A"/>
    <w:rsid w:val="2CA83CA0"/>
    <w:rsid w:val="2CAE7A6B"/>
    <w:rsid w:val="2CB82A3D"/>
    <w:rsid w:val="2CC2469D"/>
    <w:rsid w:val="2CD502AE"/>
    <w:rsid w:val="2CED26E7"/>
    <w:rsid w:val="2D1A7254"/>
    <w:rsid w:val="2D2A393B"/>
    <w:rsid w:val="2D320A41"/>
    <w:rsid w:val="2D393B7E"/>
    <w:rsid w:val="2D832B65"/>
    <w:rsid w:val="2D885192"/>
    <w:rsid w:val="2DA2135E"/>
    <w:rsid w:val="2DAB2405"/>
    <w:rsid w:val="2DD46B9B"/>
    <w:rsid w:val="2DD83397"/>
    <w:rsid w:val="2DDF4725"/>
    <w:rsid w:val="2DF90E26"/>
    <w:rsid w:val="2E084AD9"/>
    <w:rsid w:val="2E1974D7"/>
    <w:rsid w:val="2E1C304A"/>
    <w:rsid w:val="2E2B0FEA"/>
    <w:rsid w:val="2E2C723F"/>
    <w:rsid w:val="2E3305CD"/>
    <w:rsid w:val="2E383E35"/>
    <w:rsid w:val="2E3B3926"/>
    <w:rsid w:val="2E450300"/>
    <w:rsid w:val="2E6115DE"/>
    <w:rsid w:val="2E724AFF"/>
    <w:rsid w:val="2E7C6DB5"/>
    <w:rsid w:val="2E81758A"/>
    <w:rsid w:val="2E84090F"/>
    <w:rsid w:val="2E855EC8"/>
    <w:rsid w:val="2E894691"/>
    <w:rsid w:val="2EB01C1E"/>
    <w:rsid w:val="2ED753FC"/>
    <w:rsid w:val="2EEE3F92"/>
    <w:rsid w:val="2F01691D"/>
    <w:rsid w:val="2F0E4B96"/>
    <w:rsid w:val="2F0F4550"/>
    <w:rsid w:val="2F3974C9"/>
    <w:rsid w:val="2F5B602D"/>
    <w:rsid w:val="2F724F35"/>
    <w:rsid w:val="2F8C268B"/>
    <w:rsid w:val="2F8C4439"/>
    <w:rsid w:val="2FAD2601"/>
    <w:rsid w:val="2FB361F0"/>
    <w:rsid w:val="2FC23CCE"/>
    <w:rsid w:val="2FE25CBF"/>
    <w:rsid w:val="2FE36023"/>
    <w:rsid w:val="2FE85162"/>
    <w:rsid w:val="2FEA6FFB"/>
    <w:rsid w:val="2FF95846"/>
    <w:rsid w:val="300203A9"/>
    <w:rsid w:val="30224D9D"/>
    <w:rsid w:val="302428C3"/>
    <w:rsid w:val="303348B4"/>
    <w:rsid w:val="30422D49"/>
    <w:rsid w:val="30444BFD"/>
    <w:rsid w:val="30550CCF"/>
    <w:rsid w:val="30624870"/>
    <w:rsid w:val="30626EBE"/>
    <w:rsid w:val="306E3B3E"/>
    <w:rsid w:val="307373A7"/>
    <w:rsid w:val="30740D8D"/>
    <w:rsid w:val="30986B93"/>
    <w:rsid w:val="309D2676"/>
    <w:rsid w:val="30A11FF6"/>
    <w:rsid w:val="30AD0949"/>
    <w:rsid w:val="30C15C2C"/>
    <w:rsid w:val="30EE73DE"/>
    <w:rsid w:val="30F54904"/>
    <w:rsid w:val="31034535"/>
    <w:rsid w:val="31122E9F"/>
    <w:rsid w:val="31224929"/>
    <w:rsid w:val="314870E6"/>
    <w:rsid w:val="314E27EF"/>
    <w:rsid w:val="316244E8"/>
    <w:rsid w:val="316D48D6"/>
    <w:rsid w:val="31903F88"/>
    <w:rsid w:val="31921AAF"/>
    <w:rsid w:val="31945827"/>
    <w:rsid w:val="31A737AC"/>
    <w:rsid w:val="31B27938"/>
    <w:rsid w:val="31BB7257"/>
    <w:rsid w:val="31D11C96"/>
    <w:rsid w:val="31E83DC4"/>
    <w:rsid w:val="31EA5447"/>
    <w:rsid w:val="31EC706B"/>
    <w:rsid w:val="31F6203D"/>
    <w:rsid w:val="31FC4CAA"/>
    <w:rsid w:val="32193F7E"/>
    <w:rsid w:val="32284CCA"/>
    <w:rsid w:val="323D4DDE"/>
    <w:rsid w:val="32425283"/>
    <w:rsid w:val="32513718"/>
    <w:rsid w:val="32DB0BEC"/>
    <w:rsid w:val="32ED437D"/>
    <w:rsid w:val="32F96543"/>
    <w:rsid w:val="331C032E"/>
    <w:rsid w:val="331F3816"/>
    <w:rsid w:val="3327319E"/>
    <w:rsid w:val="33482D6D"/>
    <w:rsid w:val="334A26CA"/>
    <w:rsid w:val="33682436"/>
    <w:rsid w:val="3390201E"/>
    <w:rsid w:val="33923FE8"/>
    <w:rsid w:val="33AE0A17"/>
    <w:rsid w:val="33B50079"/>
    <w:rsid w:val="33B8443A"/>
    <w:rsid w:val="33EB36F8"/>
    <w:rsid w:val="33ED2723"/>
    <w:rsid w:val="33F4372E"/>
    <w:rsid w:val="340D5795"/>
    <w:rsid w:val="340F3C54"/>
    <w:rsid w:val="34110C26"/>
    <w:rsid w:val="34113AB0"/>
    <w:rsid w:val="34254E5C"/>
    <w:rsid w:val="34283DE7"/>
    <w:rsid w:val="34425A0E"/>
    <w:rsid w:val="346E05B1"/>
    <w:rsid w:val="34737AD5"/>
    <w:rsid w:val="34871673"/>
    <w:rsid w:val="348778C5"/>
    <w:rsid w:val="3498562E"/>
    <w:rsid w:val="349D0E96"/>
    <w:rsid w:val="34AC10D9"/>
    <w:rsid w:val="351729F7"/>
    <w:rsid w:val="3518051D"/>
    <w:rsid w:val="354B26A0"/>
    <w:rsid w:val="355C2AFF"/>
    <w:rsid w:val="35647C06"/>
    <w:rsid w:val="356E64B4"/>
    <w:rsid w:val="35754F59"/>
    <w:rsid w:val="358178B1"/>
    <w:rsid w:val="358C11CC"/>
    <w:rsid w:val="359A7184"/>
    <w:rsid w:val="35AF70D3"/>
    <w:rsid w:val="35AF7A0E"/>
    <w:rsid w:val="35C02F15"/>
    <w:rsid w:val="35CD57AB"/>
    <w:rsid w:val="35D54660"/>
    <w:rsid w:val="35E260EF"/>
    <w:rsid w:val="35E46651"/>
    <w:rsid w:val="35E7552E"/>
    <w:rsid w:val="35F25212"/>
    <w:rsid w:val="363139BC"/>
    <w:rsid w:val="366003CD"/>
    <w:rsid w:val="366F4860"/>
    <w:rsid w:val="368220F2"/>
    <w:rsid w:val="36A27674"/>
    <w:rsid w:val="36AA3D75"/>
    <w:rsid w:val="36AF6C5F"/>
    <w:rsid w:val="36B96B1A"/>
    <w:rsid w:val="36BC355C"/>
    <w:rsid w:val="36C24BE4"/>
    <w:rsid w:val="36C872FA"/>
    <w:rsid w:val="36CE17DB"/>
    <w:rsid w:val="36CF10AF"/>
    <w:rsid w:val="36F97469"/>
    <w:rsid w:val="3715740A"/>
    <w:rsid w:val="373E549D"/>
    <w:rsid w:val="373F0320"/>
    <w:rsid w:val="37425D25"/>
    <w:rsid w:val="374374F8"/>
    <w:rsid w:val="37684B18"/>
    <w:rsid w:val="376932B2"/>
    <w:rsid w:val="376C4B50"/>
    <w:rsid w:val="377D6D5D"/>
    <w:rsid w:val="378123A9"/>
    <w:rsid w:val="379A790F"/>
    <w:rsid w:val="379F0A81"/>
    <w:rsid w:val="37A34A15"/>
    <w:rsid w:val="37A75B88"/>
    <w:rsid w:val="37B11C6E"/>
    <w:rsid w:val="37C15077"/>
    <w:rsid w:val="37C643D6"/>
    <w:rsid w:val="37CD6D9B"/>
    <w:rsid w:val="37D0718F"/>
    <w:rsid w:val="37D36E57"/>
    <w:rsid w:val="37EB3CC7"/>
    <w:rsid w:val="37F60FE9"/>
    <w:rsid w:val="37FC516A"/>
    <w:rsid w:val="38146732"/>
    <w:rsid w:val="38161052"/>
    <w:rsid w:val="382316B2"/>
    <w:rsid w:val="388413A7"/>
    <w:rsid w:val="389E6F8B"/>
    <w:rsid w:val="38A07E13"/>
    <w:rsid w:val="38AC16A8"/>
    <w:rsid w:val="38AE3672"/>
    <w:rsid w:val="38AF360A"/>
    <w:rsid w:val="38C42E95"/>
    <w:rsid w:val="38CF5396"/>
    <w:rsid w:val="38D0053C"/>
    <w:rsid w:val="38D62BC9"/>
    <w:rsid w:val="38D879A8"/>
    <w:rsid w:val="38D94467"/>
    <w:rsid w:val="392720F1"/>
    <w:rsid w:val="39292CF8"/>
    <w:rsid w:val="393022D9"/>
    <w:rsid w:val="394511EB"/>
    <w:rsid w:val="39812692"/>
    <w:rsid w:val="39812AFC"/>
    <w:rsid w:val="39916AF0"/>
    <w:rsid w:val="39987E7E"/>
    <w:rsid w:val="39A87ADB"/>
    <w:rsid w:val="39D57154"/>
    <w:rsid w:val="39DC6016"/>
    <w:rsid w:val="3A175A20"/>
    <w:rsid w:val="3A4D6C10"/>
    <w:rsid w:val="3A5E69D2"/>
    <w:rsid w:val="3A721D02"/>
    <w:rsid w:val="3A924360"/>
    <w:rsid w:val="3A9643BE"/>
    <w:rsid w:val="3A9C74FA"/>
    <w:rsid w:val="3AA840F1"/>
    <w:rsid w:val="3AE6778B"/>
    <w:rsid w:val="3AEC66D3"/>
    <w:rsid w:val="3AF410E4"/>
    <w:rsid w:val="3AF61300"/>
    <w:rsid w:val="3AF70BD4"/>
    <w:rsid w:val="3B0A0908"/>
    <w:rsid w:val="3B167F63"/>
    <w:rsid w:val="3B283E36"/>
    <w:rsid w:val="3B2B23F5"/>
    <w:rsid w:val="3B55710A"/>
    <w:rsid w:val="3B5F0C53"/>
    <w:rsid w:val="3B783AC3"/>
    <w:rsid w:val="3BA50630"/>
    <w:rsid w:val="3BAC736A"/>
    <w:rsid w:val="3BAE2878"/>
    <w:rsid w:val="3BBC0C75"/>
    <w:rsid w:val="3BC00874"/>
    <w:rsid w:val="3BC808FC"/>
    <w:rsid w:val="3BD01B51"/>
    <w:rsid w:val="3BDA47C6"/>
    <w:rsid w:val="3BE42C82"/>
    <w:rsid w:val="3BE5671F"/>
    <w:rsid w:val="3C051C75"/>
    <w:rsid w:val="3C0C21DD"/>
    <w:rsid w:val="3C177780"/>
    <w:rsid w:val="3C180944"/>
    <w:rsid w:val="3C1C6B44"/>
    <w:rsid w:val="3C451CCE"/>
    <w:rsid w:val="3C4A3796"/>
    <w:rsid w:val="3C5C1406"/>
    <w:rsid w:val="3C5F6A31"/>
    <w:rsid w:val="3C7F0361"/>
    <w:rsid w:val="3C964C33"/>
    <w:rsid w:val="3CB23005"/>
    <w:rsid w:val="3CBF21AE"/>
    <w:rsid w:val="3CED17C0"/>
    <w:rsid w:val="3CF33EC6"/>
    <w:rsid w:val="3D0715A3"/>
    <w:rsid w:val="3D127DBE"/>
    <w:rsid w:val="3D2F4655"/>
    <w:rsid w:val="3D3A5DA8"/>
    <w:rsid w:val="3D474095"/>
    <w:rsid w:val="3D4A5933"/>
    <w:rsid w:val="3D4F4CF8"/>
    <w:rsid w:val="3D7824A0"/>
    <w:rsid w:val="3D9B1B47"/>
    <w:rsid w:val="3DF02037"/>
    <w:rsid w:val="3DFD4754"/>
    <w:rsid w:val="3E063608"/>
    <w:rsid w:val="3E157CEF"/>
    <w:rsid w:val="3E1A5306"/>
    <w:rsid w:val="3E246184"/>
    <w:rsid w:val="3E467EA9"/>
    <w:rsid w:val="3E522231"/>
    <w:rsid w:val="3E554590"/>
    <w:rsid w:val="3E587BDC"/>
    <w:rsid w:val="3E5A7DF8"/>
    <w:rsid w:val="3E6B790F"/>
    <w:rsid w:val="3E6F2E1F"/>
    <w:rsid w:val="3E7E42B5"/>
    <w:rsid w:val="3E94535D"/>
    <w:rsid w:val="3E962E4E"/>
    <w:rsid w:val="3EDC5C73"/>
    <w:rsid w:val="3EDE4585"/>
    <w:rsid w:val="3EF47905"/>
    <w:rsid w:val="3F1B1335"/>
    <w:rsid w:val="3F285800"/>
    <w:rsid w:val="3F2B709E"/>
    <w:rsid w:val="3F3A5F28"/>
    <w:rsid w:val="3F3C4DFA"/>
    <w:rsid w:val="3F4422EF"/>
    <w:rsid w:val="3F453141"/>
    <w:rsid w:val="3F8844F1"/>
    <w:rsid w:val="3FA23805"/>
    <w:rsid w:val="3FB87239"/>
    <w:rsid w:val="3FD6525C"/>
    <w:rsid w:val="3FDB2873"/>
    <w:rsid w:val="3FEF15FE"/>
    <w:rsid w:val="3FF67D29"/>
    <w:rsid w:val="40055B41"/>
    <w:rsid w:val="40094AB4"/>
    <w:rsid w:val="40155D85"/>
    <w:rsid w:val="40204729"/>
    <w:rsid w:val="40241F6D"/>
    <w:rsid w:val="40312967"/>
    <w:rsid w:val="40356427"/>
    <w:rsid w:val="404E3E0C"/>
    <w:rsid w:val="405453C2"/>
    <w:rsid w:val="405B04B1"/>
    <w:rsid w:val="405F1912"/>
    <w:rsid w:val="4079157B"/>
    <w:rsid w:val="409018AF"/>
    <w:rsid w:val="40BC686D"/>
    <w:rsid w:val="40D00013"/>
    <w:rsid w:val="40E57E4D"/>
    <w:rsid w:val="40F81764"/>
    <w:rsid w:val="41114BBA"/>
    <w:rsid w:val="41205106"/>
    <w:rsid w:val="412C782A"/>
    <w:rsid w:val="412D7B3E"/>
    <w:rsid w:val="41432DC5"/>
    <w:rsid w:val="416E2256"/>
    <w:rsid w:val="41852DA3"/>
    <w:rsid w:val="418807D8"/>
    <w:rsid w:val="41A621BA"/>
    <w:rsid w:val="41B17D2F"/>
    <w:rsid w:val="41C318D4"/>
    <w:rsid w:val="41CD3D71"/>
    <w:rsid w:val="41E06866"/>
    <w:rsid w:val="41EB4567"/>
    <w:rsid w:val="41EE0F83"/>
    <w:rsid w:val="41FD7048"/>
    <w:rsid w:val="42072045"/>
    <w:rsid w:val="420C1E72"/>
    <w:rsid w:val="42276243"/>
    <w:rsid w:val="42674432"/>
    <w:rsid w:val="426B7492"/>
    <w:rsid w:val="427B019D"/>
    <w:rsid w:val="427D5E63"/>
    <w:rsid w:val="428601B9"/>
    <w:rsid w:val="42A31D6D"/>
    <w:rsid w:val="42A774A0"/>
    <w:rsid w:val="42B01F00"/>
    <w:rsid w:val="42BD444E"/>
    <w:rsid w:val="42C159A0"/>
    <w:rsid w:val="42C341BE"/>
    <w:rsid w:val="42D73CC1"/>
    <w:rsid w:val="43284021"/>
    <w:rsid w:val="4349650B"/>
    <w:rsid w:val="437454B8"/>
    <w:rsid w:val="43821950"/>
    <w:rsid w:val="43925E19"/>
    <w:rsid w:val="4399506F"/>
    <w:rsid w:val="43A77BA6"/>
    <w:rsid w:val="43B753A5"/>
    <w:rsid w:val="43CF6B92"/>
    <w:rsid w:val="43F90D70"/>
    <w:rsid w:val="440B4EEF"/>
    <w:rsid w:val="44130C4C"/>
    <w:rsid w:val="441F5424"/>
    <w:rsid w:val="44305C06"/>
    <w:rsid w:val="444924A1"/>
    <w:rsid w:val="445350CD"/>
    <w:rsid w:val="446F7A2D"/>
    <w:rsid w:val="44830A1C"/>
    <w:rsid w:val="4484797D"/>
    <w:rsid w:val="44891EC3"/>
    <w:rsid w:val="449A7EB1"/>
    <w:rsid w:val="44A26055"/>
    <w:rsid w:val="44BF34B0"/>
    <w:rsid w:val="44CB735A"/>
    <w:rsid w:val="44D01A3C"/>
    <w:rsid w:val="44D262F9"/>
    <w:rsid w:val="44E623E5"/>
    <w:rsid w:val="44E977E0"/>
    <w:rsid w:val="44F00B6E"/>
    <w:rsid w:val="44F01485"/>
    <w:rsid w:val="44F3065E"/>
    <w:rsid w:val="45034D45"/>
    <w:rsid w:val="451C309A"/>
    <w:rsid w:val="45281205"/>
    <w:rsid w:val="452D3B70"/>
    <w:rsid w:val="452E1DEB"/>
    <w:rsid w:val="452E61FC"/>
    <w:rsid w:val="452F5B3A"/>
    <w:rsid w:val="45385278"/>
    <w:rsid w:val="4545159A"/>
    <w:rsid w:val="45496396"/>
    <w:rsid w:val="459260C9"/>
    <w:rsid w:val="459736E0"/>
    <w:rsid w:val="459C0CF6"/>
    <w:rsid w:val="45A831F7"/>
    <w:rsid w:val="45B60184"/>
    <w:rsid w:val="45D97854"/>
    <w:rsid w:val="46070A7C"/>
    <w:rsid w:val="46195559"/>
    <w:rsid w:val="463D7DE3"/>
    <w:rsid w:val="46557990"/>
    <w:rsid w:val="466C691A"/>
    <w:rsid w:val="467852BF"/>
    <w:rsid w:val="468A0B4E"/>
    <w:rsid w:val="468E063F"/>
    <w:rsid w:val="469E3EE7"/>
    <w:rsid w:val="46AC5AA6"/>
    <w:rsid w:val="46BA7686"/>
    <w:rsid w:val="46BF4C9C"/>
    <w:rsid w:val="46BF6A4A"/>
    <w:rsid w:val="46CB35B2"/>
    <w:rsid w:val="46D92B01"/>
    <w:rsid w:val="46F10BCE"/>
    <w:rsid w:val="471A45C8"/>
    <w:rsid w:val="47300AA9"/>
    <w:rsid w:val="473016F6"/>
    <w:rsid w:val="47341D77"/>
    <w:rsid w:val="47370CD6"/>
    <w:rsid w:val="474D4056"/>
    <w:rsid w:val="475A68B7"/>
    <w:rsid w:val="476B2426"/>
    <w:rsid w:val="47947ED7"/>
    <w:rsid w:val="47A123C6"/>
    <w:rsid w:val="47A45C40"/>
    <w:rsid w:val="47A67C0A"/>
    <w:rsid w:val="47B642F1"/>
    <w:rsid w:val="47C841F6"/>
    <w:rsid w:val="47C87B80"/>
    <w:rsid w:val="47DE73A4"/>
    <w:rsid w:val="47E349BA"/>
    <w:rsid w:val="47EC35F1"/>
    <w:rsid w:val="480212E4"/>
    <w:rsid w:val="48185761"/>
    <w:rsid w:val="48221986"/>
    <w:rsid w:val="482A6BBF"/>
    <w:rsid w:val="483F42E6"/>
    <w:rsid w:val="484A4A39"/>
    <w:rsid w:val="485779FA"/>
    <w:rsid w:val="485A4A92"/>
    <w:rsid w:val="485F6737"/>
    <w:rsid w:val="48710218"/>
    <w:rsid w:val="487F2935"/>
    <w:rsid w:val="48956065"/>
    <w:rsid w:val="489E0F56"/>
    <w:rsid w:val="48A413B4"/>
    <w:rsid w:val="48A709E8"/>
    <w:rsid w:val="48A92A1D"/>
    <w:rsid w:val="48AA4D31"/>
    <w:rsid w:val="48AB7349"/>
    <w:rsid w:val="48B2721C"/>
    <w:rsid w:val="48B56357"/>
    <w:rsid w:val="48CA7928"/>
    <w:rsid w:val="48CB7C58"/>
    <w:rsid w:val="48CC544E"/>
    <w:rsid w:val="48E56510"/>
    <w:rsid w:val="491C14A9"/>
    <w:rsid w:val="493A6199"/>
    <w:rsid w:val="494D4F4F"/>
    <w:rsid w:val="495711BC"/>
    <w:rsid w:val="495A6EFE"/>
    <w:rsid w:val="495C307F"/>
    <w:rsid w:val="498421A4"/>
    <w:rsid w:val="49886CC3"/>
    <w:rsid w:val="499046CE"/>
    <w:rsid w:val="499637FE"/>
    <w:rsid w:val="49A07007"/>
    <w:rsid w:val="49A34401"/>
    <w:rsid w:val="49A62143"/>
    <w:rsid w:val="49B22896"/>
    <w:rsid w:val="49D24CE6"/>
    <w:rsid w:val="49D56585"/>
    <w:rsid w:val="49DC7913"/>
    <w:rsid w:val="49DE7409"/>
    <w:rsid w:val="49E8275C"/>
    <w:rsid w:val="49F71BB3"/>
    <w:rsid w:val="49FC1B85"/>
    <w:rsid w:val="49FD6237"/>
    <w:rsid w:val="4A091109"/>
    <w:rsid w:val="4A1D0657"/>
    <w:rsid w:val="4A282B58"/>
    <w:rsid w:val="4A2A2D74"/>
    <w:rsid w:val="4A5971B6"/>
    <w:rsid w:val="4A5B1180"/>
    <w:rsid w:val="4A5B58F4"/>
    <w:rsid w:val="4A5C2802"/>
    <w:rsid w:val="4A8320DA"/>
    <w:rsid w:val="4A902820"/>
    <w:rsid w:val="4A9F5C76"/>
    <w:rsid w:val="4AAB75FA"/>
    <w:rsid w:val="4B1C5AA0"/>
    <w:rsid w:val="4B2E1D73"/>
    <w:rsid w:val="4B386288"/>
    <w:rsid w:val="4B684422"/>
    <w:rsid w:val="4B693428"/>
    <w:rsid w:val="4B790B8A"/>
    <w:rsid w:val="4B8E10E1"/>
    <w:rsid w:val="4BA44460"/>
    <w:rsid w:val="4BC6087B"/>
    <w:rsid w:val="4BD94AE8"/>
    <w:rsid w:val="4BD96800"/>
    <w:rsid w:val="4BE86A43"/>
    <w:rsid w:val="4C0458E2"/>
    <w:rsid w:val="4C15535E"/>
    <w:rsid w:val="4C2C2393"/>
    <w:rsid w:val="4C2C4378"/>
    <w:rsid w:val="4C2F0EB6"/>
    <w:rsid w:val="4C324162"/>
    <w:rsid w:val="4C4874E2"/>
    <w:rsid w:val="4C4F0C0F"/>
    <w:rsid w:val="4C56564B"/>
    <w:rsid w:val="4C6473DC"/>
    <w:rsid w:val="4C6A7458"/>
    <w:rsid w:val="4C7812B7"/>
    <w:rsid w:val="4C803184"/>
    <w:rsid w:val="4C807C01"/>
    <w:rsid w:val="4CA14258"/>
    <w:rsid w:val="4CAC181F"/>
    <w:rsid w:val="4CAC3055"/>
    <w:rsid w:val="4CCF550D"/>
    <w:rsid w:val="4CD24250"/>
    <w:rsid w:val="4CE81047"/>
    <w:rsid w:val="4CF65190"/>
    <w:rsid w:val="4CFA6A2E"/>
    <w:rsid w:val="4CFD14C7"/>
    <w:rsid w:val="4D1368CE"/>
    <w:rsid w:val="4D2B7089"/>
    <w:rsid w:val="4D622825"/>
    <w:rsid w:val="4D834C75"/>
    <w:rsid w:val="4D9E1AAF"/>
    <w:rsid w:val="4DAF6BE2"/>
    <w:rsid w:val="4DCE3A17"/>
    <w:rsid w:val="4DD56923"/>
    <w:rsid w:val="4DD74780"/>
    <w:rsid w:val="4DED0341"/>
    <w:rsid w:val="4DF2104D"/>
    <w:rsid w:val="4E0336C0"/>
    <w:rsid w:val="4E37780E"/>
    <w:rsid w:val="4E4465EC"/>
    <w:rsid w:val="4E5A4C37"/>
    <w:rsid w:val="4E615639"/>
    <w:rsid w:val="4E636855"/>
    <w:rsid w:val="4E7445BE"/>
    <w:rsid w:val="4E8C0B1F"/>
    <w:rsid w:val="4E906705"/>
    <w:rsid w:val="4EA03605"/>
    <w:rsid w:val="4EBD4EA8"/>
    <w:rsid w:val="4EE80B08"/>
    <w:rsid w:val="4F054272"/>
    <w:rsid w:val="4F0B6BB4"/>
    <w:rsid w:val="4F1624D8"/>
    <w:rsid w:val="4F1F09CE"/>
    <w:rsid w:val="4F3104E6"/>
    <w:rsid w:val="4F367AC5"/>
    <w:rsid w:val="4F3E697A"/>
    <w:rsid w:val="4F652159"/>
    <w:rsid w:val="4F674123"/>
    <w:rsid w:val="4F7B372A"/>
    <w:rsid w:val="4F822D0B"/>
    <w:rsid w:val="4F9842DC"/>
    <w:rsid w:val="4FA9473B"/>
    <w:rsid w:val="4FB355BA"/>
    <w:rsid w:val="4FD7718C"/>
    <w:rsid w:val="4FFC7244"/>
    <w:rsid w:val="50217BC5"/>
    <w:rsid w:val="504346B5"/>
    <w:rsid w:val="50520F1D"/>
    <w:rsid w:val="5056025B"/>
    <w:rsid w:val="507B0A30"/>
    <w:rsid w:val="50850D04"/>
    <w:rsid w:val="50874A7C"/>
    <w:rsid w:val="509727E6"/>
    <w:rsid w:val="50A20EC8"/>
    <w:rsid w:val="50A66CDE"/>
    <w:rsid w:val="50DB0924"/>
    <w:rsid w:val="50DB33DA"/>
    <w:rsid w:val="50DE0415"/>
    <w:rsid w:val="50E517A3"/>
    <w:rsid w:val="50FA67BE"/>
    <w:rsid w:val="50FB388D"/>
    <w:rsid w:val="510D4856"/>
    <w:rsid w:val="511931FB"/>
    <w:rsid w:val="51274842"/>
    <w:rsid w:val="512A365A"/>
    <w:rsid w:val="51402E7D"/>
    <w:rsid w:val="51447DFC"/>
    <w:rsid w:val="514F099D"/>
    <w:rsid w:val="517D3A01"/>
    <w:rsid w:val="51943765"/>
    <w:rsid w:val="519F5DF6"/>
    <w:rsid w:val="51A82AC2"/>
    <w:rsid w:val="51A90E22"/>
    <w:rsid w:val="51AF14B1"/>
    <w:rsid w:val="51C4760A"/>
    <w:rsid w:val="51D04201"/>
    <w:rsid w:val="51DC0DF8"/>
    <w:rsid w:val="51EE51EC"/>
    <w:rsid w:val="51FF0D58"/>
    <w:rsid w:val="520308E4"/>
    <w:rsid w:val="520E6AD8"/>
    <w:rsid w:val="5217598C"/>
    <w:rsid w:val="521D7F21"/>
    <w:rsid w:val="523151D7"/>
    <w:rsid w:val="52350508"/>
    <w:rsid w:val="52691264"/>
    <w:rsid w:val="529E2BE6"/>
    <w:rsid w:val="52AA6800"/>
    <w:rsid w:val="52B640CF"/>
    <w:rsid w:val="52B675DB"/>
    <w:rsid w:val="52C33D66"/>
    <w:rsid w:val="52C61160"/>
    <w:rsid w:val="52CC02BF"/>
    <w:rsid w:val="52DC2732"/>
    <w:rsid w:val="52EC6E19"/>
    <w:rsid w:val="52FD636E"/>
    <w:rsid w:val="53071EA5"/>
    <w:rsid w:val="53471211"/>
    <w:rsid w:val="534A3B3F"/>
    <w:rsid w:val="537A08C9"/>
    <w:rsid w:val="537E5926"/>
    <w:rsid w:val="53A72D40"/>
    <w:rsid w:val="53C51418"/>
    <w:rsid w:val="53D90FA7"/>
    <w:rsid w:val="53E45D42"/>
    <w:rsid w:val="53FD5FE7"/>
    <w:rsid w:val="54000A89"/>
    <w:rsid w:val="540463E4"/>
    <w:rsid w:val="541A6E41"/>
    <w:rsid w:val="54232D0E"/>
    <w:rsid w:val="5424497B"/>
    <w:rsid w:val="542720D3"/>
    <w:rsid w:val="54295E4B"/>
    <w:rsid w:val="54334407"/>
    <w:rsid w:val="54576514"/>
    <w:rsid w:val="547156FF"/>
    <w:rsid w:val="5473551E"/>
    <w:rsid w:val="54A61249"/>
    <w:rsid w:val="54C87412"/>
    <w:rsid w:val="54D10816"/>
    <w:rsid w:val="54D264E2"/>
    <w:rsid w:val="54E57FC4"/>
    <w:rsid w:val="54EB1B0B"/>
    <w:rsid w:val="550139AD"/>
    <w:rsid w:val="550A17D8"/>
    <w:rsid w:val="55146A1B"/>
    <w:rsid w:val="551663CF"/>
    <w:rsid w:val="55173EF5"/>
    <w:rsid w:val="551D2D2E"/>
    <w:rsid w:val="554020FF"/>
    <w:rsid w:val="55456CB4"/>
    <w:rsid w:val="556C1DA4"/>
    <w:rsid w:val="55AD0FBA"/>
    <w:rsid w:val="55CE0A58"/>
    <w:rsid w:val="55F12998"/>
    <w:rsid w:val="55F71DD0"/>
    <w:rsid w:val="56242D6E"/>
    <w:rsid w:val="56262642"/>
    <w:rsid w:val="56312D95"/>
    <w:rsid w:val="563E0B15"/>
    <w:rsid w:val="56424FA2"/>
    <w:rsid w:val="568578F8"/>
    <w:rsid w:val="568B26FC"/>
    <w:rsid w:val="568E3CD5"/>
    <w:rsid w:val="56913FF1"/>
    <w:rsid w:val="56921A85"/>
    <w:rsid w:val="569945BB"/>
    <w:rsid w:val="56A90876"/>
    <w:rsid w:val="56B066E6"/>
    <w:rsid w:val="56C417A8"/>
    <w:rsid w:val="56E65DA6"/>
    <w:rsid w:val="56E878F7"/>
    <w:rsid w:val="56F056B8"/>
    <w:rsid w:val="56F33D82"/>
    <w:rsid w:val="57062473"/>
    <w:rsid w:val="570C319C"/>
    <w:rsid w:val="574D1E50"/>
    <w:rsid w:val="57554A63"/>
    <w:rsid w:val="576D1159"/>
    <w:rsid w:val="57711DB2"/>
    <w:rsid w:val="57763155"/>
    <w:rsid w:val="578D11A5"/>
    <w:rsid w:val="57B95737"/>
    <w:rsid w:val="57BC20BD"/>
    <w:rsid w:val="57BE4AFC"/>
    <w:rsid w:val="57C540DC"/>
    <w:rsid w:val="57D956A8"/>
    <w:rsid w:val="581B5AAA"/>
    <w:rsid w:val="5827444F"/>
    <w:rsid w:val="583152CE"/>
    <w:rsid w:val="583E1182"/>
    <w:rsid w:val="58403763"/>
    <w:rsid w:val="58482E44"/>
    <w:rsid w:val="58550FBC"/>
    <w:rsid w:val="585C042A"/>
    <w:rsid w:val="587147E7"/>
    <w:rsid w:val="587B3E58"/>
    <w:rsid w:val="58825B29"/>
    <w:rsid w:val="58834D97"/>
    <w:rsid w:val="588D4BFA"/>
    <w:rsid w:val="58B33F35"/>
    <w:rsid w:val="58C16652"/>
    <w:rsid w:val="58D37F8A"/>
    <w:rsid w:val="58D520FD"/>
    <w:rsid w:val="58D972FA"/>
    <w:rsid w:val="590019FC"/>
    <w:rsid w:val="590D2DDF"/>
    <w:rsid w:val="59287642"/>
    <w:rsid w:val="592D018B"/>
    <w:rsid w:val="593C03CE"/>
    <w:rsid w:val="595474C6"/>
    <w:rsid w:val="595E6596"/>
    <w:rsid w:val="59741916"/>
    <w:rsid w:val="598B27B6"/>
    <w:rsid w:val="59947126"/>
    <w:rsid w:val="59B14918"/>
    <w:rsid w:val="59B60181"/>
    <w:rsid w:val="59BD150F"/>
    <w:rsid w:val="59C65DFD"/>
    <w:rsid w:val="59D93E6F"/>
    <w:rsid w:val="59D94D27"/>
    <w:rsid w:val="59E75970"/>
    <w:rsid w:val="59EA607C"/>
    <w:rsid w:val="59EB1740"/>
    <w:rsid w:val="59F64346"/>
    <w:rsid w:val="5A047838"/>
    <w:rsid w:val="5A2D0246"/>
    <w:rsid w:val="5A2E3047"/>
    <w:rsid w:val="5A350349"/>
    <w:rsid w:val="5A385090"/>
    <w:rsid w:val="5A493CDC"/>
    <w:rsid w:val="5A4E660B"/>
    <w:rsid w:val="5A582FE6"/>
    <w:rsid w:val="5A7E0F29"/>
    <w:rsid w:val="5A850901"/>
    <w:rsid w:val="5A947624"/>
    <w:rsid w:val="5A9C1CC3"/>
    <w:rsid w:val="5A9D30EE"/>
    <w:rsid w:val="5AA75D1B"/>
    <w:rsid w:val="5AB3021C"/>
    <w:rsid w:val="5ABA0E95"/>
    <w:rsid w:val="5AD05272"/>
    <w:rsid w:val="5AE51B4D"/>
    <w:rsid w:val="5B1A473F"/>
    <w:rsid w:val="5B2654A6"/>
    <w:rsid w:val="5B3F7B2D"/>
    <w:rsid w:val="5B407F96"/>
    <w:rsid w:val="5B480E42"/>
    <w:rsid w:val="5B4B2214"/>
    <w:rsid w:val="5B597015"/>
    <w:rsid w:val="5B5C08B4"/>
    <w:rsid w:val="5B5C4D58"/>
    <w:rsid w:val="5B5E63DA"/>
    <w:rsid w:val="5B6B27CB"/>
    <w:rsid w:val="5B8A3B64"/>
    <w:rsid w:val="5B98317F"/>
    <w:rsid w:val="5B9A6FA0"/>
    <w:rsid w:val="5B9C6F02"/>
    <w:rsid w:val="5BA52D78"/>
    <w:rsid w:val="5BD60666"/>
    <w:rsid w:val="5BE2700B"/>
    <w:rsid w:val="5BFC47E3"/>
    <w:rsid w:val="5C0056E3"/>
    <w:rsid w:val="5C186FA6"/>
    <w:rsid w:val="5C244176"/>
    <w:rsid w:val="5C277114"/>
    <w:rsid w:val="5C2B0463"/>
    <w:rsid w:val="5C414877"/>
    <w:rsid w:val="5C594DF3"/>
    <w:rsid w:val="5CCC3CF3"/>
    <w:rsid w:val="5CDC1CAC"/>
    <w:rsid w:val="5CE943C9"/>
    <w:rsid w:val="5CF638DA"/>
    <w:rsid w:val="5CF8460C"/>
    <w:rsid w:val="5CFD6159"/>
    <w:rsid w:val="5D013F78"/>
    <w:rsid w:val="5D13067F"/>
    <w:rsid w:val="5D1458EA"/>
    <w:rsid w:val="5D2618BC"/>
    <w:rsid w:val="5D365AA8"/>
    <w:rsid w:val="5D502211"/>
    <w:rsid w:val="5D623CAF"/>
    <w:rsid w:val="5D663B9F"/>
    <w:rsid w:val="5D663C6C"/>
    <w:rsid w:val="5D6E04BC"/>
    <w:rsid w:val="5D7A14C5"/>
    <w:rsid w:val="5D8660BC"/>
    <w:rsid w:val="5D900CE9"/>
    <w:rsid w:val="5DB24888"/>
    <w:rsid w:val="5DB9023F"/>
    <w:rsid w:val="5DC50FAD"/>
    <w:rsid w:val="5DCD3CEB"/>
    <w:rsid w:val="5DF453FF"/>
    <w:rsid w:val="5E042D10"/>
    <w:rsid w:val="5E111569"/>
    <w:rsid w:val="5E323B4E"/>
    <w:rsid w:val="5E3E24F3"/>
    <w:rsid w:val="5E5B12F6"/>
    <w:rsid w:val="5E634E8C"/>
    <w:rsid w:val="5E6E3076"/>
    <w:rsid w:val="5E79352B"/>
    <w:rsid w:val="5E8C325E"/>
    <w:rsid w:val="5E8F1553"/>
    <w:rsid w:val="5EAA7669"/>
    <w:rsid w:val="5EB36A3D"/>
    <w:rsid w:val="5EB50A07"/>
    <w:rsid w:val="5ECB3E6E"/>
    <w:rsid w:val="5ED15115"/>
    <w:rsid w:val="5ED66BCF"/>
    <w:rsid w:val="5EE37257"/>
    <w:rsid w:val="5EE74938"/>
    <w:rsid w:val="5EEE1E91"/>
    <w:rsid w:val="5F0B5CF5"/>
    <w:rsid w:val="5F245B8C"/>
    <w:rsid w:val="5F2A3FC9"/>
    <w:rsid w:val="5F2B2A77"/>
    <w:rsid w:val="5F316516"/>
    <w:rsid w:val="5F36141C"/>
    <w:rsid w:val="5F3F4774"/>
    <w:rsid w:val="5F4A1345"/>
    <w:rsid w:val="5F4F556F"/>
    <w:rsid w:val="5F68520E"/>
    <w:rsid w:val="5F6E5059"/>
    <w:rsid w:val="5FD255E8"/>
    <w:rsid w:val="5FD96977"/>
    <w:rsid w:val="5FE5319A"/>
    <w:rsid w:val="5FF52D97"/>
    <w:rsid w:val="5FFF5CB2"/>
    <w:rsid w:val="602A2001"/>
    <w:rsid w:val="602D281F"/>
    <w:rsid w:val="60320168"/>
    <w:rsid w:val="603E4A2C"/>
    <w:rsid w:val="606968D4"/>
    <w:rsid w:val="609B5129"/>
    <w:rsid w:val="60A73D51"/>
    <w:rsid w:val="60AE14F9"/>
    <w:rsid w:val="60CB0C2E"/>
    <w:rsid w:val="60D84E80"/>
    <w:rsid w:val="60EC6320"/>
    <w:rsid w:val="60F845C5"/>
    <w:rsid w:val="6142679E"/>
    <w:rsid w:val="6175447D"/>
    <w:rsid w:val="617C3A5E"/>
    <w:rsid w:val="617E6B72"/>
    <w:rsid w:val="6189617B"/>
    <w:rsid w:val="61AE5BE1"/>
    <w:rsid w:val="61C176C2"/>
    <w:rsid w:val="61D4389A"/>
    <w:rsid w:val="61E35BA4"/>
    <w:rsid w:val="61FC06FB"/>
    <w:rsid w:val="620A6244"/>
    <w:rsid w:val="621E68C3"/>
    <w:rsid w:val="622C1C5B"/>
    <w:rsid w:val="623954AB"/>
    <w:rsid w:val="62440C26"/>
    <w:rsid w:val="6245446B"/>
    <w:rsid w:val="624E7B10"/>
    <w:rsid w:val="62594319"/>
    <w:rsid w:val="62610F56"/>
    <w:rsid w:val="62642445"/>
    <w:rsid w:val="62786DC0"/>
    <w:rsid w:val="627E4BA4"/>
    <w:rsid w:val="62B9483E"/>
    <w:rsid w:val="62CC4FB3"/>
    <w:rsid w:val="62D13935"/>
    <w:rsid w:val="62D358FF"/>
    <w:rsid w:val="62D6385B"/>
    <w:rsid w:val="62D653F0"/>
    <w:rsid w:val="62DE6052"/>
    <w:rsid w:val="62EC69C1"/>
    <w:rsid w:val="62FD297C"/>
    <w:rsid w:val="62FE04A2"/>
    <w:rsid w:val="630006BE"/>
    <w:rsid w:val="63041F5D"/>
    <w:rsid w:val="631448DA"/>
    <w:rsid w:val="631E5E6D"/>
    <w:rsid w:val="63313DF3"/>
    <w:rsid w:val="63332842"/>
    <w:rsid w:val="633C466C"/>
    <w:rsid w:val="634E5BB5"/>
    <w:rsid w:val="6372071E"/>
    <w:rsid w:val="6374344C"/>
    <w:rsid w:val="638B61DA"/>
    <w:rsid w:val="638C7E2C"/>
    <w:rsid w:val="639808F7"/>
    <w:rsid w:val="63A2520E"/>
    <w:rsid w:val="63A64DC2"/>
    <w:rsid w:val="63A90754"/>
    <w:rsid w:val="63AE6B8F"/>
    <w:rsid w:val="63C416EC"/>
    <w:rsid w:val="63E61662"/>
    <w:rsid w:val="63FC70D8"/>
    <w:rsid w:val="64080555"/>
    <w:rsid w:val="64080FF9"/>
    <w:rsid w:val="64224B38"/>
    <w:rsid w:val="64281C7B"/>
    <w:rsid w:val="642D54E3"/>
    <w:rsid w:val="642E6B65"/>
    <w:rsid w:val="64391874"/>
    <w:rsid w:val="64492334"/>
    <w:rsid w:val="645037C1"/>
    <w:rsid w:val="64530946"/>
    <w:rsid w:val="64542A70"/>
    <w:rsid w:val="647A0FE5"/>
    <w:rsid w:val="64A8704A"/>
    <w:rsid w:val="64B17EC2"/>
    <w:rsid w:val="64E536C8"/>
    <w:rsid w:val="64EC323A"/>
    <w:rsid w:val="64F4459D"/>
    <w:rsid w:val="64FE478A"/>
    <w:rsid w:val="651662EB"/>
    <w:rsid w:val="6522491C"/>
    <w:rsid w:val="65237D3E"/>
    <w:rsid w:val="653C0B83"/>
    <w:rsid w:val="659A6BA8"/>
    <w:rsid w:val="65D26342"/>
    <w:rsid w:val="65E41BD1"/>
    <w:rsid w:val="65FC5163"/>
    <w:rsid w:val="65FD0E57"/>
    <w:rsid w:val="661D2374"/>
    <w:rsid w:val="66430FEE"/>
    <w:rsid w:val="66491F5E"/>
    <w:rsid w:val="66664CDC"/>
    <w:rsid w:val="6679056C"/>
    <w:rsid w:val="66B1652C"/>
    <w:rsid w:val="66BC1D92"/>
    <w:rsid w:val="66CE3047"/>
    <w:rsid w:val="66F43399"/>
    <w:rsid w:val="66FF2DB0"/>
    <w:rsid w:val="670C7632"/>
    <w:rsid w:val="670F3061"/>
    <w:rsid w:val="67170997"/>
    <w:rsid w:val="671F452D"/>
    <w:rsid w:val="67256946"/>
    <w:rsid w:val="67335A83"/>
    <w:rsid w:val="6740552D"/>
    <w:rsid w:val="674549FB"/>
    <w:rsid w:val="674F64FA"/>
    <w:rsid w:val="67513297"/>
    <w:rsid w:val="675D60DF"/>
    <w:rsid w:val="67627252"/>
    <w:rsid w:val="67631FF9"/>
    <w:rsid w:val="67650AF0"/>
    <w:rsid w:val="676F7BC1"/>
    <w:rsid w:val="67784CC7"/>
    <w:rsid w:val="67890C82"/>
    <w:rsid w:val="678C2521"/>
    <w:rsid w:val="679D64DC"/>
    <w:rsid w:val="67A755AC"/>
    <w:rsid w:val="67CC4FAA"/>
    <w:rsid w:val="67D61132"/>
    <w:rsid w:val="67E22141"/>
    <w:rsid w:val="67F55E5B"/>
    <w:rsid w:val="68115A04"/>
    <w:rsid w:val="6822395C"/>
    <w:rsid w:val="686C0F86"/>
    <w:rsid w:val="68701E42"/>
    <w:rsid w:val="687C07E7"/>
    <w:rsid w:val="68940357"/>
    <w:rsid w:val="68AA7102"/>
    <w:rsid w:val="68B84844"/>
    <w:rsid w:val="68CC52CB"/>
    <w:rsid w:val="68EF19C8"/>
    <w:rsid w:val="68F33602"/>
    <w:rsid w:val="69116A62"/>
    <w:rsid w:val="691B0000"/>
    <w:rsid w:val="691C1682"/>
    <w:rsid w:val="692549DB"/>
    <w:rsid w:val="69A55B1C"/>
    <w:rsid w:val="69AE3FC0"/>
    <w:rsid w:val="69CC781C"/>
    <w:rsid w:val="69DC6E56"/>
    <w:rsid w:val="69DD52B6"/>
    <w:rsid w:val="69F10D61"/>
    <w:rsid w:val="6A331379"/>
    <w:rsid w:val="6A333127"/>
    <w:rsid w:val="6A4A66A6"/>
    <w:rsid w:val="6A507803"/>
    <w:rsid w:val="6A590DE0"/>
    <w:rsid w:val="6A5D7ACE"/>
    <w:rsid w:val="6A6B1913"/>
    <w:rsid w:val="6A86372E"/>
    <w:rsid w:val="6A892D47"/>
    <w:rsid w:val="6A8B30C1"/>
    <w:rsid w:val="6A9A31A7"/>
    <w:rsid w:val="6AA67D9D"/>
    <w:rsid w:val="6ACC1B16"/>
    <w:rsid w:val="6AFE7291"/>
    <w:rsid w:val="6B0845B4"/>
    <w:rsid w:val="6B0C0E89"/>
    <w:rsid w:val="6B2250B1"/>
    <w:rsid w:val="6B2758F6"/>
    <w:rsid w:val="6B2A62D8"/>
    <w:rsid w:val="6B2D5F02"/>
    <w:rsid w:val="6B3B6738"/>
    <w:rsid w:val="6B80677B"/>
    <w:rsid w:val="6B825C38"/>
    <w:rsid w:val="6B826114"/>
    <w:rsid w:val="6B8410DC"/>
    <w:rsid w:val="6BB32772"/>
    <w:rsid w:val="6BBA1326"/>
    <w:rsid w:val="6BC71D79"/>
    <w:rsid w:val="6BCC7315"/>
    <w:rsid w:val="6BCF6A8C"/>
    <w:rsid w:val="6BD149A6"/>
    <w:rsid w:val="6BDB3A77"/>
    <w:rsid w:val="6BE446D9"/>
    <w:rsid w:val="6BEA3CBA"/>
    <w:rsid w:val="6C136D6D"/>
    <w:rsid w:val="6C264CF2"/>
    <w:rsid w:val="6C333B5C"/>
    <w:rsid w:val="6C372AF2"/>
    <w:rsid w:val="6C3F7B62"/>
    <w:rsid w:val="6C447B47"/>
    <w:rsid w:val="6C4D6722"/>
    <w:rsid w:val="6C5A2BED"/>
    <w:rsid w:val="6C635F46"/>
    <w:rsid w:val="6C666B08"/>
    <w:rsid w:val="6C702411"/>
    <w:rsid w:val="6C73245F"/>
    <w:rsid w:val="6C787517"/>
    <w:rsid w:val="6C832144"/>
    <w:rsid w:val="6CA4030D"/>
    <w:rsid w:val="6CAB297C"/>
    <w:rsid w:val="6CB20C6D"/>
    <w:rsid w:val="6CB41D63"/>
    <w:rsid w:val="6CCD1611"/>
    <w:rsid w:val="6CD32476"/>
    <w:rsid w:val="6CE606C1"/>
    <w:rsid w:val="6D042B59"/>
    <w:rsid w:val="6D072E5F"/>
    <w:rsid w:val="6D0B5820"/>
    <w:rsid w:val="6D0E5786"/>
    <w:rsid w:val="6D367EF6"/>
    <w:rsid w:val="6D397527"/>
    <w:rsid w:val="6D3C64DB"/>
    <w:rsid w:val="6D722D97"/>
    <w:rsid w:val="6D94212F"/>
    <w:rsid w:val="6DE210EC"/>
    <w:rsid w:val="6DE309C1"/>
    <w:rsid w:val="6DEE183F"/>
    <w:rsid w:val="6E2B7EF4"/>
    <w:rsid w:val="6E443B55"/>
    <w:rsid w:val="6E5300A9"/>
    <w:rsid w:val="6E571C17"/>
    <w:rsid w:val="6E7361E8"/>
    <w:rsid w:val="6E753D0F"/>
    <w:rsid w:val="6E830434"/>
    <w:rsid w:val="6E8B52E0"/>
    <w:rsid w:val="6E9C573F"/>
    <w:rsid w:val="6EA32620"/>
    <w:rsid w:val="6EA463A2"/>
    <w:rsid w:val="6EAB59B1"/>
    <w:rsid w:val="6EB43F07"/>
    <w:rsid w:val="6EB67355"/>
    <w:rsid w:val="6EBC5746"/>
    <w:rsid w:val="6EBF4F8A"/>
    <w:rsid w:val="6ECA25D4"/>
    <w:rsid w:val="6F4F630E"/>
    <w:rsid w:val="6F5222A2"/>
    <w:rsid w:val="6F67541A"/>
    <w:rsid w:val="6F765F90"/>
    <w:rsid w:val="6F8A083F"/>
    <w:rsid w:val="6F912DCA"/>
    <w:rsid w:val="6FAC78FD"/>
    <w:rsid w:val="6FB22D40"/>
    <w:rsid w:val="6FB40867"/>
    <w:rsid w:val="6FBE16E5"/>
    <w:rsid w:val="6FC36CFC"/>
    <w:rsid w:val="6FC84312"/>
    <w:rsid w:val="6FCD12F8"/>
    <w:rsid w:val="6FD827A7"/>
    <w:rsid w:val="6FF15BC1"/>
    <w:rsid w:val="6FFD045F"/>
    <w:rsid w:val="70077D7C"/>
    <w:rsid w:val="700C3054"/>
    <w:rsid w:val="700C439B"/>
    <w:rsid w:val="700F2DE0"/>
    <w:rsid w:val="701A040F"/>
    <w:rsid w:val="702E23C7"/>
    <w:rsid w:val="703358A6"/>
    <w:rsid w:val="703F1C24"/>
    <w:rsid w:val="704C4F43"/>
    <w:rsid w:val="70567B70"/>
    <w:rsid w:val="705E16F5"/>
    <w:rsid w:val="70651F8E"/>
    <w:rsid w:val="70666005"/>
    <w:rsid w:val="70757FF6"/>
    <w:rsid w:val="70916390"/>
    <w:rsid w:val="70AE736D"/>
    <w:rsid w:val="70BA3ABE"/>
    <w:rsid w:val="70BC3E77"/>
    <w:rsid w:val="70BD199D"/>
    <w:rsid w:val="70CB5A6F"/>
    <w:rsid w:val="70CE3BAA"/>
    <w:rsid w:val="70D55C8B"/>
    <w:rsid w:val="70FF5B11"/>
    <w:rsid w:val="710475CC"/>
    <w:rsid w:val="71202F6F"/>
    <w:rsid w:val="71436346"/>
    <w:rsid w:val="715967E5"/>
    <w:rsid w:val="715C11B6"/>
    <w:rsid w:val="716E6C06"/>
    <w:rsid w:val="71871F2A"/>
    <w:rsid w:val="71883D59"/>
    <w:rsid w:val="71940950"/>
    <w:rsid w:val="719C15B2"/>
    <w:rsid w:val="71E13469"/>
    <w:rsid w:val="71F52C0C"/>
    <w:rsid w:val="71F71308"/>
    <w:rsid w:val="720C094E"/>
    <w:rsid w:val="72235642"/>
    <w:rsid w:val="722A4E10"/>
    <w:rsid w:val="72502901"/>
    <w:rsid w:val="728A58AF"/>
    <w:rsid w:val="7297430F"/>
    <w:rsid w:val="72BB1F0C"/>
    <w:rsid w:val="72D60AF4"/>
    <w:rsid w:val="72F90BB3"/>
    <w:rsid w:val="7309711B"/>
    <w:rsid w:val="73155AC0"/>
    <w:rsid w:val="731C624D"/>
    <w:rsid w:val="73217FC1"/>
    <w:rsid w:val="732775A1"/>
    <w:rsid w:val="732A432B"/>
    <w:rsid w:val="73381FC4"/>
    <w:rsid w:val="736E791F"/>
    <w:rsid w:val="73702CF6"/>
    <w:rsid w:val="737E3665"/>
    <w:rsid w:val="73871A96"/>
    <w:rsid w:val="73880040"/>
    <w:rsid w:val="7399224D"/>
    <w:rsid w:val="73AC27BA"/>
    <w:rsid w:val="73AC6191"/>
    <w:rsid w:val="73B057E9"/>
    <w:rsid w:val="73C65C60"/>
    <w:rsid w:val="73C848E1"/>
    <w:rsid w:val="73E3796C"/>
    <w:rsid w:val="73F80187"/>
    <w:rsid w:val="73FE6554"/>
    <w:rsid w:val="74097848"/>
    <w:rsid w:val="744C5512"/>
    <w:rsid w:val="74A23383"/>
    <w:rsid w:val="74B44E65"/>
    <w:rsid w:val="74B775BA"/>
    <w:rsid w:val="75101B1B"/>
    <w:rsid w:val="752A4370"/>
    <w:rsid w:val="75581C94"/>
    <w:rsid w:val="75635E10"/>
    <w:rsid w:val="75636D61"/>
    <w:rsid w:val="757271FA"/>
    <w:rsid w:val="75752846"/>
    <w:rsid w:val="757F1917"/>
    <w:rsid w:val="75814D02"/>
    <w:rsid w:val="75832AF8"/>
    <w:rsid w:val="758A3D23"/>
    <w:rsid w:val="758B02BC"/>
    <w:rsid w:val="75B16ECE"/>
    <w:rsid w:val="75BA46FD"/>
    <w:rsid w:val="75D1383D"/>
    <w:rsid w:val="75DC697D"/>
    <w:rsid w:val="75E33C54"/>
    <w:rsid w:val="75FE45EA"/>
    <w:rsid w:val="760D2A7F"/>
    <w:rsid w:val="76602FEC"/>
    <w:rsid w:val="76685F07"/>
    <w:rsid w:val="767C3D9A"/>
    <w:rsid w:val="769136B0"/>
    <w:rsid w:val="76946CFC"/>
    <w:rsid w:val="76A31467"/>
    <w:rsid w:val="76AA50A4"/>
    <w:rsid w:val="76AC3716"/>
    <w:rsid w:val="76BA27C8"/>
    <w:rsid w:val="76DF44B7"/>
    <w:rsid w:val="76E56D88"/>
    <w:rsid w:val="76F3675E"/>
    <w:rsid w:val="76F8372F"/>
    <w:rsid w:val="76F854DD"/>
    <w:rsid w:val="77166BF3"/>
    <w:rsid w:val="7717683B"/>
    <w:rsid w:val="772B6B9A"/>
    <w:rsid w:val="77336515"/>
    <w:rsid w:val="773A5AF5"/>
    <w:rsid w:val="7751539D"/>
    <w:rsid w:val="7752506C"/>
    <w:rsid w:val="77585F7B"/>
    <w:rsid w:val="77690189"/>
    <w:rsid w:val="777710B2"/>
    <w:rsid w:val="77775E61"/>
    <w:rsid w:val="777C4331"/>
    <w:rsid w:val="7783749C"/>
    <w:rsid w:val="77844FC2"/>
    <w:rsid w:val="779F1DFC"/>
    <w:rsid w:val="77B27D81"/>
    <w:rsid w:val="77D20625"/>
    <w:rsid w:val="77ED2B68"/>
    <w:rsid w:val="77F305DD"/>
    <w:rsid w:val="77FB7A02"/>
    <w:rsid w:val="78106856"/>
    <w:rsid w:val="78263CB2"/>
    <w:rsid w:val="782A5B6A"/>
    <w:rsid w:val="783B0801"/>
    <w:rsid w:val="7866291A"/>
    <w:rsid w:val="78715547"/>
    <w:rsid w:val="787943FB"/>
    <w:rsid w:val="787B4617"/>
    <w:rsid w:val="78B43685"/>
    <w:rsid w:val="78BC75AA"/>
    <w:rsid w:val="78C05160"/>
    <w:rsid w:val="78CA2EA9"/>
    <w:rsid w:val="78E81581"/>
    <w:rsid w:val="78F65A4C"/>
    <w:rsid w:val="78FA1C9A"/>
    <w:rsid w:val="78FB7506"/>
    <w:rsid w:val="7918089D"/>
    <w:rsid w:val="791A2570"/>
    <w:rsid w:val="7927654D"/>
    <w:rsid w:val="79297A7E"/>
    <w:rsid w:val="792F71B0"/>
    <w:rsid w:val="79444A09"/>
    <w:rsid w:val="79524125"/>
    <w:rsid w:val="795420BB"/>
    <w:rsid w:val="7973709D"/>
    <w:rsid w:val="797D616D"/>
    <w:rsid w:val="798153CC"/>
    <w:rsid w:val="798B5767"/>
    <w:rsid w:val="79A61220"/>
    <w:rsid w:val="79B168B8"/>
    <w:rsid w:val="79B92825"/>
    <w:rsid w:val="79D3176B"/>
    <w:rsid w:val="79DC10E6"/>
    <w:rsid w:val="79DE680B"/>
    <w:rsid w:val="7A120583"/>
    <w:rsid w:val="7A337C98"/>
    <w:rsid w:val="7A3D7C35"/>
    <w:rsid w:val="7A4B0019"/>
    <w:rsid w:val="7A811C8D"/>
    <w:rsid w:val="7A8121B4"/>
    <w:rsid w:val="7A923E9A"/>
    <w:rsid w:val="7A92650D"/>
    <w:rsid w:val="7A9D6FAB"/>
    <w:rsid w:val="7AA3125D"/>
    <w:rsid w:val="7ABE2599"/>
    <w:rsid w:val="7ABE4837"/>
    <w:rsid w:val="7AD93877"/>
    <w:rsid w:val="7ADE5D3C"/>
    <w:rsid w:val="7AE35D64"/>
    <w:rsid w:val="7AEE1591"/>
    <w:rsid w:val="7B034450"/>
    <w:rsid w:val="7B0E00CD"/>
    <w:rsid w:val="7B3964D5"/>
    <w:rsid w:val="7B3C4F05"/>
    <w:rsid w:val="7B4909FD"/>
    <w:rsid w:val="7B4C229B"/>
    <w:rsid w:val="7B7470FC"/>
    <w:rsid w:val="7B8C0341"/>
    <w:rsid w:val="7B8E6410"/>
    <w:rsid w:val="7B90548A"/>
    <w:rsid w:val="7B931C78"/>
    <w:rsid w:val="7BB8348D"/>
    <w:rsid w:val="7BC10593"/>
    <w:rsid w:val="7BF710B3"/>
    <w:rsid w:val="7C036DFE"/>
    <w:rsid w:val="7C380A48"/>
    <w:rsid w:val="7C492337"/>
    <w:rsid w:val="7C52743D"/>
    <w:rsid w:val="7C5F3AEB"/>
    <w:rsid w:val="7C647170"/>
    <w:rsid w:val="7C6C2360"/>
    <w:rsid w:val="7C7062F5"/>
    <w:rsid w:val="7C7575D0"/>
    <w:rsid w:val="7C786FF2"/>
    <w:rsid w:val="7CA57EB5"/>
    <w:rsid w:val="7CB71996"/>
    <w:rsid w:val="7CB85B52"/>
    <w:rsid w:val="7CBD7F08"/>
    <w:rsid w:val="7CC85951"/>
    <w:rsid w:val="7CCD69CB"/>
    <w:rsid w:val="7CDF33DA"/>
    <w:rsid w:val="7CE42605"/>
    <w:rsid w:val="7CF6426C"/>
    <w:rsid w:val="7D132306"/>
    <w:rsid w:val="7D381051"/>
    <w:rsid w:val="7D621902"/>
    <w:rsid w:val="7D694FBB"/>
    <w:rsid w:val="7D7E4262"/>
    <w:rsid w:val="7D8C6D8A"/>
    <w:rsid w:val="7DC205F3"/>
    <w:rsid w:val="7DC75C09"/>
    <w:rsid w:val="7DCA74A7"/>
    <w:rsid w:val="7DD02D0F"/>
    <w:rsid w:val="7DD547CA"/>
    <w:rsid w:val="7DD554C0"/>
    <w:rsid w:val="7DE55565"/>
    <w:rsid w:val="7DF033B2"/>
    <w:rsid w:val="7E391665"/>
    <w:rsid w:val="7E4577B8"/>
    <w:rsid w:val="7E463AF3"/>
    <w:rsid w:val="7E5F24F8"/>
    <w:rsid w:val="7E81400A"/>
    <w:rsid w:val="7E90249F"/>
    <w:rsid w:val="7EB53D85"/>
    <w:rsid w:val="7EC8152C"/>
    <w:rsid w:val="7ED9320A"/>
    <w:rsid w:val="7ED95BF4"/>
    <w:rsid w:val="7EF40C80"/>
    <w:rsid w:val="7F033168"/>
    <w:rsid w:val="7F054C3B"/>
    <w:rsid w:val="7F1C1F84"/>
    <w:rsid w:val="7F3177DE"/>
    <w:rsid w:val="7F376DBE"/>
    <w:rsid w:val="7F3C6183"/>
    <w:rsid w:val="7F413799"/>
    <w:rsid w:val="7F4339B5"/>
    <w:rsid w:val="7F475253"/>
    <w:rsid w:val="7F542B16"/>
    <w:rsid w:val="7F601E71"/>
    <w:rsid w:val="7F7F6AE5"/>
    <w:rsid w:val="7F83224A"/>
    <w:rsid w:val="7F833DB1"/>
    <w:rsid w:val="7F9F508F"/>
    <w:rsid w:val="7FA464BB"/>
    <w:rsid w:val="7FAF2DF8"/>
    <w:rsid w:val="7FB34697"/>
    <w:rsid w:val="7FCE7723"/>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1"/>
    <w:pPr>
      <w:ind w:right="174"/>
      <w:jc w:val="center"/>
      <w:outlineLvl w:val="0"/>
    </w:pPr>
    <w:rPr>
      <w:rFonts w:ascii="方正小标宋_GBK" w:hAnsi="方正小标宋_GBK" w:eastAsia="方正小标宋_GBK" w:cs="方正小标宋_GBK"/>
      <w:sz w:val="44"/>
      <w:szCs w:val="44"/>
      <w:lang w:val="zh-CN" w:eastAsia="zh-CN" w:bidi="zh-CN"/>
    </w:rPr>
  </w:style>
  <w:style w:type="paragraph" w:styleId="4">
    <w:name w:val="heading 2"/>
    <w:basedOn w:val="1"/>
    <w:next w:val="1"/>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keepLines/>
      <w:spacing w:line="416" w:lineRule="auto"/>
      <w:outlineLvl w:val="2"/>
    </w:pPr>
    <w:rPr>
      <w:rFonts w:eastAsia="黑体"/>
      <w:b/>
      <w:bCs/>
      <w:sz w:val="28"/>
      <w:szCs w:val="32"/>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Salutation"/>
    <w:basedOn w:val="1"/>
    <w:next w:val="1"/>
    <w:autoRedefine/>
    <w:unhideWhenUsed/>
    <w:qFormat/>
    <w:uiPriority w:val="99"/>
  </w:style>
  <w:style w:type="paragraph" w:styleId="6">
    <w:name w:val="Normal Indent"/>
    <w:basedOn w:val="1"/>
    <w:next w:val="1"/>
    <w:autoRedefine/>
    <w:qFormat/>
    <w:uiPriority w:val="99"/>
    <w:pPr>
      <w:wordWrap w:val="0"/>
      <w:ind w:left="3400"/>
      <w:jc w:val="both"/>
    </w:pPr>
    <w:rPr>
      <w:rFonts w:ascii="Calibri" w:hAnsi="Calibri" w:eastAsia="宋体" w:cs="Times New Roman"/>
      <w:sz w:val="21"/>
      <w:lang w:val="en-US" w:eastAsia="zh-CN" w:bidi="ar-SA"/>
    </w:rPr>
  </w:style>
  <w:style w:type="paragraph" w:styleId="7">
    <w:name w:val="Body Text"/>
    <w:basedOn w:val="1"/>
    <w:autoRedefine/>
    <w:qFormat/>
    <w:uiPriority w:val="0"/>
    <w:pPr>
      <w:spacing w:after="120" w:afterLines="0" w:afterAutospacing="0"/>
    </w:pPr>
  </w:style>
  <w:style w:type="paragraph" w:styleId="8">
    <w:name w:val="Body Text Indent"/>
    <w:basedOn w:val="1"/>
    <w:autoRedefine/>
    <w:qFormat/>
    <w:uiPriority w:val="99"/>
    <w:pPr>
      <w:widowControl w:val="0"/>
      <w:ind w:firstLine="720" w:firstLineChars="240"/>
    </w:pPr>
    <w:rPr>
      <w:rFonts w:ascii="Times New Roman" w:hAnsi="Times New Roman" w:eastAsia="楷体_GB2312" w:cs="Times New Roman"/>
      <w:sz w:val="30"/>
      <w:szCs w:val="30"/>
    </w:rPr>
  </w:style>
  <w:style w:type="paragraph" w:styleId="9">
    <w:name w:val="footer"/>
    <w:basedOn w:val="1"/>
    <w:autoRedefine/>
    <w:qFormat/>
    <w:uiPriority w:val="99"/>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autoRedefine/>
    <w:qFormat/>
    <w:uiPriority w:val="0"/>
    <w:pPr>
      <w:snapToGrid w:val="0"/>
      <w:jc w:val="left"/>
    </w:pPr>
    <w:rPr>
      <w:sz w:val="18"/>
    </w:rPr>
  </w:style>
  <w:style w:type="paragraph" w:styleId="12">
    <w:name w:val="Body Text First Indent 2"/>
    <w:basedOn w:val="8"/>
    <w:next w:val="1"/>
    <w:autoRedefine/>
    <w:qFormat/>
    <w:uiPriority w:val="99"/>
    <w:pPr>
      <w:spacing w:after="120"/>
      <w:ind w:left="420" w:leftChars="200" w:firstLine="420" w:firstLineChars="200"/>
    </w:pPr>
    <w:rPr>
      <w:rFonts w:eastAsia="宋体"/>
      <w:sz w:val="21"/>
      <w:szCs w:val="24"/>
    </w:rPr>
  </w:style>
  <w:style w:type="character" w:styleId="15">
    <w:name w:val="Strong"/>
    <w:basedOn w:val="14"/>
    <w:autoRedefine/>
    <w:qFormat/>
    <w:uiPriority w:val="0"/>
    <w:rPr>
      <w:b/>
    </w:rPr>
  </w:style>
  <w:style w:type="character" w:styleId="16">
    <w:name w:val="footnote reference"/>
    <w:basedOn w:val="14"/>
    <w:autoRedefine/>
    <w:qFormat/>
    <w:uiPriority w:val="0"/>
    <w:rPr>
      <w:vertAlign w:val="superscript"/>
    </w:rPr>
  </w:style>
  <w:style w:type="paragraph" w:styleId="17">
    <w:name w:val="List Paragraph"/>
    <w:basedOn w:val="1"/>
    <w:next w:val="6"/>
    <w:autoRedefine/>
    <w:qFormat/>
    <w:uiPriority w:val="99"/>
    <w:pPr>
      <w:ind w:firstLine="420" w:firstLineChars="200"/>
    </w:pPr>
  </w:style>
  <w:style w:type="character" w:customStyle="1" w:styleId="18">
    <w:name w:val="font31"/>
    <w:basedOn w:val="14"/>
    <w:autoRedefine/>
    <w:qFormat/>
    <w:uiPriority w:val="0"/>
    <w:rPr>
      <w:rFonts w:hint="default" w:ascii="Times New Roman" w:hAnsi="Times New Roman" w:cs="Times New Roman"/>
      <w:color w:val="000000"/>
      <w:sz w:val="22"/>
      <w:szCs w:val="22"/>
      <w:u w:val="none"/>
    </w:rPr>
  </w:style>
  <w:style w:type="paragraph" w:customStyle="1" w:styleId="19">
    <w:name w:val="excel"/>
    <w:basedOn w:val="1"/>
    <w:autoRedefine/>
    <w:qFormat/>
    <w:uiPriority w:val="0"/>
    <w:pPr>
      <w:numPr>
        <w:ilvl w:val="0"/>
        <w:numId w:val="1"/>
      </w:numPr>
      <w:spacing w:line="300" w:lineRule="exact"/>
    </w:pPr>
    <w:rPr>
      <w:rFonts w:ascii="Times New Roman" w:hAnsi="Times New Roman" w:eastAsia="方正仿宋_GBK" w:cs="Times New Roman"/>
      <w:sz w:val="24"/>
    </w:rPr>
  </w:style>
  <w:style w:type="character" w:customStyle="1" w:styleId="20">
    <w:name w:val="font21"/>
    <w:basedOn w:val="14"/>
    <w:autoRedefine/>
    <w:qFormat/>
    <w:uiPriority w:val="0"/>
    <w:rPr>
      <w:rFonts w:hint="eastAsia" w:ascii="方正仿宋_GBK" w:hAnsi="方正仿宋_GBK" w:eastAsia="方正仿宋_GBK" w:cs="方正仿宋_GBK"/>
      <w:color w:val="000000"/>
      <w:sz w:val="24"/>
      <w:szCs w:val="24"/>
      <w:u w:val="none"/>
    </w:rPr>
  </w:style>
  <w:style w:type="character" w:customStyle="1" w:styleId="21">
    <w:name w:val="font51"/>
    <w:basedOn w:val="14"/>
    <w:autoRedefine/>
    <w:qFormat/>
    <w:uiPriority w:val="0"/>
    <w:rPr>
      <w:rFonts w:hint="eastAsia" w:ascii="方正仿宋_GBK" w:hAnsi="方正仿宋_GBK" w:eastAsia="方正仿宋_GBK" w:cs="方正仿宋_GBK"/>
      <w:color w:val="000000"/>
      <w:sz w:val="24"/>
      <w:szCs w:val="24"/>
      <w:u w:val="none"/>
    </w:rPr>
  </w:style>
  <w:style w:type="character" w:customStyle="1" w:styleId="22">
    <w:name w:val="font81"/>
    <w:basedOn w:val="14"/>
    <w:autoRedefine/>
    <w:qFormat/>
    <w:uiPriority w:val="0"/>
    <w:rPr>
      <w:rFonts w:hint="default" w:ascii="Times New Roman" w:hAnsi="Times New Roman" w:cs="Times New Roman"/>
      <w:color w:val="000000"/>
      <w:sz w:val="24"/>
      <w:szCs w:val="24"/>
      <w:u w:val="none"/>
    </w:rPr>
  </w:style>
  <w:style w:type="character" w:customStyle="1" w:styleId="23">
    <w:name w:val="font71"/>
    <w:basedOn w:val="14"/>
    <w:autoRedefine/>
    <w:qFormat/>
    <w:uiPriority w:val="0"/>
    <w:rPr>
      <w:rFonts w:hint="eastAsia" w:ascii="方正仿宋_GBK" w:hAnsi="方正仿宋_GBK" w:eastAsia="方正仿宋_GBK" w:cs="方正仿宋_GBK"/>
      <w:color w:val="000000"/>
      <w:sz w:val="24"/>
      <w:szCs w:val="24"/>
      <w:u w:val="none"/>
    </w:rPr>
  </w:style>
  <w:style w:type="character" w:customStyle="1" w:styleId="24">
    <w:name w:val="font91"/>
    <w:basedOn w:val="14"/>
    <w:autoRedefine/>
    <w:qFormat/>
    <w:uiPriority w:val="0"/>
    <w:rPr>
      <w:rFonts w:hint="default" w:ascii="Times New Roman" w:hAnsi="Times New Roman" w:cs="Times New Roman"/>
      <w:color w:val="000000"/>
      <w:sz w:val="24"/>
      <w:szCs w:val="24"/>
      <w:u w:val="none"/>
    </w:rPr>
  </w:style>
  <w:style w:type="character" w:customStyle="1" w:styleId="25">
    <w:name w:val="font101"/>
    <w:basedOn w:val="14"/>
    <w:autoRedefine/>
    <w:qFormat/>
    <w:uiPriority w:val="0"/>
    <w:rPr>
      <w:rFonts w:hint="eastAsia" w:ascii="仿宋" w:hAnsi="仿宋" w:eastAsia="仿宋" w:cs="仿宋"/>
      <w:color w:val="000000"/>
      <w:sz w:val="24"/>
      <w:szCs w:val="24"/>
      <w:u w:val="none"/>
    </w:rPr>
  </w:style>
  <w:style w:type="character" w:customStyle="1" w:styleId="26">
    <w:name w:val="font112"/>
    <w:basedOn w:val="14"/>
    <w:autoRedefine/>
    <w:qFormat/>
    <w:uiPriority w:val="0"/>
    <w:rPr>
      <w:rFonts w:hint="default" w:ascii="Times New Roman" w:hAnsi="Times New Roman" w:cs="Times New Roman"/>
      <w:color w:val="000000"/>
      <w:sz w:val="24"/>
      <w:szCs w:val="24"/>
      <w:u w:val="none"/>
    </w:rPr>
  </w:style>
  <w:style w:type="character" w:customStyle="1" w:styleId="27">
    <w:name w:val="font61"/>
    <w:basedOn w:val="14"/>
    <w:autoRedefine/>
    <w:qFormat/>
    <w:uiPriority w:val="0"/>
    <w:rPr>
      <w:rFonts w:hint="default" w:ascii="Times New Roman" w:hAnsi="Times New Roman" w:cs="Times New Roman"/>
      <w:color w:val="000000"/>
      <w:sz w:val="24"/>
      <w:szCs w:val="24"/>
      <w:u w:val="none"/>
    </w:rPr>
  </w:style>
  <w:style w:type="character" w:customStyle="1" w:styleId="28">
    <w:name w:val="font121"/>
    <w:basedOn w:val="14"/>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22445</Words>
  <Characters>24281</Characters>
  <Lines>0</Lines>
  <Paragraphs>0</Paragraphs>
  <TotalTime>5</TotalTime>
  <ScaleCrop>false</ScaleCrop>
  <LinksUpToDate>false</LinksUpToDate>
  <CharactersWithSpaces>24336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2023-10-13T01:44:00Z</dcterms:created>
  <dc:creator>THINK</dc:creator>
  <cp:lastModifiedBy>qhqzz</cp:lastModifiedBy>
  <cp:lastPrinted>2024-01-04T02:20:00Z</cp:lastPrinted>
  <dcterms:modified xsi:type="dcterms:W3CDTF">2024-08-22T08:38:28Z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67B6F2818B944C9C98BAEE74F2FE9275_13</vt:lpwstr>
  </property>
</Properties>
</file>