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C498F"/>
    <w:p w14:paraId="5DBBD7C4">
      <w:pPr>
        <w:spacing w:line="300" w:lineRule="auto"/>
        <w:jc w:val="center"/>
        <w:rPr>
          <w:rFonts w:eastAsia="方正小标宋_GBK"/>
          <w:spacing w:val="-10"/>
          <w:sz w:val="56"/>
          <w:szCs w:val="56"/>
        </w:rPr>
      </w:pPr>
    </w:p>
    <w:p w14:paraId="2DC0DCF3">
      <w:pPr>
        <w:spacing w:line="300" w:lineRule="auto"/>
        <w:jc w:val="center"/>
        <w:rPr>
          <w:rFonts w:eastAsia="方正小标宋_GBK"/>
          <w:spacing w:val="-10"/>
          <w:sz w:val="44"/>
          <w:szCs w:val="44"/>
        </w:rPr>
      </w:pPr>
    </w:p>
    <w:p w14:paraId="5133BB55">
      <w:pPr>
        <w:spacing w:line="300" w:lineRule="auto"/>
        <w:jc w:val="center"/>
        <w:rPr>
          <w:rFonts w:eastAsia="方正小标宋_GBK"/>
          <w:spacing w:val="-10"/>
          <w:sz w:val="44"/>
          <w:szCs w:val="44"/>
        </w:rPr>
        <w:sectPr>
          <w:footerReference r:id="rId4" w:type="default"/>
          <w:footerReference r:id="rId5" w:type="even"/>
          <w:footnotePr>
            <w:numRestart w:val="eachPage"/>
          </w:footnotePr>
          <w:pgSz w:w="11906" w:h="16838"/>
          <w:pgMar w:top="1814" w:right="1531" w:bottom="1588" w:left="1531" w:header="851" w:footer="1304" w:gutter="0"/>
          <w:pgNumType w:start="1"/>
          <w:cols w:space="720" w:num="1"/>
          <w:titlePg/>
          <w:docGrid w:type="lines" w:linePitch="312" w:charSpace="0"/>
        </w:sectPr>
      </w:pPr>
      <w:r>
        <w:rPr>
          <w:rFonts w:hint="eastAsia" w:eastAsia="方正小标宋_GBK" w:cs="方正小标宋_GBK"/>
          <w:spacing w:val="-10"/>
          <w:sz w:val="44"/>
          <w:szCs w:val="44"/>
        </w:rPr>
        <w:t>秦淮区国民经济和社会发展第十四个五年规划和二</w:t>
      </w:r>
      <w:r>
        <w:rPr>
          <w:rFonts w:hint="eastAsia" w:eastAsia="方正小标宋_GBK" w:cs="方正小标宋_GBK"/>
          <w:color w:val="000000"/>
          <w:sz w:val="44"/>
          <w:szCs w:val="44"/>
        </w:rPr>
        <w:t>〇</w:t>
      </w:r>
      <w:r>
        <w:rPr>
          <w:rFonts w:hint="eastAsia" w:eastAsia="方正小标宋_GBK" w:cs="方正小标宋_GBK"/>
          <w:spacing w:val="-10"/>
          <w:sz w:val="44"/>
          <w:szCs w:val="44"/>
        </w:rPr>
        <w:t>三五年远景目标纲要</w:t>
      </w:r>
      <w:bookmarkStart w:id="214" w:name="_GoBack"/>
      <w:bookmarkEnd w:id="214"/>
    </w:p>
    <w:p w14:paraId="31DC4842">
      <w:pPr>
        <w:pStyle w:val="3"/>
        <w:keepNext w:val="0"/>
        <w:keepLines w:val="0"/>
        <w:spacing w:before="0" w:after="0" w:line="540" w:lineRule="exact"/>
        <w:jc w:val="center"/>
        <w:rPr>
          <w:rFonts w:ascii="方正小标宋_GBK" w:eastAsia="方正小标宋_GBK"/>
          <w:b w:val="0"/>
          <w:bCs w:val="0"/>
        </w:rPr>
      </w:pPr>
      <w:r>
        <w:rPr>
          <w:rFonts w:hint="eastAsia" w:ascii="方正小标宋_GBK" w:eastAsia="方正小标宋_GBK" w:cs="方正小标宋_GBK"/>
          <w:b w:val="0"/>
          <w:bCs w:val="0"/>
        </w:rPr>
        <w:t>序</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言</w:t>
      </w:r>
    </w:p>
    <w:p w14:paraId="7B341CDB">
      <w:pPr>
        <w:spacing w:line="540" w:lineRule="exact"/>
        <w:ind w:firstLine="629"/>
        <w:rPr>
          <w:rFonts w:eastAsia="方正仿宋_GBK"/>
          <w:sz w:val="32"/>
          <w:szCs w:val="32"/>
        </w:rPr>
      </w:pPr>
      <w:bookmarkStart w:id="0" w:name="_Toc435210079"/>
    </w:p>
    <w:bookmarkEnd w:id="0"/>
    <w:p w14:paraId="721F4764">
      <w:pPr>
        <w:spacing w:line="540" w:lineRule="exact"/>
        <w:ind w:firstLine="629"/>
        <w:rPr>
          <w:rFonts w:eastAsia="方正仿宋_GBK"/>
          <w:sz w:val="32"/>
          <w:szCs w:val="32"/>
        </w:rPr>
        <w:sectPr>
          <w:footnotePr>
            <w:numRestart w:val="eachPage"/>
          </w:footnotePr>
          <w:pgSz w:w="11906" w:h="16838"/>
          <w:pgMar w:top="1814" w:right="1531" w:bottom="1588" w:left="1531" w:header="851" w:footer="1304" w:gutter="0"/>
          <w:pgNumType w:start="1"/>
          <w:cols w:space="720" w:num="1"/>
          <w:titlePg/>
          <w:docGrid w:type="lines" w:linePitch="312" w:charSpace="0"/>
        </w:sectPr>
      </w:pPr>
      <w:r>
        <w:rPr>
          <w:rFonts w:hint="eastAsia" w:eastAsia="方正仿宋_GBK" w:cs="方正仿宋_GBK"/>
          <w:sz w:val="32"/>
          <w:szCs w:val="32"/>
        </w:rPr>
        <w:t>“十四五”时期（</w:t>
      </w:r>
      <w:r>
        <w:rPr>
          <w:rFonts w:eastAsia="方正仿宋_GBK"/>
          <w:sz w:val="32"/>
          <w:szCs w:val="32"/>
        </w:rPr>
        <w:t>2021-2025</w:t>
      </w:r>
      <w:r>
        <w:rPr>
          <w:rFonts w:hint="eastAsia" w:eastAsia="方正仿宋_GBK" w:cs="方正仿宋_GBK"/>
          <w:sz w:val="32"/>
          <w:szCs w:val="32"/>
        </w:rPr>
        <w:t>年）是我国全面建成小康社会、实现第一个百年奋斗目标之后，开启全面建设社会主义现代化国家新征程、向第二个百年奋斗目标进军的第一个五年，是秦淮深入贯彻党的十九大和十九届二中、三中、四中、五中全会精神，和省委十三届九次全会、市委十四届十一次全会精神，认真落实习近平新时代中国特色社会主义思想，特别是习近平总书记对江苏工作重要讲话指示精神，推动高质量发展，践行“争当表率、争做示范、走在前列”重大使命，建设“强富美高”新秦淮的关键五年。处在这样的历史交汇点，秦淮深入分析面临的环境、机遇和挑战，精准定位坐标系，合理排定目标轴，全面勾绘路线图，明确聚焦发力点，依据《中共秦淮区委关于制定秦淮区国民经济和社会发展第十四个五年规划和二〇三五年远景目标的建议》，编制《秦淮区国民经济和社会发展第十四个五年规划和二〇三五年远景目标纲要》。《纲要》是指导秦淮未来五年发展的蓝图和纲领，对于在新起点上坚持并优化“三中心一高地”发展定位，深化“保护更新老城，开发建设新城”总体格局，坚定“特而精、最南京”、“创新名城示范区，美丽古都核心区”目标追求，提升中心城区首位度。在开启基本实现社会主义现代化建设新征程中走在前列、当好表率具有十分重要的意义。</w:t>
      </w:r>
    </w:p>
    <w:p w14:paraId="25571D0A">
      <w:pPr>
        <w:spacing w:line="520" w:lineRule="exact"/>
        <w:jc w:val="center"/>
        <w:rPr>
          <w:rFonts w:eastAsia="华文中宋"/>
          <w:sz w:val="44"/>
          <w:szCs w:val="44"/>
        </w:rPr>
      </w:pPr>
      <w:bookmarkStart w:id="1" w:name="_Toc19888"/>
      <w:bookmarkStart w:id="2" w:name="_Toc1018"/>
      <w:bookmarkStart w:id="3" w:name="_Toc18133"/>
      <w:bookmarkStart w:id="4" w:name="_Toc435210078"/>
      <w:bookmarkStart w:id="5" w:name="_Toc24386"/>
      <w:bookmarkStart w:id="6" w:name="_Toc435213973"/>
      <w:bookmarkStart w:id="7" w:name="_Toc435210305"/>
      <w:bookmarkStart w:id="8" w:name="_Toc439776004"/>
      <w:bookmarkStart w:id="9" w:name="_Toc436730125"/>
      <w:r>
        <w:rPr>
          <w:rFonts w:hint="eastAsia" w:ascii="方正小标宋_GBK" w:eastAsia="方正小标宋_GBK" w:cs="方正小标宋_GBK"/>
          <w:sz w:val="44"/>
          <w:szCs w:val="44"/>
        </w:rPr>
        <w:t>目</w:t>
      </w:r>
      <w:r>
        <w:rPr>
          <w:rFonts w:ascii="方正小标宋_GBK" w:eastAsia="方正小标宋_GBK" w:cs="方正小标宋_GBK"/>
          <w:sz w:val="44"/>
          <w:szCs w:val="44"/>
        </w:rPr>
        <w:t xml:space="preserve"> </w:t>
      </w:r>
      <w:r>
        <w:rPr>
          <w:rFonts w:hint="eastAsia" w:ascii="方正小标宋_GBK" w:eastAsia="方正小标宋_GBK" w:cs="方正小标宋_GBK"/>
          <w:sz w:val="44"/>
          <w:szCs w:val="44"/>
        </w:rPr>
        <w:t>录</w:t>
      </w:r>
      <w:bookmarkEnd w:id="1"/>
      <w:bookmarkEnd w:id="2"/>
      <w:bookmarkEnd w:id="3"/>
    </w:p>
    <w:p w14:paraId="421D7033">
      <w:pPr>
        <w:pStyle w:val="2"/>
        <w:rPr>
          <w:rFonts w:eastAsia="华文中宋"/>
          <w:sz w:val="44"/>
          <w:szCs w:val="44"/>
        </w:rPr>
      </w:pPr>
    </w:p>
    <w:p w14:paraId="4433583A">
      <w:pPr>
        <w:pStyle w:val="9"/>
        <w:tabs>
          <w:tab w:val="right" w:leader="dot" w:pos="8834"/>
        </w:tabs>
        <w:rPr>
          <w:rFonts w:eastAsia="华文中宋"/>
          <w:sz w:val="32"/>
          <w:szCs w:val="32"/>
        </w:rPr>
      </w:pPr>
      <w:r>
        <w:rPr>
          <w:rFonts w:eastAsia="华文中宋"/>
          <w:sz w:val="32"/>
          <w:szCs w:val="32"/>
        </w:rPr>
        <w:fldChar w:fldCharType="begin"/>
      </w:r>
      <w:r>
        <w:rPr>
          <w:rFonts w:eastAsia="华文中宋"/>
          <w:sz w:val="32"/>
          <w:szCs w:val="32"/>
        </w:rPr>
        <w:instrText xml:space="preserve">TOC \o "1-3" \h \u </w:instrText>
      </w:r>
      <w:r>
        <w:rPr>
          <w:rFonts w:eastAsia="华文中宋"/>
          <w:sz w:val="32"/>
          <w:szCs w:val="32"/>
        </w:rPr>
        <w:fldChar w:fldCharType="separate"/>
      </w:r>
      <w:r>
        <w:fldChar w:fldCharType="begin"/>
      </w:r>
      <w:r>
        <w:instrText xml:space="preserve"> HYPERLINK \l "_Toc60466202" </w:instrText>
      </w:r>
      <w:r>
        <w:fldChar w:fldCharType="separate"/>
      </w:r>
      <w:r>
        <w:rPr>
          <w:rStyle w:val="15"/>
          <w:rFonts w:hint="eastAsia" w:eastAsia="方正黑体_GBK" w:cs="方正黑体_GBK"/>
          <w:sz w:val="32"/>
          <w:szCs w:val="32"/>
        </w:rPr>
        <w:t>第一篇</w:t>
      </w:r>
      <w:r>
        <w:rPr>
          <w:rStyle w:val="15"/>
          <w:rFonts w:eastAsia="方正黑体_GBK"/>
          <w:sz w:val="32"/>
          <w:szCs w:val="32"/>
        </w:rPr>
        <w:t xml:space="preserve"> </w:t>
      </w:r>
      <w:r>
        <w:rPr>
          <w:rStyle w:val="15"/>
          <w:rFonts w:hint="eastAsia" w:eastAsia="方正黑体_GBK" w:cs="方正黑体_GBK"/>
          <w:sz w:val="32"/>
          <w:szCs w:val="32"/>
        </w:rPr>
        <w:t>开启基本实现社会主义现代化建设新征程推动“强富美高”新秦淮发展再起航</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_Toc60466202 \h </w:instrText>
      </w:r>
      <w:r>
        <w:rPr>
          <w:rFonts w:eastAsia="方正黑体_GBK"/>
          <w:sz w:val="32"/>
          <w:szCs w:val="32"/>
        </w:rPr>
        <w:fldChar w:fldCharType="separate"/>
      </w:r>
      <w:r>
        <w:rPr>
          <w:rFonts w:eastAsia="方正黑体_GBK"/>
          <w:sz w:val="32"/>
          <w:szCs w:val="32"/>
        </w:rPr>
        <w:t>10</w:t>
      </w:r>
      <w:r>
        <w:rPr>
          <w:rFonts w:eastAsia="方正黑体_GBK"/>
          <w:sz w:val="32"/>
          <w:szCs w:val="32"/>
        </w:rPr>
        <w:fldChar w:fldCharType="end"/>
      </w:r>
      <w:r>
        <w:rPr>
          <w:rFonts w:eastAsia="方正黑体_GBK"/>
          <w:sz w:val="32"/>
          <w:szCs w:val="32"/>
        </w:rPr>
        <w:fldChar w:fldCharType="end"/>
      </w:r>
    </w:p>
    <w:p w14:paraId="43DB2877">
      <w:pPr>
        <w:pStyle w:val="11"/>
        <w:tabs>
          <w:tab w:val="right" w:leader="dot" w:pos="8834"/>
        </w:tabs>
        <w:ind w:left="31680"/>
        <w:rPr>
          <w:rFonts w:eastAsia="方正仿宋_GBK"/>
          <w:sz w:val="32"/>
          <w:szCs w:val="32"/>
        </w:rPr>
      </w:pPr>
      <w:r>
        <w:fldChar w:fldCharType="begin"/>
      </w:r>
      <w:r>
        <w:instrText xml:space="preserve"> HYPERLINK \l "_Toc60466203" </w:instrText>
      </w:r>
      <w:r>
        <w:fldChar w:fldCharType="separate"/>
      </w:r>
      <w:r>
        <w:rPr>
          <w:rStyle w:val="15"/>
          <w:rFonts w:hint="eastAsia" w:eastAsia="方正仿宋_GBK" w:cs="方正仿宋_GBK"/>
          <w:sz w:val="32"/>
          <w:szCs w:val="32"/>
        </w:rPr>
        <w:t>第一章</w:t>
      </w:r>
      <w:r>
        <w:rPr>
          <w:rStyle w:val="15"/>
          <w:rFonts w:eastAsia="方正仿宋_GBK"/>
          <w:sz w:val="32"/>
          <w:szCs w:val="32"/>
        </w:rPr>
        <w:t xml:space="preserve"> </w:t>
      </w:r>
      <w:r>
        <w:rPr>
          <w:rStyle w:val="15"/>
          <w:rFonts w:hint="eastAsia" w:eastAsia="方正仿宋_GBK" w:cs="方正仿宋_GBK"/>
          <w:sz w:val="32"/>
          <w:szCs w:val="32"/>
        </w:rPr>
        <w:t>发展基础</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_Toc60466203 \h </w:instrText>
      </w:r>
      <w:r>
        <w:rPr>
          <w:rFonts w:eastAsia="方正仿宋_GBK"/>
          <w:sz w:val="32"/>
          <w:szCs w:val="32"/>
        </w:rPr>
        <w:fldChar w:fldCharType="separate"/>
      </w:r>
      <w:r>
        <w:rPr>
          <w:rFonts w:eastAsia="方正仿宋_GBK"/>
          <w:sz w:val="32"/>
          <w:szCs w:val="32"/>
        </w:rPr>
        <w:t>10</w:t>
      </w:r>
      <w:r>
        <w:rPr>
          <w:rFonts w:eastAsia="方正仿宋_GBK"/>
          <w:sz w:val="32"/>
          <w:szCs w:val="32"/>
        </w:rPr>
        <w:fldChar w:fldCharType="end"/>
      </w:r>
      <w:r>
        <w:rPr>
          <w:rFonts w:eastAsia="方正仿宋_GBK"/>
          <w:sz w:val="32"/>
          <w:szCs w:val="32"/>
        </w:rPr>
        <w:fldChar w:fldCharType="end"/>
      </w:r>
    </w:p>
    <w:p w14:paraId="64B0870D">
      <w:pPr>
        <w:pStyle w:val="11"/>
        <w:tabs>
          <w:tab w:val="right" w:leader="dot" w:pos="8834"/>
        </w:tabs>
        <w:ind w:left="31680"/>
        <w:rPr>
          <w:rFonts w:eastAsia="方正仿宋_GBK"/>
          <w:sz w:val="32"/>
          <w:szCs w:val="32"/>
        </w:rPr>
      </w:pPr>
      <w:r>
        <w:fldChar w:fldCharType="begin"/>
      </w:r>
      <w:r>
        <w:instrText xml:space="preserve"> HYPERLINK \l "_Toc60466204" </w:instrText>
      </w:r>
      <w:r>
        <w:fldChar w:fldCharType="separate"/>
      </w:r>
      <w:r>
        <w:rPr>
          <w:rStyle w:val="15"/>
          <w:rFonts w:hint="eastAsia" w:eastAsia="方正仿宋_GBK" w:cs="方正仿宋_GBK"/>
          <w:sz w:val="32"/>
          <w:szCs w:val="32"/>
        </w:rPr>
        <w:t>第二章</w:t>
      </w:r>
      <w:r>
        <w:rPr>
          <w:rStyle w:val="15"/>
          <w:rFonts w:eastAsia="方正仿宋_GBK"/>
          <w:sz w:val="32"/>
          <w:szCs w:val="32"/>
        </w:rPr>
        <w:t xml:space="preserve"> </w:t>
      </w:r>
      <w:r>
        <w:rPr>
          <w:rStyle w:val="15"/>
          <w:rFonts w:hint="eastAsia" w:eastAsia="方正仿宋_GBK" w:cs="方正仿宋_GBK"/>
          <w:sz w:val="32"/>
          <w:szCs w:val="32"/>
        </w:rPr>
        <w:t>机遇挑战</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_Toc60466204 \h </w:instrText>
      </w:r>
      <w:r>
        <w:rPr>
          <w:rFonts w:eastAsia="方正仿宋_GBK"/>
          <w:sz w:val="32"/>
          <w:szCs w:val="32"/>
        </w:rPr>
        <w:fldChar w:fldCharType="separate"/>
      </w:r>
      <w:r>
        <w:rPr>
          <w:rFonts w:eastAsia="方正仿宋_GBK"/>
          <w:sz w:val="32"/>
          <w:szCs w:val="32"/>
        </w:rPr>
        <w:t>19</w:t>
      </w:r>
      <w:r>
        <w:rPr>
          <w:rFonts w:eastAsia="方正仿宋_GBK"/>
          <w:sz w:val="32"/>
          <w:szCs w:val="32"/>
        </w:rPr>
        <w:fldChar w:fldCharType="end"/>
      </w:r>
      <w:r>
        <w:rPr>
          <w:rFonts w:eastAsia="方正仿宋_GBK"/>
          <w:sz w:val="32"/>
          <w:szCs w:val="32"/>
        </w:rPr>
        <w:fldChar w:fldCharType="end"/>
      </w:r>
    </w:p>
    <w:p w14:paraId="11438A1F">
      <w:pPr>
        <w:pStyle w:val="11"/>
        <w:tabs>
          <w:tab w:val="right" w:leader="dot" w:pos="8834"/>
        </w:tabs>
        <w:ind w:left="31680"/>
        <w:rPr>
          <w:rFonts w:eastAsia="华文中宋"/>
          <w:sz w:val="32"/>
          <w:szCs w:val="32"/>
        </w:rPr>
      </w:pPr>
      <w:r>
        <w:fldChar w:fldCharType="begin"/>
      </w:r>
      <w:r>
        <w:instrText xml:space="preserve"> HYPERLINK \l "_Toc60466205" </w:instrText>
      </w:r>
      <w:r>
        <w:fldChar w:fldCharType="separate"/>
      </w:r>
      <w:r>
        <w:rPr>
          <w:rStyle w:val="15"/>
          <w:rFonts w:hint="eastAsia" w:eastAsia="方正仿宋_GBK" w:cs="方正仿宋_GBK"/>
          <w:sz w:val="32"/>
          <w:szCs w:val="32"/>
        </w:rPr>
        <w:t>第三章</w:t>
      </w:r>
      <w:r>
        <w:rPr>
          <w:rStyle w:val="15"/>
          <w:rFonts w:eastAsia="方正仿宋_GBK"/>
          <w:sz w:val="32"/>
          <w:szCs w:val="32"/>
        </w:rPr>
        <w:t xml:space="preserve"> </w:t>
      </w:r>
      <w:r>
        <w:rPr>
          <w:rStyle w:val="15"/>
          <w:rFonts w:hint="eastAsia" w:eastAsia="方正仿宋_GBK" w:cs="方正仿宋_GBK"/>
          <w:sz w:val="32"/>
          <w:szCs w:val="32"/>
        </w:rPr>
        <w:t>总体要求</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_Toc60466205 \h </w:instrText>
      </w:r>
      <w:r>
        <w:rPr>
          <w:rFonts w:eastAsia="方正仿宋_GBK"/>
          <w:sz w:val="32"/>
          <w:szCs w:val="32"/>
        </w:rPr>
        <w:fldChar w:fldCharType="separate"/>
      </w:r>
      <w:r>
        <w:rPr>
          <w:rFonts w:eastAsia="方正仿宋_GBK"/>
          <w:sz w:val="32"/>
          <w:szCs w:val="32"/>
        </w:rPr>
        <w:t>23</w:t>
      </w:r>
      <w:r>
        <w:rPr>
          <w:rFonts w:eastAsia="方正仿宋_GBK"/>
          <w:sz w:val="32"/>
          <w:szCs w:val="32"/>
        </w:rPr>
        <w:fldChar w:fldCharType="end"/>
      </w:r>
      <w:r>
        <w:rPr>
          <w:rFonts w:eastAsia="方正仿宋_GBK"/>
          <w:sz w:val="32"/>
          <w:szCs w:val="32"/>
        </w:rPr>
        <w:fldChar w:fldCharType="end"/>
      </w:r>
    </w:p>
    <w:p w14:paraId="3B1427F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"_Toc60466206"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指导思想</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23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FC4326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"_Toc60466207"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总体格局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25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834527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"_Toc60466208"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发展定位</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48553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"_Toc60466209"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二〇三五年远景目标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_Toc60466209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BE9D2B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"_Toc60466210" </w:instrText>
      </w:r>
      <w:r>
        <w:fldChar w:fldCharType="separate"/>
      </w:r>
      <w:r>
        <w:rPr>
          <w:rStyle w:val="15"/>
          <w:rFonts w:hint="eastAsia" w:ascii="Times New Roman" w:hAnsi="Times New Roman" w:eastAsia="方正楷体_GBK" w:cs="方正楷体_GBK"/>
          <w:sz w:val="32"/>
          <w:szCs w:val="32"/>
        </w:rPr>
        <w:t>第五节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“十四五”经济社会发展目标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7AB326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"_Toc60466211" </w:instrText>
      </w:r>
      <w:r>
        <w:fldChar w:fldCharType="separate"/>
      </w:r>
      <w:r>
        <w:rPr>
          <w:rStyle w:val="15"/>
          <w:rFonts w:ascii="Times New Roman" w:hAnsi="Times New Roman" w:eastAsia="方正楷体_GBK" w:cs="Times New Roman"/>
          <w:sz w:val="32"/>
          <w:szCs w:val="32"/>
        </w:rPr>
        <w:t>“</w:t>
      </w:r>
      <w:r>
        <w:rPr>
          <w:rStyle w:val="15"/>
          <w:rFonts w:hint="eastAsia" w:ascii="Times New Roman" w:hAnsi="Times New Roman" w:eastAsia="方正楷体_GBK" w:cs="方正楷体_GBK"/>
          <w:sz w:val="32"/>
          <w:szCs w:val="32"/>
        </w:rPr>
        <w:t>十四五</w:t>
      </w:r>
      <w:r>
        <w:rPr>
          <w:rStyle w:val="15"/>
          <w:rFonts w:ascii="Times New Roman" w:hAnsi="Times New Roman" w:eastAsia="方正楷体_GBK" w:cs="Times New Roman"/>
          <w:sz w:val="32"/>
          <w:szCs w:val="32"/>
        </w:rPr>
        <w:t>”</w:t>
      </w:r>
      <w:r>
        <w:rPr>
          <w:rStyle w:val="15"/>
          <w:rFonts w:hint="eastAsia" w:ascii="Times New Roman" w:hAnsi="Times New Roman" w:eastAsia="方正楷体_GBK" w:cs="方正楷体_GBK"/>
          <w:sz w:val="32"/>
          <w:szCs w:val="32"/>
        </w:rPr>
        <w:t>规划纲要经济社会发展主要指标体系表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5B28D9F">
      <w:pPr>
        <w:pStyle w:val="9"/>
        <w:tabs>
          <w:tab w:val="right" w:leader="dot" w:pos="8834"/>
        </w:tabs>
        <w:rPr>
          <w:rFonts w:eastAsia="方正黑体_GBK"/>
          <w:sz w:val="32"/>
          <w:szCs w:val="32"/>
        </w:rPr>
      </w:pPr>
      <w:r>
        <w:fldChar w:fldCharType="begin"/>
      </w:r>
      <w:r>
        <w:instrText xml:space="preserve"> HYPERLINK \l "_Toc60466212" </w:instrText>
      </w:r>
      <w:r>
        <w:fldChar w:fldCharType="separate"/>
      </w:r>
      <w:r>
        <w:rPr>
          <w:rStyle w:val="15"/>
          <w:rFonts w:hint="eastAsia" w:eastAsia="方正黑体_GBK" w:cs="方正黑体_GBK"/>
          <w:sz w:val="32"/>
          <w:szCs w:val="32"/>
        </w:rPr>
        <w:t>第二篇</w:t>
      </w:r>
      <w:r>
        <w:rPr>
          <w:rStyle w:val="15"/>
          <w:rFonts w:eastAsia="方正黑体_GBK"/>
          <w:sz w:val="32"/>
          <w:szCs w:val="32"/>
        </w:rPr>
        <w:t xml:space="preserve"> </w:t>
      </w:r>
      <w:r>
        <w:rPr>
          <w:rStyle w:val="15"/>
          <w:rFonts w:hint="eastAsia" w:eastAsia="方正黑体_GBK" w:cs="方正黑体_GBK"/>
          <w:sz w:val="32"/>
          <w:szCs w:val="32"/>
        </w:rPr>
        <w:t>硅巷高新双轮驱动，率先突破全域创新，激发秦淮科创活力新能量</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_Toc60466212 \h </w:instrText>
      </w:r>
      <w:r>
        <w:rPr>
          <w:rFonts w:eastAsia="方正黑体_GBK"/>
          <w:sz w:val="32"/>
          <w:szCs w:val="32"/>
        </w:rPr>
        <w:fldChar w:fldCharType="separate"/>
      </w:r>
      <w:r>
        <w:rPr>
          <w:rFonts w:eastAsia="方正黑体_GBK"/>
          <w:sz w:val="32"/>
          <w:szCs w:val="32"/>
        </w:rPr>
        <w:t>37</w:t>
      </w:r>
      <w:r>
        <w:rPr>
          <w:rFonts w:eastAsia="方正黑体_GBK"/>
          <w:sz w:val="32"/>
          <w:szCs w:val="32"/>
        </w:rPr>
        <w:fldChar w:fldCharType="end"/>
      </w:r>
      <w:r>
        <w:rPr>
          <w:rFonts w:eastAsia="方正黑体_GBK"/>
          <w:sz w:val="32"/>
          <w:szCs w:val="32"/>
        </w:rPr>
        <w:fldChar w:fldCharType="end"/>
      </w:r>
    </w:p>
    <w:p w14:paraId="45E68A9C">
      <w:pPr>
        <w:pStyle w:val="11"/>
        <w:tabs>
          <w:tab w:val="right" w:leader="dot" w:pos="8834"/>
        </w:tabs>
        <w:ind w:left="31680"/>
        <w:rPr>
          <w:rFonts w:eastAsia="方正仿宋_GBK"/>
          <w:sz w:val="32"/>
          <w:szCs w:val="32"/>
        </w:rPr>
      </w:pPr>
      <w:r>
        <w:fldChar w:fldCharType="begin"/>
      </w:r>
      <w:r>
        <w:instrText xml:space="preserve"> HYPERLINK \l "_Toc60466213" </w:instrText>
      </w:r>
      <w:r>
        <w:fldChar w:fldCharType="separate"/>
      </w:r>
      <w:r>
        <w:rPr>
          <w:rStyle w:val="15"/>
          <w:rFonts w:hint="eastAsia" w:eastAsia="方正仿宋_GBK" w:cs="方正仿宋_GBK"/>
          <w:sz w:val="32"/>
          <w:szCs w:val="32"/>
        </w:rPr>
        <w:t>第四章</w:t>
      </w:r>
      <w:r>
        <w:rPr>
          <w:rStyle w:val="15"/>
          <w:rFonts w:eastAsia="方正仿宋_GBK"/>
          <w:sz w:val="32"/>
          <w:szCs w:val="32"/>
        </w:rPr>
        <w:t xml:space="preserve"> </w:t>
      </w:r>
      <w:r>
        <w:rPr>
          <w:rStyle w:val="15"/>
          <w:rFonts w:hint="eastAsia" w:eastAsia="方正仿宋_GBK" w:cs="方正仿宋_GBK"/>
          <w:sz w:val="32"/>
          <w:szCs w:val="32"/>
        </w:rPr>
        <w:t>率先实现创新驱动发展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_Toc60466213 \h </w:instrText>
      </w:r>
      <w:r>
        <w:rPr>
          <w:rFonts w:eastAsia="方正仿宋_GBK"/>
          <w:sz w:val="32"/>
          <w:szCs w:val="32"/>
        </w:rPr>
        <w:fldChar w:fldCharType="separate"/>
      </w:r>
      <w:r>
        <w:rPr>
          <w:rFonts w:eastAsia="方正仿宋_GBK"/>
          <w:sz w:val="32"/>
          <w:szCs w:val="32"/>
        </w:rPr>
        <w:t>37</w:t>
      </w:r>
      <w:r>
        <w:rPr>
          <w:rFonts w:eastAsia="方正仿宋_GBK"/>
          <w:sz w:val="32"/>
          <w:szCs w:val="32"/>
        </w:rPr>
        <w:fldChar w:fldCharType="end"/>
      </w:r>
      <w:r>
        <w:rPr>
          <w:rFonts w:eastAsia="方正仿宋_GBK"/>
          <w:sz w:val="32"/>
          <w:szCs w:val="32"/>
        </w:rPr>
        <w:fldChar w:fldCharType="end"/>
      </w:r>
    </w:p>
    <w:p w14:paraId="242FDB0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提升秦淮硅巷质效</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35A769F">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"_Toc60466215"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发挥高新区主阵地作用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8990236">
      <w:pPr>
        <w:pStyle w:val="11"/>
        <w:tabs>
          <w:tab w:val="right" w:leader="dot" w:pos="8834"/>
        </w:tabs>
        <w:ind w:left="31680"/>
        <w:rPr>
          <w:rFonts w:eastAsia="方正仿宋_GBK"/>
          <w:sz w:val="32"/>
          <w:szCs w:val="32"/>
        </w:rPr>
      </w:pPr>
      <w:r>
        <w:fldChar w:fldCharType="begin"/>
      </w:r>
      <w:r>
        <w:instrText xml:space="preserve"> HYPERLINK \l "_Toc60466216" </w:instrText>
      </w:r>
      <w:r>
        <w:fldChar w:fldCharType="separate"/>
      </w:r>
      <w:r>
        <w:rPr>
          <w:rStyle w:val="15"/>
          <w:rFonts w:hint="eastAsia" w:eastAsia="方正仿宋_GBK" w:cs="方正仿宋_GBK"/>
          <w:sz w:val="32"/>
          <w:szCs w:val="32"/>
        </w:rPr>
        <w:t>第五章</w:t>
      </w:r>
      <w:r>
        <w:rPr>
          <w:rStyle w:val="15"/>
          <w:rFonts w:eastAsia="方正仿宋_GBK"/>
          <w:sz w:val="32"/>
          <w:szCs w:val="32"/>
        </w:rPr>
        <w:t xml:space="preserve"> </w:t>
      </w:r>
      <w:r>
        <w:rPr>
          <w:rStyle w:val="15"/>
          <w:rFonts w:hint="eastAsia" w:eastAsia="方正仿宋_GBK" w:cs="方正仿宋_GBK"/>
          <w:sz w:val="32"/>
          <w:szCs w:val="32"/>
        </w:rPr>
        <w:t>培育高能级科创森林</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_Toc60466216 \h </w:instrText>
      </w:r>
      <w:r>
        <w:rPr>
          <w:rFonts w:eastAsia="方正仿宋_GBK"/>
          <w:sz w:val="32"/>
          <w:szCs w:val="32"/>
        </w:rPr>
        <w:fldChar w:fldCharType="separate"/>
      </w:r>
      <w:r>
        <w:rPr>
          <w:rFonts w:eastAsia="方正仿宋_GBK"/>
          <w:sz w:val="32"/>
          <w:szCs w:val="32"/>
        </w:rPr>
        <w:t>39</w:t>
      </w:r>
      <w:r>
        <w:rPr>
          <w:rFonts w:eastAsia="方正仿宋_GBK"/>
          <w:sz w:val="32"/>
          <w:szCs w:val="32"/>
        </w:rPr>
        <w:fldChar w:fldCharType="end"/>
      </w:r>
      <w:r>
        <w:rPr>
          <w:rFonts w:eastAsia="方正仿宋_GBK"/>
          <w:sz w:val="32"/>
          <w:szCs w:val="32"/>
        </w:rPr>
        <w:fldChar w:fldCharType="end"/>
      </w:r>
    </w:p>
    <w:p w14:paraId="03FBB4C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"_Toc60466217"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做强新型研发机构</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39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0B017AC">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"_Toc60466218"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释放企业创新动能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_Toc60466218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C43E243">
      <w:pPr>
        <w:pStyle w:val="11"/>
        <w:tabs>
          <w:tab w:val="right" w:leader="dot" w:pos="8834"/>
        </w:tabs>
        <w:ind w:left="31680"/>
        <w:rPr>
          <w:rFonts w:eastAsia="方正仿宋_GBK"/>
          <w:sz w:val="32"/>
          <w:szCs w:val="32"/>
        </w:rPr>
      </w:pPr>
      <w:r>
        <w:fldChar w:fldCharType="begin"/>
      </w:r>
      <w:r>
        <w:instrText xml:space="preserve"> HYPERLINK \l "_Toc60466220" </w:instrText>
      </w:r>
      <w:r>
        <w:fldChar w:fldCharType="separate"/>
      </w:r>
      <w:r>
        <w:rPr>
          <w:rStyle w:val="15"/>
          <w:rFonts w:hint="eastAsia" w:eastAsia="方正仿宋_GBK" w:cs="方正仿宋_GBK"/>
          <w:sz w:val="32"/>
          <w:szCs w:val="32"/>
        </w:rPr>
        <w:t>第六章</w:t>
      </w:r>
      <w:r>
        <w:rPr>
          <w:rStyle w:val="15"/>
          <w:rFonts w:eastAsia="方正仿宋_GBK"/>
          <w:sz w:val="32"/>
          <w:szCs w:val="32"/>
        </w:rPr>
        <w:t xml:space="preserve"> </w:t>
      </w:r>
      <w:r>
        <w:rPr>
          <w:rStyle w:val="15"/>
          <w:rFonts w:hint="eastAsia" w:eastAsia="方正仿宋_GBK" w:cs="方正仿宋_GBK"/>
          <w:sz w:val="32"/>
          <w:szCs w:val="32"/>
        </w:rPr>
        <w:t>吸纳高层次创新创业人才</w:t>
      </w:r>
      <w:r>
        <w:rPr>
          <w:rFonts w:eastAsia="方正仿宋_GBK"/>
          <w:sz w:val="32"/>
          <w:szCs w:val="32"/>
        </w:rPr>
        <w:tab/>
      </w:r>
      <w:r>
        <w:rPr>
          <w:rFonts w:eastAsia="方正仿宋_GBK"/>
          <w:sz w:val="32"/>
          <w:szCs w:val="32"/>
        </w:rPr>
        <w:t>3</w:t>
      </w:r>
      <w:r>
        <w:rPr>
          <w:rFonts w:eastAsia="方正仿宋_GBK"/>
          <w:sz w:val="32"/>
          <w:szCs w:val="32"/>
        </w:rPr>
        <w:fldChar w:fldCharType="end"/>
      </w:r>
      <w:r>
        <w:rPr>
          <w:rFonts w:eastAsia="方正仿宋_GBK"/>
          <w:sz w:val="32"/>
          <w:szCs w:val="32"/>
        </w:rPr>
        <w:t>3</w:t>
      </w:r>
    </w:p>
    <w:p w14:paraId="26AB935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打造区域产才融合高地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DC6DF4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集聚全球创新智力资源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17225EE">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"_Toc60466223"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提供全域高标人才服务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E8F995">
      <w:pPr>
        <w:pStyle w:val="11"/>
        <w:tabs>
          <w:tab w:val="right" w:leader="dot" w:pos="8834"/>
        </w:tabs>
        <w:ind w:left="31680"/>
        <w:rPr>
          <w:rFonts w:eastAsia="方正仿宋_GBK"/>
          <w:sz w:val="32"/>
          <w:szCs w:val="32"/>
        </w:rPr>
      </w:pPr>
      <w:r>
        <w:fldChar w:fldCharType="begin"/>
      </w:r>
      <w:r>
        <w:instrText xml:space="preserve"> HYPERLINK \l "_Toc60466224" </w:instrText>
      </w:r>
      <w:r>
        <w:fldChar w:fldCharType="separate"/>
      </w:r>
      <w:r>
        <w:rPr>
          <w:rStyle w:val="15"/>
          <w:rFonts w:hint="eastAsia" w:eastAsia="方正仿宋_GBK" w:cs="方正仿宋_GBK"/>
          <w:sz w:val="32"/>
          <w:szCs w:val="32"/>
        </w:rPr>
        <w:t>第七章</w:t>
      </w:r>
      <w:r>
        <w:rPr>
          <w:rStyle w:val="15"/>
          <w:rFonts w:eastAsia="方正仿宋_GBK"/>
          <w:sz w:val="32"/>
          <w:szCs w:val="32"/>
        </w:rPr>
        <w:t xml:space="preserve"> </w:t>
      </w:r>
      <w:r>
        <w:rPr>
          <w:rStyle w:val="15"/>
          <w:rFonts w:hint="eastAsia" w:eastAsia="方正仿宋_GBK" w:cs="方正仿宋_GBK"/>
          <w:sz w:val="32"/>
          <w:szCs w:val="32"/>
        </w:rPr>
        <w:t>涵养高品质创新生态</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_Toc60466224 \h </w:instrText>
      </w:r>
      <w:r>
        <w:rPr>
          <w:rFonts w:eastAsia="方正仿宋_GBK"/>
          <w:sz w:val="32"/>
          <w:szCs w:val="32"/>
        </w:rPr>
        <w:fldChar w:fldCharType="separate"/>
      </w:r>
      <w:r>
        <w:rPr>
          <w:rFonts w:eastAsia="方正仿宋_GBK"/>
          <w:sz w:val="32"/>
          <w:szCs w:val="32"/>
        </w:rPr>
        <w:t>44</w:t>
      </w:r>
      <w:r>
        <w:rPr>
          <w:rFonts w:eastAsia="方正仿宋_GBK"/>
          <w:sz w:val="32"/>
          <w:szCs w:val="32"/>
        </w:rPr>
        <w:fldChar w:fldCharType="end"/>
      </w:r>
      <w:r>
        <w:rPr>
          <w:rFonts w:eastAsia="方正仿宋_GBK"/>
          <w:sz w:val="32"/>
          <w:szCs w:val="32"/>
        </w:rPr>
        <w:fldChar w:fldCharType="end"/>
      </w:r>
    </w:p>
    <w:p w14:paraId="310FB01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提升创新服务能力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B37383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强化知识产权保护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E1B106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"_Toc60466227"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增强科创金融支撑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6D3AD7E">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"_Toc60466228"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促进成果转化应用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_Toc60466228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FAA1050">
      <w:pPr>
        <w:pStyle w:val="9"/>
        <w:tabs>
          <w:tab w:val="right" w:leader="dot" w:pos="8834"/>
        </w:tabs>
        <w:rPr>
          <w:rFonts w:eastAsia="方正黑体_GBK"/>
          <w:sz w:val="32"/>
          <w:szCs w:val="32"/>
        </w:rPr>
      </w:pPr>
      <w:r>
        <w:fldChar w:fldCharType="begin"/>
      </w:r>
      <w:r>
        <w:instrText xml:space="preserve"> HYPERLINK \l "_Toc60466229" </w:instrText>
      </w:r>
      <w:r>
        <w:fldChar w:fldCharType="separate"/>
      </w:r>
      <w:r>
        <w:rPr>
          <w:rStyle w:val="15"/>
          <w:rFonts w:hint="eastAsia" w:eastAsia="方正黑体_GBK" w:cs="方正黑体_GBK"/>
          <w:sz w:val="32"/>
          <w:szCs w:val="32"/>
        </w:rPr>
        <w:t>第三篇</w:t>
      </w:r>
      <w:r>
        <w:rPr>
          <w:rStyle w:val="15"/>
          <w:rFonts w:eastAsia="方正黑体_GBK"/>
          <w:sz w:val="32"/>
          <w:szCs w:val="32"/>
        </w:rPr>
        <w:t xml:space="preserve"> </w:t>
      </w:r>
      <w:r>
        <w:rPr>
          <w:rStyle w:val="15"/>
          <w:rFonts w:hint="eastAsia" w:eastAsia="方正黑体_GBK" w:cs="方正黑体_GBK"/>
          <w:sz w:val="32"/>
          <w:szCs w:val="32"/>
        </w:rPr>
        <w:t>南部新城发展起飞，主导产业质效双增，增强秦淮经济活力新动能</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_Toc60466229 \h </w:instrText>
      </w:r>
      <w:r>
        <w:rPr>
          <w:rFonts w:eastAsia="方正黑体_GBK"/>
          <w:sz w:val="32"/>
          <w:szCs w:val="32"/>
        </w:rPr>
        <w:fldChar w:fldCharType="separate"/>
      </w:r>
      <w:r>
        <w:rPr>
          <w:rFonts w:eastAsia="方正黑体_GBK"/>
          <w:sz w:val="32"/>
          <w:szCs w:val="32"/>
        </w:rPr>
        <w:t>47</w:t>
      </w:r>
      <w:r>
        <w:rPr>
          <w:rFonts w:eastAsia="方正黑体_GBK"/>
          <w:sz w:val="32"/>
          <w:szCs w:val="32"/>
        </w:rPr>
        <w:fldChar w:fldCharType="end"/>
      </w:r>
      <w:r>
        <w:rPr>
          <w:rFonts w:eastAsia="方正黑体_GBK"/>
          <w:sz w:val="32"/>
          <w:szCs w:val="32"/>
        </w:rPr>
        <w:fldChar w:fldCharType="end"/>
      </w:r>
    </w:p>
    <w:p w14:paraId="11EFC977">
      <w:pPr>
        <w:pStyle w:val="11"/>
        <w:tabs>
          <w:tab w:val="right" w:leader="dot" w:pos="8834"/>
        </w:tabs>
        <w:ind w:left="31680"/>
        <w:rPr>
          <w:rFonts w:eastAsia="方正仿宋_GBK"/>
          <w:sz w:val="32"/>
          <w:szCs w:val="32"/>
        </w:rPr>
      </w:pPr>
      <w:r>
        <w:fldChar w:fldCharType="begin"/>
      </w:r>
      <w:r>
        <w:instrText xml:space="preserve"> HYPERLINK \l "_Toc60466230" </w:instrText>
      </w:r>
      <w:r>
        <w:fldChar w:fldCharType="separate"/>
      </w:r>
      <w:r>
        <w:rPr>
          <w:rStyle w:val="15"/>
          <w:rFonts w:hint="eastAsia" w:eastAsia="方正仿宋_GBK" w:cs="方正仿宋_GBK"/>
          <w:sz w:val="32"/>
          <w:szCs w:val="32"/>
        </w:rPr>
        <w:t>第八章</w:t>
      </w:r>
      <w:r>
        <w:rPr>
          <w:rStyle w:val="15"/>
          <w:rFonts w:eastAsia="方正仿宋_GBK"/>
          <w:sz w:val="32"/>
          <w:szCs w:val="32"/>
        </w:rPr>
        <w:t xml:space="preserve"> </w:t>
      </w:r>
      <w:r>
        <w:rPr>
          <w:rStyle w:val="15"/>
          <w:rFonts w:hint="eastAsia" w:eastAsia="方正仿宋_GBK" w:cs="方正仿宋_GBK"/>
          <w:sz w:val="32"/>
          <w:szCs w:val="32"/>
        </w:rPr>
        <w:t>释放南部新城主导产业动能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_Toc60466230 \h </w:instrText>
      </w:r>
      <w:r>
        <w:rPr>
          <w:rFonts w:eastAsia="方正仿宋_GBK"/>
          <w:sz w:val="32"/>
          <w:szCs w:val="32"/>
        </w:rPr>
        <w:fldChar w:fldCharType="separate"/>
      </w:r>
      <w:r>
        <w:rPr>
          <w:rFonts w:eastAsia="方正仿宋_GBK"/>
          <w:sz w:val="32"/>
          <w:szCs w:val="32"/>
        </w:rPr>
        <w:t>48</w:t>
      </w:r>
      <w:r>
        <w:rPr>
          <w:rFonts w:eastAsia="方正仿宋_GBK"/>
          <w:sz w:val="32"/>
          <w:szCs w:val="32"/>
        </w:rPr>
        <w:fldChar w:fldCharType="end"/>
      </w:r>
      <w:r>
        <w:rPr>
          <w:rFonts w:eastAsia="方正仿宋_GBK"/>
          <w:sz w:val="32"/>
          <w:szCs w:val="32"/>
        </w:rPr>
        <w:fldChar w:fldCharType="end"/>
      </w:r>
    </w:p>
    <w:p w14:paraId="0ED68572">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构建都市圈超级总部集聚区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FE91C8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打造现代时尚文化矽谷</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E6BCDE">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"_Toc60466233"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打造健康休闲产业集群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49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39EBBA1">
      <w:pPr>
        <w:pStyle w:val="11"/>
        <w:tabs>
          <w:tab w:val="right" w:leader="dot" w:pos="8834"/>
        </w:tabs>
        <w:ind w:left="31680"/>
        <w:rPr>
          <w:rFonts w:eastAsia="方正仿宋_GBK"/>
          <w:sz w:val="32"/>
          <w:szCs w:val="32"/>
        </w:rPr>
      </w:pPr>
      <w:r>
        <w:fldChar w:fldCharType="begin"/>
      </w:r>
      <w:r>
        <w:instrText xml:space="preserve"> HYPERLINK \l "_Toc60466234" </w:instrText>
      </w:r>
      <w:r>
        <w:fldChar w:fldCharType="separate"/>
      </w:r>
      <w:r>
        <w:rPr>
          <w:rStyle w:val="15"/>
          <w:rFonts w:hint="eastAsia" w:eastAsia="方正仿宋_GBK" w:cs="方正仿宋_GBK"/>
          <w:sz w:val="32"/>
          <w:szCs w:val="32"/>
        </w:rPr>
        <w:t>第九章</w:t>
      </w:r>
      <w:r>
        <w:rPr>
          <w:rStyle w:val="15"/>
          <w:rFonts w:eastAsia="方正仿宋_GBK"/>
          <w:sz w:val="32"/>
          <w:szCs w:val="32"/>
        </w:rPr>
        <w:t xml:space="preserve"> </w:t>
      </w:r>
      <w:r>
        <w:rPr>
          <w:rStyle w:val="15"/>
          <w:rFonts w:hint="eastAsia" w:eastAsia="方正仿宋_GBK" w:cs="方正仿宋_GBK"/>
          <w:sz w:val="32"/>
          <w:szCs w:val="32"/>
        </w:rPr>
        <w:t>促进传统产业优化升级</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_Toc60466234 \h </w:instrText>
      </w:r>
      <w:r>
        <w:rPr>
          <w:rFonts w:eastAsia="方正仿宋_GBK"/>
          <w:sz w:val="32"/>
          <w:szCs w:val="32"/>
        </w:rPr>
        <w:fldChar w:fldCharType="separate"/>
      </w:r>
      <w:r>
        <w:rPr>
          <w:rFonts w:eastAsia="方正仿宋_GBK"/>
          <w:sz w:val="32"/>
          <w:szCs w:val="32"/>
        </w:rPr>
        <w:t>50</w:t>
      </w:r>
      <w:r>
        <w:rPr>
          <w:rFonts w:eastAsia="方正仿宋_GBK"/>
          <w:sz w:val="32"/>
          <w:szCs w:val="32"/>
        </w:rPr>
        <w:fldChar w:fldCharType="end"/>
      </w:r>
      <w:r>
        <w:rPr>
          <w:rFonts w:eastAsia="方正仿宋_GBK"/>
          <w:sz w:val="32"/>
          <w:szCs w:val="32"/>
        </w:rPr>
        <w:fldChar w:fldCharType="end"/>
      </w:r>
    </w:p>
    <w:p w14:paraId="7519863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促进商贸商务转型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9C8F5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突出现代金融特色</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DCB46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"_Toc60466237"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推进文旅商融合发展</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BB805B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"_Toc60466238"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做强软件和信息服务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_Toc60466238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E192031">
      <w:pPr>
        <w:pStyle w:val="11"/>
        <w:tabs>
          <w:tab w:val="right" w:leader="dot" w:pos="8834"/>
        </w:tabs>
        <w:ind w:left="31680"/>
        <w:rPr>
          <w:rFonts w:eastAsia="方正仿宋_GBK"/>
          <w:sz w:val="32"/>
          <w:szCs w:val="32"/>
        </w:rPr>
      </w:pPr>
      <w:r>
        <w:fldChar w:fldCharType="begin"/>
      </w:r>
      <w:r>
        <w:instrText xml:space="preserve"> HYPERLINK \l "_Toc60466239" </w:instrText>
      </w:r>
      <w:r>
        <w:fldChar w:fldCharType="separate"/>
      </w:r>
      <w:r>
        <w:rPr>
          <w:rStyle w:val="15"/>
          <w:rFonts w:hint="eastAsia" w:eastAsia="方正仿宋_GBK" w:cs="方正仿宋_GBK"/>
          <w:sz w:val="32"/>
          <w:szCs w:val="32"/>
        </w:rPr>
        <w:t>第十章</w:t>
      </w:r>
      <w:r>
        <w:rPr>
          <w:rStyle w:val="15"/>
          <w:rFonts w:eastAsia="方正仿宋_GBK"/>
          <w:sz w:val="32"/>
          <w:szCs w:val="32"/>
        </w:rPr>
        <w:t xml:space="preserve"> </w:t>
      </w:r>
      <w:r>
        <w:rPr>
          <w:rStyle w:val="15"/>
          <w:rFonts w:hint="eastAsia" w:eastAsia="方正仿宋_GBK" w:cs="方正仿宋_GBK"/>
          <w:sz w:val="32"/>
          <w:szCs w:val="32"/>
        </w:rPr>
        <w:t>激发新兴产业发展潜能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_Toc60466239 \h </w:instrText>
      </w:r>
      <w:r>
        <w:rPr>
          <w:rFonts w:eastAsia="方正仿宋_GBK"/>
          <w:sz w:val="32"/>
          <w:szCs w:val="32"/>
        </w:rPr>
        <w:fldChar w:fldCharType="separate"/>
      </w:r>
      <w:r>
        <w:rPr>
          <w:rFonts w:eastAsia="方正仿宋_GBK"/>
          <w:sz w:val="32"/>
          <w:szCs w:val="32"/>
        </w:rPr>
        <w:t>53</w:t>
      </w:r>
      <w:r>
        <w:rPr>
          <w:rFonts w:eastAsia="方正仿宋_GBK"/>
          <w:sz w:val="32"/>
          <w:szCs w:val="32"/>
        </w:rPr>
        <w:fldChar w:fldCharType="end"/>
      </w:r>
      <w:r>
        <w:rPr>
          <w:rFonts w:eastAsia="方正仿宋_GBK"/>
          <w:sz w:val="32"/>
          <w:szCs w:val="32"/>
        </w:rPr>
        <w:fldChar w:fldCharType="end"/>
      </w:r>
    </w:p>
    <w:p w14:paraId="74C2241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"_Toc60466240"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加速布局认知物联网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5F2E8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"_Toc60466241"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提速发展车联网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6A2F0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"_Toc60466242"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加紧突破人工智能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3735BFD">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"_Toc60466243"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深入推进大健康</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C5ED5AE">
      <w:pPr>
        <w:pStyle w:val="11"/>
        <w:tabs>
          <w:tab w:val="right" w:leader="dot" w:pos="8834"/>
        </w:tabs>
        <w:ind w:left="31680"/>
        <w:rPr>
          <w:rFonts w:eastAsia="方正仿宋_GBK"/>
          <w:sz w:val="32"/>
          <w:szCs w:val="32"/>
        </w:rPr>
      </w:pPr>
      <w:r>
        <w:fldChar w:fldCharType="begin"/>
      </w:r>
      <w:r>
        <w:instrText xml:space="preserve"> HYPERLINK \l "_Toc60466244" </w:instrText>
      </w:r>
      <w:r>
        <w:fldChar w:fldCharType="separate"/>
      </w:r>
      <w:r>
        <w:rPr>
          <w:rStyle w:val="15"/>
          <w:rFonts w:hint="eastAsia" w:eastAsia="方正仿宋_GBK" w:cs="方正仿宋_GBK"/>
          <w:sz w:val="32"/>
          <w:szCs w:val="32"/>
        </w:rPr>
        <w:t>第十一章</w:t>
      </w:r>
      <w:r>
        <w:rPr>
          <w:rStyle w:val="15"/>
          <w:rFonts w:eastAsia="方正仿宋_GBK"/>
          <w:sz w:val="32"/>
          <w:szCs w:val="32"/>
        </w:rPr>
        <w:t xml:space="preserve"> </w:t>
      </w:r>
      <w:r>
        <w:rPr>
          <w:rStyle w:val="15"/>
          <w:rFonts w:hint="eastAsia" w:eastAsia="方正仿宋_GBK" w:cs="方正仿宋_GBK"/>
          <w:sz w:val="32"/>
          <w:szCs w:val="32"/>
        </w:rPr>
        <w:t>加快发展现代都市工业</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_Toc60466244 \h </w:instrText>
      </w:r>
      <w:r>
        <w:rPr>
          <w:rFonts w:eastAsia="方正仿宋_GBK"/>
          <w:sz w:val="32"/>
          <w:szCs w:val="32"/>
        </w:rPr>
        <w:fldChar w:fldCharType="separate"/>
      </w:r>
      <w:r>
        <w:rPr>
          <w:rFonts w:eastAsia="方正仿宋_GBK"/>
          <w:sz w:val="32"/>
          <w:szCs w:val="32"/>
        </w:rPr>
        <w:t>54</w:t>
      </w:r>
      <w:r>
        <w:rPr>
          <w:rFonts w:eastAsia="方正仿宋_GBK"/>
          <w:sz w:val="32"/>
          <w:szCs w:val="32"/>
        </w:rPr>
        <w:fldChar w:fldCharType="end"/>
      </w:r>
      <w:r>
        <w:rPr>
          <w:rFonts w:eastAsia="方正仿宋_GBK"/>
          <w:sz w:val="32"/>
          <w:szCs w:val="32"/>
        </w:rPr>
        <w:fldChar w:fldCharType="end"/>
      </w:r>
    </w:p>
    <w:p w14:paraId="7BE37E0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推进智能制造发展</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234678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"_Toc60466246"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引导传统工企转型升级</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25D1AD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"_Toc60466247"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打造都市工业集群</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_Toc60466247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CEB8616">
      <w:pPr>
        <w:pStyle w:val="9"/>
        <w:tabs>
          <w:tab w:val="right" w:leader="dot" w:pos="8834"/>
        </w:tabs>
        <w:rPr>
          <w:rFonts w:eastAsia="方正黑体_GBK"/>
          <w:sz w:val="32"/>
          <w:szCs w:val="32"/>
        </w:rPr>
      </w:pPr>
      <w:r>
        <w:fldChar w:fldCharType="begin"/>
      </w:r>
      <w:r>
        <w:instrText xml:space="preserve"> HYPERLINK \l "_Toc60466248" </w:instrText>
      </w:r>
      <w:r>
        <w:fldChar w:fldCharType="separate"/>
      </w:r>
      <w:r>
        <w:rPr>
          <w:rStyle w:val="15"/>
          <w:rFonts w:hint="eastAsia" w:eastAsia="方正黑体_GBK" w:cs="方正黑体_GBK"/>
          <w:sz w:val="32"/>
          <w:szCs w:val="32"/>
        </w:rPr>
        <w:t>第四篇</w:t>
      </w:r>
      <w:r>
        <w:rPr>
          <w:rStyle w:val="15"/>
          <w:rFonts w:eastAsia="方正黑体_GBK"/>
          <w:sz w:val="32"/>
          <w:szCs w:val="32"/>
        </w:rPr>
        <w:t xml:space="preserve"> </w:t>
      </w:r>
      <w:r>
        <w:rPr>
          <w:rStyle w:val="15"/>
          <w:rFonts w:hint="eastAsia" w:eastAsia="方正黑体_GBK" w:cs="方正黑体_GBK"/>
          <w:sz w:val="32"/>
          <w:szCs w:val="32"/>
        </w:rPr>
        <w:t>凸显四大板块特色，实现秦淮水系联动，拓展秦淮空间活力新腹地</w:t>
      </w:r>
      <w:r>
        <w:rPr>
          <w:rFonts w:eastAsia="方正黑体_GBK"/>
          <w:sz w:val="32"/>
          <w:szCs w:val="32"/>
        </w:rPr>
        <w:tab/>
      </w:r>
      <w:r>
        <w:rPr>
          <w:rFonts w:eastAsia="方正黑体_GBK"/>
          <w:sz w:val="32"/>
          <w:szCs w:val="32"/>
        </w:rPr>
        <w:fldChar w:fldCharType="begin"/>
      </w:r>
      <w:r>
        <w:rPr>
          <w:rFonts w:eastAsia="方正黑体_GBK"/>
          <w:sz w:val="32"/>
          <w:szCs w:val="32"/>
        </w:rPr>
        <w:instrText xml:space="preserve"> PAGEREF _Toc60466248 \h </w:instrText>
      </w:r>
      <w:r>
        <w:rPr>
          <w:rFonts w:eastAsia="方正黑体_GBK"/>
          <w:sz w:val="32"/>
          <w:szCs w:val="32"/>
        </w:rPr>
        <w:fldChar w:fldCharType="separate"/>
      </w:r>
      <w:r>
        <w:rPr>
          <w:rFonts w:eastAsia="方正黑体_GBK"/>
          <w:sz w:val="32"/>
          <w:szCs w:val="32"/>
        </w:rPr>
        <w:t>56</w:t>
      </w:r>
      <w:r>
        <w:rPr>
          <w:rFonts w:eastAsia="方正黑体_GBK"/>
          <w:sz w:val="32"/>
          <w:szCs w:val="32"/>
        </w:rPr>
        <w:fldChar w:fldCharType="end"/>
      </w:r>
      <w:r>
        <w:rPr>
          <w:rFonts w:eastAsia="方正黑体_GBK"/>
          <w:sz w:val="32"/>
          <w:szCs w:val="32"/>
        </w:rPr>
        <w:fldChar w:fldCharType="end"/>
      </w:r>
    </w:p>
    <w:p w14:paraId="6B6CBA4B">
      <w:pPr>
        <w:pStyle w:val="11"/>
        <w:tabs>
          <w:tab w:val="right" w:leader="dot" w:pos="8834"/>
        </w:tabs>
        <w:ind w:left="31680"/>
        <w:rPr>
          <w:rFonts w:eastAsia="方正仿宋_GBK"/>
          <w:sz w:val="32"/>
          <w:szCs w:val="32"/>
        </w:rPr>
      </w:pPr>
      <w:r>
        <w:fldChar w:fldCharType="begin"/>
      </w:r>
      <w:r>
        <w:instrText xml:space="preserve"> HYPERLINK \l "_Toc60466249" </w:instrText>
      </w:r>
      <w:r>
        <w:fldChar w:fldCharType="separate"/>
      </w:r>
      <w:r>
        <w:rPr>
          <w:rStyle w:val="15"/>
          <w:rFonts w:hint="eastAsia" w:eastAsia="方正仿宋_GBK" w:cs="方正仿宋_GBK"/>
          <w:sz w:val="32"/>
          <w:szCs w:val="32"/>
        </w:rPr>
        <w:t>第十二章</w:t>
      </w:r>
      <w:r>
        <w:rPr>
          <w:rStyle w:val="15"/>
          <w:rFonts w:eastAsia="方正仿宋_GBK"/>
          <w:sz w:val="32"/>
          <w:szCs w:val="32"/>
        </w:rPr>
        <w:t xml:space="preserve"> </w:t>
      </w:r>
      <w:r>
        <w:rPr>
          <w:rStyle w:val="15"/>
          <w:rFonts w:hint="eastAsia" w:eastAsia="方正仿宋_GBK" w:cs="方正仿宋_GBK"/>
          <w:sz w:val="32"/>
          <w:szCs w:val="32"/>
        </w:rPr>
        <w:t>优化四大板块功能布局</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_Toc60466249 \h </w:instrText>
      </w:r>
      <w:r>
        <w:rPr>
          <w:rFonts w:eastAsia="方正仿宋_GBK"/>
          <w:sz w:val="32"/>
          <w:szCs w:val="32"/>
        </w:rPr>
        <w:fldChar w:fldCharType="separate"/>
      </w:r>
      <w:r>
        <w:rPr>
          <w:rFonts w:eastAsia="方正仿宋_GBK"/>
          <w:sz w:val="32"/>
          <w:szCs w:val="32"/>
        </w:rPr>
        <w:t>57</w:t>
      </w:r>
      <w:r>
        <w:rPr>
          <w:rFonts w:eastAsia="方正仿宋_GBK"/>
          <w:sz w:val="32"/>
          <w:szCs w:val="32"/>
        </w:rPr>
        <w:fldChar w:fldCharType="end"/>
      </w:r>
      <w:r>
        <w:rPr>
          <w:rFonts w:eastAsia="方正仿宋_GBK"/>
          <w:sz w:val="32"/>
          <w:szCs w:val="32"/>
        </w:rPr>
        <w:fldChar w:fldCharType="end"/>
      </w:r>
    </w:p>
    <w:p w14:paraId="0DF3889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"_Toc60466250"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新街口现代金融商务区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B2872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"_Toc60466251"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老城南文旅商融合体验区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42CAEF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"_Toc60466252"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东部高新技术产业示范区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59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EA0F40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"_Toc60466253"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南部新城超级总部基地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D5D2FAA">
      <w:pPr>
        <w:pStyle w:val="11"/>
        <w:tabs>
          <w:tab w:val="right" w:leader="dot" w:pos="8834"/>
        </w:tabs>
        <w:ind w:left="31680"/>
        <w:rPr>
          <w:rFonts w:eastAsia="方正仿宋_GBK"/>
          <w:sz w:val="32"/>
          <w:szCs w:val="32"/>
        </w:rPr>
      </w:pPr>
      <w:r>
        <w:fldChar w:fldCharType="begin"/>
      </w:r>
      <w:r>
        <w:instrText xml:space="preserve"> HYPERLINK \l "_Toc60466254" </w:instrText>
      </w:r>
      <w:r>
        <w:fldChar w:fldCharType="separate"/>
      </w:r>
      <w:r>
        <w:rPr>
          <w:rStyle w:val="15"/>
          <w:rFonts w:hint="eastAsia" w:eastAsia="方正仿宋_GBK" w:cs="方正仿宋_GBK"/>
          <w:sz w:val="32"/>
          <w:szCs w:val="32"/>
        </w:rPr>
        <w:t>第十三章</w:t>
      </w:r>
      <w:r>
        <w:rPr>
          <w:rStyle w:val="15"/>
          <w:rFonts w:eastAsia="方正仿宋_GBK"/>
          <w:sz w:val="32"/>
          <w:szCs w:val="32"/>
        </w:rPr>
        <w:t xml:space="preserve"> </w:t>
      </w:r>
      <w:r>
        <w:rPr>
          <w:rStyle w:val="15"/>
          <w:rFonts w:hint="eastAsia" w:eastAsia="方正仿宋_GBK" w:cs="方正仿宋_GBK"/>
          <w:sz w:val="32"/>
          <w:szCs w:val="32"/>
        </w:rPr>
        <w:t>打造沿秦淮河产城融合水岸示范带</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_Toc60466254 \h </w:instrText>
      </w:r>
      <w:r>
        <w:rPr>
          <w:rFonts w:eastAsia="方正仿宋_GBK"/>
          <w:sz w:val="32"/>
          <w:szCs w:val="32"/>
        </w:rPr>
        <w:fldChar w:fldCharType="separate"/>
      </w:r>
      <w:r>
        <w:rPr>
          <w:rFonts w:eastAsia="方正仿宋_GBK"/>
          <w:sz w:val="32"/>
          <w:szCs w:val="32"/>
        </w:rPr>
        <w:t>62</w:t>
      </w:r>
      <w:r>
        <w:rPr>
          <w:rFonts w:eastAsia="方正仿宋_GBK"/>
          <w:sz w:val="32"/>
          <w:szCs w:val="32"/>
        </w:rPr>
        <w:fldChar w:fldCharType="end"/>
      </w:r>
      <w:r>
        <w:rPr>
          <w:rFonts w:eastAsia="方正仿宋_GBK"/>
          <w:sz w:val="32"/>
          <w:szCs w:val="32"/>
        </w:rPr>
        <w:fldChar w:fldCharType="end"/>
      </w:r>
    </w:p>
    <w:p w14:paraId="436BCB7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提升沿内秦淮河段落文旅商融合带</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A78DA04">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"_Toc60466256"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打造沿外秦淮河段落“三生”复合空间水岸客厅</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A2CCEF6">
      <w:pPr>
        <w:pStyle w:val="9"/>
        <w:tabs>
          <w:tab w:val="right" w:leader="dot" w:pos="8834"/>
        </w:tabs>
        <w:rPr>
          <w:rFonts w:eastAsia="华文中宋"/>
          <w:sz w:val="32"/>
          <w:szCs w:val="32"/>
        </w:rPr>
      </w:pPr>
      <w:r>
        <w:fldChar w:fldCharType="begin"/>
      </w:r>
      <w:r>
        <w:instrText xml:space="preserve"> HYPERLINK \l "_Toc60466257" </w:instrText>
      </w:r>
      <w:r>
        <w:fldChar w:fldCharType="separate"/>
      </w:r>
      <w:r>
        <w:rPr>
          <w:rStyle w:val="15"/>
          <w:rFonts w:hint="eastAsia" w:eastAsia="方正黑体_GBK" w:cs="方正黑体_GBK"/>
          <w:sz w:val="32"/>
          <w:szCs w:val="32"/>
        </w:rPr>
        <w:t>第五篇</w:t>
      </w:r>
      <w:r>
        <w:rPr>
          <w:rStyle w:val="15"/>
          <w:rFonts w:eastAsia="方正黑体_GBK"/>
          <w:sz w:val="32"/>
          <w:szCs w:val="32"/>
        </w:rPr>
        <w:t xml:space="preserve"> </w:t>
      </w:r>
      <w:r>
        <w:rPr>
          <w:rStyle w:val="15"/>
          <w:rFonts w:hint="eastAsia" w:eastAsia="方正黑体_GBK" w:cs="方正黑体_GBK"/>
          <w:sz w:val="32"/>
          <w:szCs w:val="32"/>
        </w:rPr>
        <w:t>突出历史文化传承，协同文旅商创发展，展现秦淮风雅魅力新内涵</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_Toc60466257 \h </w:instrText>
      </w:r>
      <w:r>
        <w:rPr>
          <w:rFonts w:eastAsia="华文中宋"/>
          <w:sz w:val="32"/>
          <w:szCs w:val="32"/>
        </w:rPr>
        <w:fldChar w:fldCharType="separate"/>
      </w:r>
      <w:r>
        <w:rPr>
          <w:rFonts w:eastAsia="华文中宋"/>
          <w:sz w:val="32"/>
          <w:szCs w:val="32"/>
        </w:rPr>
        <w:t>64</w:t>
      </w:r>
      <w:r>
        <w:rPr>
          <w:rFonts w:eastAsia="华文中宋"/>
          <w:sz w:val="32"/>
          <w:szCs w:val="32"/>
        </w:rPr>
        <w:fldChar w:fldCharType="end"/>
      </w:r>
      <w:r>
        <w:rPr>
          <w:rFonts w:eastAsia="华文中宋"/>
          <w:sz w:val="32"/>
          <w:szCs w:val="32"/>
        </w:rPr>
        <w:fldChar w:fldCharType="end"/>
      </w:r>
    </w:p>
    <w:p w14:paraId="192F5E1F">
      <w:pPr>
        <w:pStyle w:val="11"/>
        <w:tabs>
          <w:tab w:val="right" w:leader="dot" w:pos="8834"/>
        </w:tabs>
        <w:ind w:left="31680"/>
        <w:rPr>
          <w:rFonts w:eastAsia="方正仿宋_GBK"/>
          <w:sz w:val="32"/>
          <w:szCs w:val="32"/>
        </w:rPr>
      </w:pPr>
      <w:r>
        <w:fldChar w:fldCharType="begin"/>
      </w:r>
      <w:r>
        <w:instrText xml:space="preserve"> HYPERLINK \l "_Toc60466258" </w:instrText>
      </w:r>
      <w:r>
        <w:fldChar w:fldCharType="separate"/>
      </w:r>
      <w:r>
        <w:rPr>
          <w:rStyle w:val="15"/>
          <w:rFonts w:hint="eastAsia" w:eastAsia="方正仿宋_GBK" w:cs="方正仿宋_GBK"/>
          <w:sz w:val="32"/>
          <w:szCs w:val="32"/>
        </w:rPr>
        <w:t>第十四章</w:t>
      </w:r>
      <w:r>
        <w:rPr>
          <w:rStyle w:val="15"/>
          <w:rFonts w:eastAsia="方正仿宋_GBK"/>
          <w:sz w:val="32"/>
          <w:szCs w:val="32"/>
        </w:rPr>
        <w:t xml:space="preserve"> </w:t>
      </w:r>
      <w:r>
        <w:rPr>
          <w:rStyle w:val="15"/>
          <w:rFonts w:hint="eastAsia" w:eastAsia="方正仿宋_GBK" w:cs="方正仿宋_GBK"/>
          <w:sz w:val="32"/>
          <w:szCs w:val="32"/>
        </w:rPr>
        <w:t>塑造风雅秦淮腔调</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_Toc60466258 \h </w:instrText>
      </w:r>
      <w:r>
        <w:rPr>
          <w:rFonts w:eastAsia="方正仿宋_GBK"/>
          <w:sz w:val="32"/>
          <w:szCs w:val="32"/>
        </w:rPr>
        <w:fldChar w:fldCharType="separate"/>
      </w:r>
      <w:r>
        <w:rPr>
          <w:rFonts w:eastAsia="方正仿宋_GBK"/>
          <w:sz w:val="32"/>
          <w:szCs w:val="32"/>
        </w:rPr>
        <w:t>64</w:t>
      </w:r>
      <w:r>
        <w:rPr>
          <w:rFonts w:eastAsia="方正仿宋_GBK"/>
          <w:sz w:val="32"/>
          <w:szCs w:val="32"/>
        </w:rPr>
        <w:fldChar w:fldCharType="end"/>
      </w:r>
      <w:r>
        <w:rPr>
          <w:rFonts w:eastAsia="方正仿宋_GBK"/>
          <w:sz w:val="32"/>
          <w:szCs w:val="32"/>
        </w:rPr>
        <w:fldChar w:fldCharType="end"/>
      </w:r>
    </w:p>
    <w:p w14:paraId="379D213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"_Toc60466259"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整体塑造文化基因</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_Toc60466259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755CC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整体保护文化资源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BE0C0E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系统构建文化品牌</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33718D0">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"_Toc60466262"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讲述传播秦淮故事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F90496E">
      <w:pPr>
        <w:pStyle w:val="11"/>
        <w:tabs>
          <w:tab w:val="right" w:leader="dot" w:pos="8834"/>
        </w:tabs>
        <w:ind w:left="31680"/>
        <w:rPr>
          <w:rFonts w:eastAsia="方正仿宋_GBK"/>
          <w:sz w:val="32"/>
          <w:szCs w:val="32"/>
        </w:rPr>
      </w:pPr>
      <w:r>
        <w:fldChar w:fldCharType="begin"/>
      </w:r>
      <w:r>
        <w:instrText xml:space="preserve"> HYPERLINK \l "_Toc60466263" </w:instrText>
      </w:r>
      <w:r>
        <w:fldChar w:fldCharType="separate"/>
      </w:r>
      <w:r>
        <w:rPr>
          <w:rStyle w:val="15"/>
          <w:rFonts w:hint="eastAsia" w:eastAsia="方正仿宋_GBK" w:cs="方正仿宋_GBK"/>
          <w:sz w:val="32"/>
          <w:szCs w:val="32"/>
        </w:rPr>
        <w:t>第十五章</w:t>
      </w:r>
      <w:r>
        <w:rPr>
          <w:rStyle w:val="15"/>
          <w:rFonts w:eastAsia="方正仿宋_GBK"/>
          <w:sz w:val="32"/>
          <w:szCs w:val="32"/>
        </w:rPr>
        <w:t xml:space="preserve"> </w:t>
      </w:r>
      <w:r>
        <w:rPr>
          <w:rStyle w:val="15"/>
          <w:rFonts w:hint="eastAsia" w:eastAsia="方正仿宋_GBK" w:cs="方正仿宋_GBK"/>
          <w:sz w:val="32"/>
          <w:szCs w:val="32"/>
        </w:rPr>
        <w:t>推进文旅商融合发展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_Toc60466263 \h </w:instrText>
      </w:r>
      <w:r>
        <w:rPr>
          <w:rFonts w:eastAsia="方正仿宋_GBK"/>
          <w:sz w:val="32"/>
          <w:szCs w:val="32"/>
        </w:rPr>
        <w:fldChar w:fldCharType="separate"/>
      </w:r>
      <w:r>
        <w:rPr>
          <w:rFonts w:eastAsia="方正仿宋_GBK"/>
          <w:sz w:val="32"/>
          <w:szCs w:val="32"/>
        </w:rPr>
        <w:t>66</w:t>
      </w:r>
      <w:r>
        <w:rPr>
          <w:rFonts w:eastAsia="方正仿宋_GBK"/>
          <w:sz w:val="32"/>
          <w:szCs w:val="32"/>
        </w:rPr>
        <w:fldChar w:fldCharType="end"/>
      </w:r>
      <w:r>
        <w:rPr>
          <w:rFonts w:eastAsia="方正仿宋_GBK"/>
          <w:sz w:val="32"/>
          <w:szCs w:val="32"/>
        </w:rPr>
        <w:fldChar w:fldCharType="end"/>
      </w:r>
    </w:p>
    <w:p w14:paraId="2A08577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构建全域一体格局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CBD538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加快建设文化地标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D11645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策划实施融合项目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54B817D">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"_Toc60466267"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集聚新型场景业态</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384CC50">
      <w:pPr>
        <w:pStyle w:val="11"/>
        <w:tabs>
          <w:tab w:val="right" w:leader="dot" w:pos="8834"/>
        </w:tabs>
        <w:ind w:left="31680"/>
        <w:rPr>
          <w:rFonts w:eastAsia="方正仿宋_GBK"/>
          <w:sz w:val="32"/>
          <w:szCs w:val="32"/>
        </w:rPr>
      </w:pPr>
      <w:r>
        <w:fldChar w:fldCharType="begin"/>
      </w:r>
      <w:r>
        <w:instrText xml:space="preserve"> HYPERLINK \l "_Toc60466268" </w:instrText>
      </w:r>
      <w:r>
        <w:fldChar w:fldCharType="separate"/>
      </w:r>
      <w:r>
        <w:rPr>
          <w:rStyle w:val="15"/>
          <w:rFonts w:hint="eastAsia" w:eastAsia="方正仿宋_GBK" w:cs="方正仿宋_GBK"/>
          <w:sz w:val="32"/>
          <w:szCs w:val="32"/>
        </w:rPr>
        <w:t>第十六章</w:t>
      </w:r>
      <w:r>
        <w:rPr>
          <w:rStyle w:val="15"/>
          <w:rFonts w:eastAsia="方正仿宋_GBK"/>
          <w:sz w:val="32"/>
          <w:szCs w:val="32"/>
        </w:rPr>
        <w:t xml:space="preserve"> </w:t>
      </w:r>
      <w:r>
        <w:rPr>
          <w:rStyle w:val="15"/>
          <w:rFonts w:hint="eastAsia" w:eastAsia="方正仿宋_GBK" w:cs="方正仿宋_GBK"/>
          <w:sz w:val="32"/>
          <w:szCs w:val="32"/>
        </w:rPr>
        <w:t>切实推进区域文明程度提升</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_Toc60466268 \h </w:instrText>
      </w:r>
      <w:r>
        <w:rPr>
          <w:rFonts w:eastAsia="方正仿宋_GBK"/>
          <w:sz w:val="32"/>
          <w:szCs w:val="32"/>
        </w:rPr>
        <w:fldChar w:fldCharType="separate"/>
      </w:r>
      <w:r>
        <w:rPr>
          <w:rFonts w:eastAsia="方正仿宋_GBK"/>
          <w:sz w:val="32"/>
          <w:szCs w:val="32"/>
        </w:rPr>
        <w:t>69</w:t>
      </w:r>
      <w:r>
        <w:rPr>
          <w:rFonts w:eastAsia="方正仿宋_GBK"/>
          <w:sz w:val="32"/>
          <w:szCs w:val="32"/>
        </w:rPr>
        <w:fldChar w:fldCharType="end"/>
      </w:r>
      <w:r>
        <w:rPr>
          <w:rFonts w:eastAsia="方正仿宋_GBK"/>
          <w:sz w:val="32"/>
          <w:szCs w:val="32"/>
        </w:rPr>
        <w:fldChar w:fldCharType="end"/>
      </w:r>
    </w:p>
    <w:p w14:paraId="2FC5258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"_Toc60466269"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深化文化滴灌工程</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_Toc60466269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9808C3">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推进文明城市创建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69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C776D4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深化道德典型选树</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566723D">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"_Toc60466272"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提升志愿服务成效</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069CF2">
      <w:pPr>
        <w:pStyle w:val="9"/>
        <w:tabs>
          <w:tab w:val="right" w:leader="dot" w:pos="8834"/>
        </w:tabs>
        <w:rPr>
          <w:rFonts w:eastAsia="华文中宋"/>
          <w:sz w:val="32"/>
          <w:szCs w:val="32"/>
        </w:rPr>
      </w:pPr>
      <w:r>
        <w:fldChar w:fldCharType="begin"/>
      </w:r>
      <w:r>
        <w:instrText xml:space="preserve"> HYPERLINK \l "_Toc60466273" </w:instrText>
      </w:r>
      <w:r>
        <w:fldChar w:fldCharType="separate"/>
      </w:r>
      <w:r>
        <w:rPr>
          <w:rStyle w:val="15"/>
          <w:rFonts w:hint="eastAsia" w:eastAsia="方正黑体_GBK" w:cs="方正黑体_GBK"/>
          <w:sz w:val="32"/>
          <w:szCs w:val="32"/>
        </w:rPr>
        <w:t>第六篇</w:t>
      </w:r>
      <w:r>
        <w:rPr>
          <w:rStyle w:val="15"/>
          <w:rFonts w:eastAsia="方正黑体_GBK"/>
          <w:sz w:val="32"/>
          <w:szCs w:val="32"/>
        </w:rPr>
        <w:t xml:space="preserve"> </w:t>
      </w:r>
      <w:r>
        <w:rPr>
          <w:rStyle w:val="15"/>
          <w:rFonts w:hint="eastAsia" w:eastAsia="方正黑体_GBK" w:cs="方正黑体_GBK"/>
          <w:sz w:val="32"/>
          <w:szCs w:val="32"/>
        </w:rPr>
        <w:t>彰显老城新城风貌，精细城市建设管理，优化美丽秦淮人居新体验</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_Toc60466273 \h </w:instrText>
      </w:r>
      <w:r>
        <w:rPr>
          <w:rFonts w:eastAsia="华文中宋"/>
          <w:sz w:val="32"/>
          <w:szCs w:val="32"/>
        </w:rPr>
        <w:fldChar w:fldCharType="separate"/>
      </w:r>
      <w:r>
        <w:rPr>
          <w:rFonts w:eastAsia="华文中宋"/>
          <w:sz w:val="32"/>
          <w:szCs w:val="32"/>
        </w:rPr>
        <w:t>71</w:t>
      </w:r>
      <w:r>
        <w:rPr>
          <w:rFonts w:eastAsia="华文中宋"/>
          <w:sz w:val="32"/>
          <w:szCs w:val="32"/>
        </w:rPr>
        <w:fldChar w:fldCharType="end"/>
      </w:r>
      <w:r>
        <w:rPr>
          <w:rFonts w:eastAsia="华文中宋"/>
          <w:sz w:val="32"/>
          <w:szCs w:val="32"/>
        </w:rPr>
        <w:fldChar w:fldCharType="end"/>
      </w:r>
    </w:p>
    <w:p w14:paraId="66E47F6B">
      <w:pPr>
        <w:pStyle w:val="11"/>
        <w:tabs>
          <w:tab w:val="right" w:leader="dot" w:pos="8834"/>
        </w:tabs>
        <w:ind w:left="31680"/>
        <w:rPr>
          <w:rFonts w:eastAsia="方正仿宋_GBK"/>
          <w:sz w:val="32"/>
          <w:szCs w:val="32"/>
        </w:rPr>
      </w:pPr>
      <w:r>
        <w:fldChar w:fldCharType="begin"/>
      </w:r>
      <w:r>
        <w:instrText xml:space="preserve"> HYPERLINK \l "_Toc60466274" </w:instrText>
      </w:r>
      <w:r>
        <w:fldChar w:fldCharType="separate"/>
      </w:r>
      <w:r>
        <w:rPr>
          <w:rStyle w:val="15"/>
          <w:rFonts w:hint="eastAsia" w:eastAsia="方正仿宋_GBK" w:cs="方正仿宋_GBK"/>
          <w:sz w:val="32"/>
          <w:szCs w:val="32"/>
        </w:rPr>
        <w:t>第十七章</w:t>
      </w:r>
      <w:r>
        <w:rPr>
          <w:rStyle w:val="15"/>
          <w:rFonts w:eastAsia="方正仿宋_GBK"/>
          <w:sz w:val="32"/>
          <w:szCs w:val="32"/>
        </w:rPr>
        <w:t xml:space="preserve"> </w:t>
      </w:r>
      <w:r>
        <w:rPr>
          <w:rStyle w:val="15"/>
          <w:rFonts w:hint="eastAsia" w:eastAsia="方正仿宋_GBK" w:cs="方正仿宋_GBK"/>
          <w:sz w:val="32"/>
          <w:szCs w:val="32"/>
        </w:rPr>
        <w:t>凸显老城新城建设风貌</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_Toc60466274 \h </w:instrText>
      </w:r>
      <w:r>
        <w:rPr>
          <w:rFonts w:eastAsia="方正仿宋_GBK"/>
          <w:sz w:val="32"/>
          <w:szCs w:val="32"/>
        </w:rPr>
        <w:fldChar w:fldCharType="separate"/>
      </w:r>
      <w:r>
        <w:rPr>
          <w:rFonts w:eastAsia="方正仿宋_GBK"/>
          <w:sz w:val="32"/>
          <w:szCs w:val="32"/>
        </w:rPr>
        <w:t>71</w:t>
      </w:r>
      <w:r>
        <w:rPr>
          <w:rFonts w:eastAsia="方正仿宋_GBK"/>
          <w:sz w:val="32"/>
          <w:szCs w:val="32"/>
        </w:rPr>
        <w:fldChar w:fldCharType="end"/>
      </w:r>
      <w:r>
        <w:rPr>
          <w:rFonts w:eastAsia="方正仿宋_GBK"/>
          <w:sz w:val="32"/>
          <w:szCs w:val="32"/>
        </w:rPr>
        <w:fldChar w:fldCharType="end"/>
      </w:r>
    </w:p>
    <w:p w14:paraId="060215A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展现老城历史人文风貌</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DB2D3A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"_Toc60466276"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呈现新城现代未来愿景</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A79BD97">
      <w:pPr>
        <w:pStyle w:val="11"/>
        <w:tabs>
          <w:tab w:val="right" w:leader="dot" w:pos="8834"/>
        </w:tabs>
        <w:ind w:left="31680"/>
        <w:rPr>
          <w:rFonts w:eastAsia="方正仿宋_GBK"/>
          <w:sz w:val="32"/>
          <w:szCs w:val="32"/>
        </w:rPr>
      </w:pPr>
      <w:r>
        <w:fldChar w:fldCharType="begin"/>
      </w:r>
      <w:r>
        <w:instrText xml:space="preserve"> HYPERLINK \l "_Toc60466277" </w:instrText>
      </w:r>
      <w:r>
        <w:fldChar w:fldCharType="separate"/>
      </w:r>
      <w:r>
        <w:rPr>
          <w:rStyle w:val="15"/>
          <w:rFonts w:hint="eastAsia" w:eastAsia="方正仿宋_GBK" w:cs="方正仿宋_GBK"/>
          <w:sz w:val="32"/>
          <w:szCs w:val="32"/>
        </w:rPr>
        <w:t>第十八章</w:t>
      </w:r>
      <w:r>
        <w:rPr>
          <w:rStyle w:val="15"/>
          <w:rFonts w:eastAsia="方正仿宋_GBK"/>
          <w:sz w:val="32"/>
          <w:szCs w:val="32"/>
        </w:rPr>
        <w:t xml:space="preserve"> </w:t>
      </w:r>
      <w:r>
        <w:rPr>
          <w:rStyle w:val="15"/>
          <w:rFonts w:hint="eastAsia" w:eastAsia="方正仿宋_GBK" w:cs="方正仿宋_GBK"/>
          <w:sz w:val="32"/>
          <w:szCs w:val="32"/>
        </w:rPr>
        <w:t>持续提升生态环境质量</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_Toc60466277 \h </w:instrText>
      </w:r>
      <w:r>
        <w:rPr>
          <w:rFonts w:eastAsia="方正仿宋_GBK"/>
          <w:sz w:val="32"/>
          <w:szCs w:val="32"/>
        </w:rPr>
        <w:fldChar w:fldCharType="separate"/>
      </w:r>
      <w:r>
        <w:rPr>
          <w:rFonts w:eastAsia="方正仿宋_GBK"/>
          <w:sz w:val="32"/>
          <w:szCs w:val="32"/>
        </w:rPr>
        <w:t>73</w:t>
      </w:r>
      <w:r>
        <w:rPr>
          <w:rFonts w:eastAsia="方正仿宋_GBK"/>
          <w:sz w:val="32"/>
          <w:szCs w:val="32"/>
        </w:rPr>
        <w:fldChar w:fldCharType="end"/>
      </w:r>
      <w:r>
        <w:rPr>
          <w:rFonts w:eastAsia="方正仿宋_GBK"/>
          <w:sz w:val="32"/>
          <w:szCs w:val="32"/>
        </w:rPr>
        <w:fldChar w:fldCharType="end"/>
      </w:r>
    </w:p>
    <w:p w14:paraId="3D2D602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"_Toc60466278"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持续改善大气环境质量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BA6FB8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"_Toc60466279"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加快推进美丽河湖建设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_Toc60466279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0EF42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"_Toc60466280"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全面做好垃圾分类管理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F2F6CD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"_Toc60466281"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系统完善生态文明治理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D1547CD">
      <w:pPr>
        <w:pStyle w:val="11"/>
        <w:tabs>
          <w:tab w:val="right" w:leader="dot" w:pos="8834"/>
        </w:tabs>
        <w:ind w:left="31680"/>
        <w:rPr>
          <w:rFonts w:eastAsia="方正仿宋_GBK"/>
          <w:sz w:val="32"/>
          <w:szCs w:val="32"/>
        </w:rPr>
      </w:pPr>
      <w:r>
        <w:fldChar w:fldCharType="begin"/>
      </w:r>
      <w:r>
        <w:instrText xml:space="preserve"> HYPERLINK \l "_Toc60466282" </w:instrText>
      </w:r>
      <w:r>
        <w:fldChar w:fldCharType="separate"/>
      </w:r>
      <w:r>
        <w:rPr>
          <w:rStyle w:val="15"/>
          <w:rFonts w:hint="eastAsia" w:eastAsia="方正仿宋_GBK" w:cs="方正仿宋_GBK"/>
          <w:sz w:val="32"/>
          <w:szCs w:val="32"/>
        </w:rPr>
        <w:t>第十九章</w:t>
      </w:r>
      <w:r>
        <w:rPr>
          <w:rStyle w:val="15"/>
          <w:rFonts w:eastAsia="方正仿宋_GBK"/>
          <w:sz w:val="32"/>
          <w:szCs w:val="32"/>
        </w:rPr>
        <w:t xml:space="preserve"> </w:t>
      </w:r>
      <w:r>
        <w:rPr>
          <w:rStyle w:val="15"/>
          <w:rFonts w:hint="eastAsia" w:eastAsia="方正仿宋_GBK" w:cs="方正仿宋_GBK"/>
          <w:sz w:val="32"/>
          <w:szCs w:val="32"/>
        </w:rPr>
        <w:t>加强城市精细化管理</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_Toc60466282 \h </w:instrText>
      </w:r>
      <w:r>
        <w:rPr>
          <w:rFonts w:eastAsia="方正仿宋_GBK"/>
          <w:sz w:val="32"/>
          <w:szCs w:val="32"/>
        </w:rPr>
        <w:fldChar w:fldCharType="separate"/>
      </w:r>
      <w:r>
        <w:rPr>
          <w:rFonts w:eastAsia="方正仿宋_GBK"/>
          <w:sz w:val="32"/>
          <w:szCs w:val="32"/>
        </w:rPr>
        <w:t>76</w:t>
      </w:r>
      <w:r>
        <w:rPr>
          <w:rFonts w:eastAsia="方正仿宋_GBK"/>
          <w:sz w:val="32"/>
          <w:szCs w:val="32"/>
        </w:rPr>
        <w:fldChar w:fldCharType="end"/>
      </w:r>
      <w:r>
        <w:rPr>
          <w:rFonts w:eastAsia="方正仿宋_GBK"/>
          <w:sz w:val="32"/>
          <w:szCs w:val="32"/>
        </w:rPr>
        <w:fldChar w:fldCharType="end"/>
      </w:r>
    </w:p>
    <w:p w14:paraId="4668D67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"_Toc60466283"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全力建设美丽街区</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F1D40C3">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"_Toc60466284"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合力建设美丽家园</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E876234">
      <w:pPr>
        <w:pStyle w:val="9"/>
        <w:tabs>
          <w:tab w:val="right" w:leader="dot" w:pos="8834"/>
        </w:tabs>
        <w:rPr>
          <w:rFonts w:eastAsia="华文中宋"/>
          <w:sz w:val="32"/>
          <w:szCs w:val="32"/>
        </w:rPr>
      </w:pPr>
      <w:r>
        <w:fldChar w:fldCharType="begin"/>
      </w:r>
      <w:r>
        <w:instrText xml:space="preserve"> HYPERLINK \l "_Toc60466285" </w:instrText>
      </w:r>
      <w:r>
        <w:fldChar w:fldCharType="separate"/>
      </w:r>
      <w:r>
        <w:rPr>
          <w:rStyle w:val="15"/>
          <w:rFonts w:hint="eastAsia" w:eastAsia="方正黑体_GBK" w:cs="方正黑体_GBK"/>
          <w:kern w:val="44"/>
          <w:sz w:val="32"/>
          <w:szCs w:val="32"/>
        </w:rPr>
        <w:t>第七篇</w:t>
      </w:r>
      <w:r>
        <w:rPr>
          <w:rStyle w:val="15"/>
          <w:rFonts w:eastAsia="方正黑体_GBK"/>
          <w:kern w:val="44"/>
          <w:sz w:val="32"/>
          <w:szCs w:val="32"/>
        </w:rPr>
        <w:t xml:space="preserve"> </w:t>
      </w:r>
      <w:r>
        <w:rPr>
          <w:rStyle w:val="15"/>
          <w:rFonts w:hint="eastAsia" w:eastAsia="方正黑体_GBK" w:cs="方正黑体_GBK"/>
          <w:kern w:val="44"/>
          <w:sz w:val="32"/>
          <w:szCs w:val="32"/>
        </w:rPr>
        <w:t>提升民生服务质量，坚持共同富裕方向，增添上善秦淮服务新温度</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_Toc60466285 \h </w:instrText>
      </w:r>
      <w:r>
        <w:rPr>
          <w:rFonts w:eastAsia="华文中宋"/>
          <w:sz w:val="32"/>
          <w:szCs w:val="32"/>
        </w:rPr>
        <w:fldChar w:fldCharType="separate"/>
      </w:r>
      <w:r>
        <w:rPr>
          <w:rFonts w:eastAsia="华文中宋"/>
          <w:sz w:val="32"/>
          <w:szCs w:val="32"/>
        </w:rPr>
        <w:t>78</w:t>
      </w:r>
      <w:r>
        <w:rPr>
          <w:rFonts w:eastAsia="华文中宋"/>
          <w:sz w:val="32"/>
          <w:szCs w:val="32"/>
        </w:rPr>
        <w:fldChar w:fldCharType="end"/>
      </w:r>
      <w:r>
        <w:rPr>
          <w:rFonts w:eastAsia="华文中宋"/>
          <w:sz w:val="32"/>
          <w:szCs w:val="32"/>
        </w:rPr>
        <w:fldChar w:fldCharType="end"/>
      </w:r>
    </w:p>
    <w:p w14:paraId="7B440CD7">
      <w:pPr>
        <w:pStyle w:val="11"/>
        <w:tabs>
          <w:tab w:val="right" w:leader="dot" w:pos="8834"/>
        </w:tabs>
        <w:ind w:left="31680"/>
        <w:rPr>
          <w:rFonts w:eastAsia="方正仿宋_GBK"/>
          <w:sz w:val="32"/>
          <w:szCs w:val="32"/>
        </w:rPr>
      </w:pPr>
      <w:r>
        <w:fldChar w:fldCharType="begin"/>
      </w:r>
      <w:r>
        <w:instrText xml:space="preserve"> HYPERLINK \l "_Toc60466286" </w:instrText>
      </w:r>
      <w:r>
        <w:fldChar w:fldCharType="separate"/>
      </w:r>
      <w:r>
        <w:rPr>
          <w:rStyle w:val="15"/>
          <w:rFonts w:hint="eastAsia" w:eastAsia="方正仿宋_GBK" w:cs="方正仿宋_GBK"/>
          <w:sz w:val="32"/>
          <w:szCs w:val="32"/>
        </w:rPr>
        <w:t>第二十章</w:t>
      </w:r>
      <w:r>
        <w:rPr>
          <w:rStyle w:val="15"/>
          <w:rFonts w:eastAsia="方正仿宋_GBK"/>
          <w:sz w:val="32"/>
          <w:szCs w:val="32"/>
        </w:rPr>
        <w:t xml:space="preserve"> </w:t>
      </w:r>
      <w:r>
        <w:rPr>
          <w:rStyle w:val="15"/>
          <w:rFonts w:hint="eastAsia" w:eastAsia="方正仿宋_GBK" w:cs="方正仿宋_GBK"/>
          <w:sz w:val="32"/>
          <w:szCs w:val="32"/>
        </w:rPr>
        <w:t>优化民生公共服务供给</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_Toc60466286 \h </w:instrText>
      </w:r>
      <w:r>
        <w:rPr>
          <w:rFonts w:eastAsia="方正仿宋_GBK"/>
          <w:sz w:val="32"/>
          <w:szCs w:val="32"/>
        </w:rPr>
        <w:fldChar w:fldCharType="separate"/>
      </w:r>
      <w:r>
        <w:rPr>
          <w:rFonts w:eastAsia="方正仿宋_GBK"/>
          <w:sz w:val="32"/>
          <w:szCs w:val="32"/>
        </w:rPr>
        <w:t>78</w:t>
      </w:r>
      <w:r>
        <w:rPr>
          <w:rFonts w:eastAsia="方正仿宋_GBK"/>
          <w:sz w:val="32"/>
          <w:szCs w:val="32"/>
        </w:rPr>
        <w:fldChar w:fldCharType="end"/>
      </w:r>
      <w:r>
        <w:rPr>
          <w:rFonts w:eastAsia="方正仿宋_GBK"/>
          <w:sz w:val="32"/>
          <w:szCs w:val="32"/>
        </w:rPr>
        <w:fldChar w:fldCharType="end"/>
      </w:r>
    </w:p>
    <w:p w14:paraId="3A313DC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推进基本公共服务均衡配置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141005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"_Toc60466288"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科学规划使用公共服务资源</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043505">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"_Toc60466289"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增加非基本公共服务多样性</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_Toc60466289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79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2E48042">
      <w:pPr>
        <w:pStyle w:val="11"/>
        <w:tabs>
          <w:tab w:val="right" w:leader="dot" w:pos="8834"/>
        </w:tabs>
        <w:ind w:left="31680"/>
        <w:rPr>
          <w:rFonts w:eastAsia="方正仿宋_GBK"/>
          <w:sz w:val="32"/>
          <w:szCs w:val="32"/>
        </w:rPr>
      </w:pPr>
      <w:r>
        <w:fldChar w:fldCharType="begin"/>
      </w:r>
      <w:r>
        <w:instrText xml:space="preserve"> HYPERLINK \l "_Toc60466290" </w:instrText>
      </w:r>
      <w:r>
        <w:fldChar w:fldCharType="separate"/>
      </w:r>
      <w:r>
        <w:rPr>
          <w:rStyle w:val="15"/>
          <w:rFonts w:hint="eastAsia" w:eastAsia="方正仿宋_GBK" w:cs="方正仿宋_GBK"/>
          <w:sz w:val="32"/>
          <w:szCs w:val="32"/>
        </w:rPr>
        <w:t>第二十一章</w:t>
      </w:r>
      <w:r>
        <w:rPr>
          <w:rStyle w:val="15"/>
          <w:rFonts w:eastAsia="方正仿宋_GBK"/>
          <w:sz w:val="32"/>
          <w:szCs w:val="32"/>
        </w:rPr>
        <w:t xml:space="preserve"> </w:t>
      </w:r>
      <w:r>
        <w:rPr>
          <w:rStyle w:val="15"/>
          <w:rFonts w:hint="eastAsia" w:eastAsia="方正仿宋_GBK" w:cs="方正仿宋_GBK"/>
          <w:sz w:val="32"/>
          <w:szCs w:val="32"/>
        </w:rPr>
        <w:t>实现更高质量的富民增收</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_Toc60466290 \h </w:instrText>
      </w:r>
      <w:r>
        <w:rPr>
          <w:rFonts w:eastAsia="方正仿宋_GBK"/>
          <w:sz w:val="32"/>
          <w:szCs w:val="32"/>
        </w:rPr>
        <w:fldChar w:fldCharType="separate"/>
      </w:r>
      <w:r>
        <w:rPr>
          <w:rFonts w:eastAsia="方正仿宋_GBK"/>
          <w:sz w:val="32"/>
          <w:szCs w:val="32"/>
        </w:rPr>
        <w:t>80</w:t>
      </w:r>
      <w:r>
        <w:rPr>
          <w:rFonts w:eastAsia="方正仿宋_GBK"/>
          <w:sz w:val="32"/>
          <w:szCs w:val="32"/>
        </w:rPr>
        <w:fldChar w:fldCharType="end"/>
      </w:r>
      <w:r>
        <w:rPr>
          <w:rFonts w:eastAsia="方正仿宋_GBK"/>
          <w:sz w:val="32"/>
          <w:szCs w:val="32"/>
        </w:rPr>
        <w:fldChar w:fldCharType="end"/>
      </w:r>
    </w:p>
    <w:p w14:paraId="17B3871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"_Toc60466291"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促进居民收入持续增长</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31B053B">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"_Toc60466292"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探索多种收入分配方式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3499FF4">
      <w:pPr>
        <w:pStyle w:val="11"/>
        <w:tabs>
          <w:tab w:val="right" w:leader="dot" w:pos="8834"/>
        </w:tabs>
        <w:ind w:left="31680"/>
        <w:rPr>
          <w:rFonts w:eastAsia="方正仿宋_GBK"/>
          <w:sz w:val="32"/>
          <w:szCs w:val="32"/>
        </w:rPr>
      </w:pPr>
      <w:r>
        <w:fldChar w:fldCharType="begin"/>
      </w:r>
      <w:r>
        <w:instrText xml:space="preserve"> HYPERLINK \l "_Toc60466293" </w:instrText>
      </w:r>
      <w:r>
        <w:fldChar w:fldCharType="separate"/>
      </w:r>
      <w:r>
        <w:rPr>
          <w:rStyle w:val="15"/>
          <w:rFonts w:hint="eastAsia" w:eastAsia="方正仿宋_GBK" w:cs="方正仿宋_GBK"/>
          <w:sz w:val="32"/>
          <w:szCs w:val="32"/>
        </w:rPr>
        <w:t>第二十二章</w:t>
      </w:r>
      <w:r>
        <w:rPr>
          <w:rStyle w:val="15"/>
          <w:rFonts w:eastAsia="方正仿宋_GBK"/>
          <w:sz w:val="32"/>
          <w:szCs w:val="32"/>
        </w:rPr>
        <w:t xml:space="preserve"> </w:t>
      </w:r>
      <w:r>
        <w:rPr>
          <w:rStyle w:val="15"/>
          <w:rFonts w:hint="eastAsia" w:eastAsia="方正仿宋_GBK" w:cs="方正仿宋_GBK"/>
          <w:sz w:val="32"/>
          <w:szCs w:val="32"/>
        </w:rPr>
        <w:t>实现更高质量的教育水平</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_Toc60466293 \h </w:instrText>
      </w:r>
      <w:r>
        <w:rPr>
          <w:rFonts w:eastAsia="方正仿宋_GBK"/>
          <w:sz w:val="32"/>
          <w:szCs w:val="32"/>
        </w:rPr>
        <w:fldChar w:fldCharType="separate"/>
      </w:r>
      <w:r>
        <w:rPr>
          <w:rFonts w:eastAsia="方正仿宋_GBK"/>
          <w:sz w:val="32"/>
          <w:szCs w:val="32"/>
        </w:rPr>
        <w:t>81</w:t>
      </w:r>
      <w:r>
        <w:rPr>
          <w:rFonts w:eastAsia="方正仿宋_GBK"/>
          <w:sz w:val="32"/>
          <w:szCs w:val="32"/>
        </w:rPr>
        <w:fldChar w:fldCharType="end"/>
      </w:r>
      <w:r>
        <w:rPr>
          <w:rFonts w:eastAsia="方正仿宋_GBK"/>
          <w:sz w:val="32"/>
          <w:szCs w:val="32"/>
        </w:rPr>
        <w:fldChar w:fldCharType="end"/>
      </w:r>
    </w:p>
    <w:p w14:paraId="62CE945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促进教育资源均衡布局</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0F61EC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提升师资队伍建设质量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07D90F6">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"_Toc60466296"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完善多层次终身教育体系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8E101A2">
      <w:pPr>
        <w:pStyle w:val="11"/>
        <w:tabs>
          <w:tab w:val="right" w:leader="dot" w:pos="8834"/>
        </w:tabs>
        <w:ind w:left="31680"/>
        <w:rPr>
          <w:rFonts w:eastAsia="方正仿宋_GBK"/>
          <w:sz w:val="32"/>
          <w:szCs w:val="32"/>
        </w:rPr>
      </w:pPr>
      <w:r>
        <w:fldChar w:fldCharType="begin"/>
      </w:r>
      <w:r>
        <w:instrText xml:space="preserve"> HYPERLINK \l "_Toc60466297" </w:instrText>
      </w:r>
      <w:r>
        <w:fldChar w:fldCharType="separate"/>
      </w:r>
      <w:r>
        <w:rPr>
          <w:rStyle w:val="15"/>
          <w:rFonts w:hint="eastAsia" w:eastAsia="方正仿宋_GBK" w:cs="方正仿宋_GBK"/>
          <w:sz w:val="32"/>
          <w:szCs w:val="32"/>
        </w:rPr>
        <w:t>第二十三章</w:t>
      </w:r>
      <w:r>
        <w:rPr>
          <w:rStyle w:val="15"/>
          <w:rFonts w:eastAsia="方正仿宋_GBK"/>
          <w:sz w:val="32"/>
          <w:szCs w:val="32"/>
        </w:rPr>
        <w:t xml:space="preserve"> </w:t>
      </w:r>
      <w:r>
        <w:rPr>
          <w:rStyle w:val="15"/>
          <w:rFonts w:hint="eastAsia" w:eastAsia="方正仿宋_GBK" w:cs="方正仿宋_GBK"/>
          <w:sz w:val="32"/>
          <w:szCs w:val="32"/>
        </w:rPr>
        <w:t>实现更高质量的医疗水平</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_Toc60466297 \h </w:instrText>
      </w:r>
      <w:r>
        <w:rPr>
          <w:rFonts w:eastAsia="方正仿宋_GBK"/>
          <w:sz w:val="32"/>
          <w:szCs w:val="32"/>
        </w:rPr>
        <w:fldChar w:fldCharType="separate"/>
      </w:r>
      <w:r>
        <w:rPr>
          <w:rFonts w:eastAsia="方正仿宋_GBK"/>
          <w:sz w:val="32"/>
          <w:szCs w:val="32"/>
        </w:rPr>
        <w:t>83</w:t>
      </w:r>
      <w:r>
        <w:rPr>
          <w:rFonts w:eastAsia="方正仿宋_GBK"/>
          <w:sz w:val="32"/>
          <w:szCs w:val="32"/>
        </w:rPr>
        <w:fldChar w:fldCharType="end"/>
      </w:r>
      <w:r>
        <w:rPr>
          <w:rFonts w:eastAsia="方正仿宋_GBK"/>
          <w:sz w:val="32"/>
          <w:szCs w:val="32"/>
        </w:rPr>
        <w:fldChar w:fldCharType="end"/>
      </w:r>
    </w:p>
    <w:p w14:paraId="5C386BF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"_Toc60466298"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完善医疗服务体系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DED00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"_Toc60466299"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促进资源均衡配置</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_Toc60466299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C55B29A">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"_Toc60466300"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加强人才队伍建设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D201DA7">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"_Toc60466301"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提升中医药品牌优势</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6754969">
      <w:pPr>
        <w:pStyle w:val="11"/>
        <w:tabs>
          <w:tab w:val="right" w:leader="dot" w:pos="8834"/>
        </w:tabs>
        <w:ind w:left="31680"/>
        <w:rPr>
          <w:rFonts w:eastAsia="方正仿宋_GBK"/>
          <w:sz w:val="32"/>
          <w:szCs w:val="32"/>
        </w:rPr>
      </w:pPr>
      <w:r>
        <w:fldChar w:fldCharType="begin"/>
      </w:r>
      <w:r>
        <w:instrText xml:space="preserve"> HYPERLINK \l "_Toc60466302" </w:instrText>
      </w:r>
      <w:r>
        <w:fldChar w:fldCharType="separate"/>
      </w:r>
      <w:r>
        <w:rPr>
          <w:rStyle w:val="15"/>
          <w:rFonts w:hint="eastAsia" w:eastAsia="方正仿宋_GBK" w:cs="方正仿宋_GBK"/>
          <w:sz w:val="32"/>
          <w:szCs w:val="32"/>
        </w:rPr>
        <w:t>第二十四章</w:t>
      </w:r>
      <w:r>
        <w:rPr>
          <w:rStyle w:val="15"/>
          <w:rFonts w:eastAsia="方正仿宋_GBK"/>
          <w:sz w:val="32"/>
          <w:szCs w:val="32"/>
        </w:rPr>
        <w:t xml:space="preserve"> </w:t>
      </w:r>
      <w:r>
        <w:rPr>
          <w:rStyle w:val="15"/>
          <w:rFonts w:hint="eastAsia" w:eastAsia="方正仿宋_GBK" w:cs="方正仿宋_GBK"/>
          <w:sz w:val="32"/>
          <w:szCs w:val="32"/>
        </w:rPr>
        <w:t>实现更高质量的老龄服务</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_Toc60466302 \h </w:instrText>
      </w:r>
      <w:r>
        <w:rPr>
          <w:rFonts w:eastAsia="方正仿宋_GBK"/>
          <w:sz w:val="32"/>
          <w:szCs w:val="32"/>
        </w:rPr>
        <w:fldChar w:fldCharType="separate"/>
      </w:r>
      <w:r>
        <w:rPr>
          <w:rFonts w:eastAsia="方正仿宋_GBK"/>
          <w:sz w:val="32"/>
          <w:szCs w:val="32"/>
        </w:rPr>
        <w:t>86</w:t>
      </w:r>
      <w:r>
        <w:rPr>
          <w:rFonts w:eastAsia="方正仿宋_GBK"/>
          <w:sz w:val="32"/>
          <w:szCs w:val="32"/>
        </w:rPr>
        <w:fldChar w:fldCharType="end"/>
      </w:r>
      <w:r>
        <w:rPr>
          <w:rFonts w:eastAsia="方正仿宋_GBK"/>
          <w:sz w:val="32"/>
          <w:szCs w:val="32"/>
        </w:rPr>
        <w:fldChar w:fldCharType="end"/>
      </w:r>
    </w:p>
    <w:p w14:paraId="75D9B7D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"_Toc60466303"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提升老龄服务硬件水平</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94366C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"_Toc60466304"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创新老龄服务发展模式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76B52416">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"_Toc60466305"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优化推广医养结合模式</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664B900">
      <w:pPr>
        <w:pStyle w:val="11"/>
        <w:tabs>
          <w:tab w:val="right" w:leader="dot" w:pos="8834"/>
        </w:tabs>
        <w:ind w:left="31680"/>
        <w:rPr>
          <w:rFonts w:eastAsia="方正仿宋_GBK"/>
          <w:sz w:val="32"/>
          <w:szCs w:val="32"/>
        </w:rPr>
      </w:pPr>
      <w:r>
        <w:fldChar w:fldCharType="begin"/>
      </w:r>
      <w:r>
        <w:instrText xml:space="preserve"> HYPERLINK \l "_Toc60466306" </w:instrText>
      </w:r>
      <w:r>
        <w:fldChar w:fldCharType="separate"/>
      </w:r>
      <w:r>
        <w:rPr>
          <w:rStyle w:val="15"/>
          <w:rFonts w:hint="eastAsia" w:eastAsia="方正仿宋_GBK" w:cs="方正仿宋_GBK"/>
          <w:sz w:val="32"/>
          <w:szCs w:val="32"/>
        </w:rPr>
        <w:t>第二十五章</w:t>
      </w:r>
      <w:r>
        <w:rPr>
          <w:rStyle w:val="15"/>
          <w:rFonts w:eastAsia="方正仿宋_GBK"/>
          <w:sz w:val="32"/>
          <w:szCs w:val="32"/>
        </w:rPr>
        <w:t xml:space="preserve"> </w:t>
      </w:r>
      <w:r>
        <w:rPr>
          <w:rStyle w:val="15"/>
          <w:rFonts w:hint="eastAsia" w:eastAsia="方正仿宋_GBK" w:cs="方正仿宋_GBK"/>
          <w:sz w:val="32"/>
          <w:szCs w:val="32"/>
        </w:rPr>
        <w:t>实现更高质量的文体生活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_Toc60466306 \h </w:instrText>
      </w:r>
      <w:r>
        <w:rPr>
          <w:rFonts w:eastAsia="方正仿宋_GBK"/>
          <w:sz w:val="32"/>
          <w:szCs w:val="32"/>
        </w:rPr>
        <w:fldChar w:fldCharType="separate"/>
      </w:r>
      <w:r>
        <w:rPr>
          <w:rFonts w:eastAsia="方正仿宋_GBK"/>
          <w:sz w:val="32"/>
          <w:szCs w:val="32"/>
        </w:rPr>
        <w:t>88</w:t>
      </w:r>
      <w:r>
        <w:rPr>
          <w:rFonts w:eastAsia="方正仿宋_GBK"/>
          <w:sz w:val="32"/>
          <w:szCs w:val="32"/>
        </w:rPr>
        <w:fldChar w:fldCharType="end"/>
      </w:r>
      <w:r>
        <w:rPr>
          <w:rFonts w:eastAsia="方正仿宋_GBK"/>
          <w:sz w:val="32"/>
          <w:szCs w:val="32"/>
        </w:rPr>
        <w:fldChar w:fldCharType="end"/>
      </w:r>
    </w:p>
    <w:p w14:paraId="314A558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完善公共文化服务体系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F0DCE90">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提升文体设施使用效率</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440E552">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"_Toc60466309"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扩大活动影响力参与度</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_Toc60466309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80609EA">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"_Toc60466310"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持续推进健康秦淮建设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89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C9CD4C0">
      <w:pPr>
        <w:pStyle w:val="11"/>
        <w:tabs>
          <w:tab w:val="right" w:leader="dot" w:pos="8834"/>
        </w:tabs>
        <w:ind w:left="31680"/>
        <w:rPr>
          <w:rFonts w:eastAsia="方正仿宋_GBK"/>
          <w:sz w:val="32"/>
          <w:szCs w:val="32"/>
        </w:rPr>
      </w:pPr>
      <w:r>
        <w:fldChar w:fldCharType="begin"/>
      </w:r>
      <w:r>
        <w:instrText xml:space="preserve"> HYPERLINK \l "_Toc60466311" </w:instrText>
      </w:r>
      <w:r>
        <w:fldChar w:fldCharType="separate"/>
      </w:r>
      <w:r>
        <w:rPr>
          <w:rStyle w:val="15"/>
          <w:rFonts w:hint="eastAsia" w:eastAsia="方正仿宋_GBK" w:cs="方正仿宋_GBK"/>
          <w:sz w:val="32"/>
          <w:szCs w:val="32"/>
        </w:rPr>
        <w:t>第二十六章</w:t>
      </w:r>
      <w:r>
        <w:rPr>
          <w:rStyle w:val="15"/>
          <w:rFonts w:eastAsia="方正仿宋_GBK"/>
          <w:sz w:val="32"/>
          <w:szCs w:val="32"/>
        </w:rPr>
        <w:t xml:space="preserve"> </w:t>
      </w:r>
      <w:r>
        <w:rPr>
          <w:rStyle w:val="15"/>
          <w:rFonts w:hint="eastAsia" w:eastAsia="方正仿宋_GBK" w:cs="方正仿宋_GBK"/>
          <w:sz w:val="32"/>
          <w:szCs w:val="32"/>
        </w:rPr>
        <w:t>实现更高质量的就业创业</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_Toc60466311 \h </w:instrText>
      </w:r>
      <w:r>
        <w:rPr>
          <w:rFonts w:eastAsia="方正仿宋_GBK"/>
          <w:sz w:val="32"/>
          <w:szCs w:val="32"/>
        </w:rPr>
        <w:fldChar w:fldCharType="separate"/>
      </w:r>
      <w:r>
        <w:rPr>
          <w:rFonts w:eastAsia="方正仿宋_GBK"/>
          <w:sz w:val="32"/>
          <w:szCs w:val="32"/>
        </w:rPr>
        <w:t>91</w:t>
      </w:r>
      <w:r>
        <w:rPr>
          <w:rFonts w:eastAsia="方正仿宋_GBK"/>
          <w:sz w:val="32"/>
          <w:szCs w:val="32"/>
        </w:rPr>
        <w:fldChar w:fldCharType="end"/>
      </w:r>
      <w:r>
        <w:rPr>
          <w:rFonts w:eastAsia="方正仿宋_GBK"/>
          <w:sz w:val="32"/>
          <w:szCs w:val="32"/>
        </w:rPr>
        <w:fldChar w:fldCharType="end"/>
      </w:r>
    </w:p>
    <w:p w14:paraId="1CC18A1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保障劳动人口就业创业</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6C5C23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提升劳动者就业技能</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841DCB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"_Toc60466314"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建设产业工人队伍</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585A2B1">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"_Toc60466315"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优化和谐劳动关系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11F10F6">
      <w:pPr>
        <w:pStyle w:val="11"/>
        <w:tabs>
          <w:tab w:val="right" w:leader="dot" w:pos="8834"/>
        </w:tabs>
        <w:ind w:left="31680"/>
        <w:rPr>
          <w:rFonts w:eastAsia="方正仿宋_GBK"/>
          <w:sz w:val="32"/>
          <w:szCs w:val="32"/>
        </w:rPr>
      </w:pPr>
      <w:r>
        <w:fldChar w:fldCharType="begin"/>
      </w:r>
      <w:r>
        <w:instrText xml:space="preserve"> HYPERLINK \l "_Toc60466316" </w:instrText>
      </w:r>
      <w:r>
        <w:fldChar w:fldCharType="separate"/>
      </w:r>
      <w:r>
        <w:rPr>
          <w:rStyle w:val="15"/>
          <w:rFonts w:hint="eastAsia" w:eastAsia="方正仿宋_GBK" w:cs="方正仿宋_GBK"/>
          <w:sz w:val="32"/>
          <w:szCs w:val="32"/>
        </w:rPr>
        <w:t>第二十七章</w:t>
      </w:r>
      <w:r>
        <w:rPr>
          <w:rStyle w:val="15"/>
          <w:rFonts w:eastAsia="方正仿宋_GBK"/>
          <w:sz w:val="32"/>
          <w:szCs w:val="32"/>
        </w:rPr>
        <w:t xml:space="preserve"> </w:t>
      </w:r>
      <w:r>
        <w:rPr>
          <w:rStyle w:val="15"/>
          <w:rFonts w:hint="eastAsia" w:eastAsia="方正仿宋_GBK" w:cs="方正仿宋_GBK"/>
          <w:sz w:val="32"/>
          <w:szCs w:val="32"/>
        </w:rPr>
        <w:t>健全多层次社会保障体系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_Toc60466316 \h </w:instrText>
      </w:r>
      <w:r>
        <w:rPr>
          <w:rFonts w:eastAsia="方正仿宋_GBK"/>
          <w:sz w:val="32"/>
          <w:szCs w:val="32"/>
        </w:rPr>
        <w:fldChar w:fldCharType="separate"/>
      </w:r>
      <w:r>
        <w:rPr>
          <w:rFonts w:eastAsia="方正仿宋_GBK"/>
          <w:sz w:val="32"/>
          <w:szCs w:val="32"/>
        </w:rPr>
        <w:t>94</w:t>
      </w:r>
      <w:r>
        <w:rPr>
          <w:rFonts w:eastAsia="方正仿宋_GBK"/>
          <w:sz w:val="32"/>
          <w:szCs w:val="32"/>
        </w:rPr>
        <w:fldChar w:fldCharType="end"/>
      </w:r>
      <w:r>
        <w:rPr>
          <w:rFonts w:eastAsia="方正仿宋_GBK"/>
          <w:sz w:val="32"/>
          <w:szCs w:val="32"/>
        </w:rPr>
        <w:fldChar w:fldCharType="end"/>
      </w:r>
    </w:p>
    <w:p w14:paraId="45D125A6">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落实全民参保计划</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D57AB2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健全完善救助体系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107FA51">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"_Toc60466319"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完善住房保障体系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_Toc60466319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CC7B611">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"_Toc60466320"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加强残疾人帮扶保障</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03AFE6A">
      <w:pPr>
        <w:pStyle w:val="11"/>
        <w:tabs>
          <w:tab w:val="right" w:leader="dot" w:pos="8834"/>
        </w:tabs>
        <w:ind w:left="31680"/>
        <w:rPr>
          <w:rFonts w:eastAsia="方正仿宋_GBK"/>
          <w:sz w:val="32"/>
          <w:szCs w:val="32"/>
        </w:rPr>
      </w:pPr>
      <w:r>
        <w:fldChar w:fldCharType="begin"/>
      </w:r>
      <w:r>
        <w:instrText xml:space="preserve"> HYPERLINK \l "_Toc60466321" </w:instrText>
      </w:r>
      <w:r>
        <w:fldChar w:fldCharType="separate"/>
      </w:r>
      <w:r>
        <w:rPr>
          <w:rStyle w:val="15"/>
          <w:rFonts w:hint="eastAsia" w:eastAsia="方正仿宋_GBK" w:cs="方正仿宋_GBK"/>
          <w:sz w:val="32"/>
          <w:szCs w:val="32"/>
        </w:rPr>
        <w:t>第二十八章</w:t>
      </w:r>
      <w:r>
        <w:rPr>
          <w:rStyle w:val="15"/>
          <w:rFonts w:eastAsia="方正仿宋_GBK"/>
          <w:sz w:val="32"/>
          <w:szCs w:val="32"/>
        </w:rPr>
        <w:t xml:space="preserve"> </w:t>
      </w:r>
      <w:r>
        <w:rPr>
          <w:rStyle w:val="15"/>
          <w:rFonts w:hint="eastAsia" w:eastAsia="方正仿宋_GBK" w:cs="方正仿宋_GBK"/>
          <w:sz w:val="32"/>
          <w:szCs w:val="32"/>
        </w:rPr>
        <w:t>促进妇女儿童青少年发展</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_Toc60466321 \h </w:instrText>
      </w:r>
      <w:r>
        <w:rPr>
          <w:rFonts w:eastAsia="方正仿宋_GBK"/>
          <w:sz w:val="32"/>
          <w:szCs w:val="32"/>
        </w:rPr>
        <w:fldChar w:fldCharType="separate"/>
      </w:r>
      <w:r>
        <w:rPr>
          <w:rFonts w:eastAsia="方正仿宋_GBK"/>
          <w:sz w:val="32"/>
          <w:szCs w:val="32"/>
        </w:rPr>
        <w:t>95</w:t>
      </w:r>
      <w:r>
        <w:rPr>
          <w:rFonts w:eastAsia="方正仿宋_GBK"/>
          <w:sz w:val="32"/>
          <w:szCs w:val="32"/>
        </w:rPr>
        <w:fldChar w:fldCharType="end"/>
      </w:r>
      <w:r>
        <w:rPr>
          <w:rFonts w:eastAsia="方正仿宋_GBK"/>
          <w:sz w:val="32"/>
          <w:szCs w:val="32"/>
        </w:rPr>
        <w:fldChar w:fldCharType="end"/>
      </w:r>
    </w:p>
    <w:p w14:paraId="0E01A5BF">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提升妇女发展环境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C7C0CB7">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拓展儿童发展空间</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96</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165C3B9">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"_Toc60466324"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优化青年发展服务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97</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11E29D5">
      <w:pPr>
        <w:pStyle w:val="9"/>
        <w:tabs>
          <w:tab w:val="right" w:leader="dot" w:pos="8834"/>
        </w:tabs>
        <w:rPr>
          <w:rFonts w:eastAsia="华文中宋"/>
          <w:sz w:val="32"/>
          <w:szCs w:val="32"/>
        </w:rPr>
      </w:pPr>
      <w:r>
        <w:fldChar w:fldCharType="begin"/>
      </w:r>
      <w:r>
        <w:instrText xml:space="preserve"> HYPERLINK \l "_Toc60466325" </w:instrText>
      </w:r>
      <w:r>
        <w:fldChar w:fldCharType="separate"/>
      </w:r>
      <w:r>
        <w:rPr>
          <w:rStyle w:val="15"/>
          <w:rFonts w:hint="eastAsia" w:eastAsia="方正黑体_GBK" w:cs="方正黑体_GBK"/>
          <w:sz w:val="32"/>
          <w:szCs w:val="32"/>
        </w:rPr>
        <w:t>第八篇</w:t>
      </w:r>
      <w:r>
        <w:rPr>
          <w:rStyle w:val="15"/>
          <w:rFonts w:eastAsia="方正黑体_GBK"/>
          <w:sz w:val="32"/>
          <w:szCs w:val="32"/>
        </w:rPr>
        <w:t xml:space="preserve"> </w:t>
      </w:r>
      <w:r>
        <w:rPr>
          <w:rStyle w:val="15"/>
          <w:rFonts w:hint="eastAsia" w:eastAsia="方正黑体_GBK" w:cs="方正黑体_GBK"/>
          <w:sz w:val="32"/>
          <w:szCs w:val="32"/>
        </w:rPr>
        <w:t>坚持创新改革开放，畅通内外双循环，贡献秦淮力量服务新发展格局</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_Toc60466325 \h </w:instrText>
      </w:r>
      <w:r>
        <w:rPr>
          <w:rFonts w:eastAsia="华文中宋"/>
          <w:sz w:val="32"/>
          <w:szCs w:val="32"/>
        </w:rPr>
        <w:fldChar w:fldCharType="separate"/>
      </w:r>
      <w:r>
        <w:rPr>
          <w:rFonts w:eastAsia="华文中宋"/>
          <w:sz w:val="32"/>
          <w:szCs w:val="32"/>
        </w:rPr>
        <w:t>98</w:t>
      </w:r>
      <w:r>
        <w:rPr>
          <w:rFonts w:eastAsia="华文中宋"/>
          <w:sz w:val="32"/>
          <w:szCs w:val="32"/>
        </w:rPr>
        <w:fldChar w:fldCharType="end"/>
      </w:r>
      <w:r>
        <w:rPr>
          <w:rFonts w:eastAsia="华文中宋"/>
          <w:sz w:val="32"/>
          <w:szCs w:val="32"/>
        </w:rPr>
        <w:fldChar w:fldCharType="end"/>
      </w:r>
    </w:p>
    <w:p w14:paraId="1194FEB8">
      <w:pPr>
        <w:pStyle w:val="11"/>
        <w:tabs>
          <w:tab w:val="right" w:leader="dot" w:pos="8834"/>
        </w:tabs>
        <w:ind w:left="31680"/>
        <w:rPr>
          <w:rFonts w:eastAsia="方正仿宋_GBK"/>
          <w:sz w:val="32"/>
          <w:szCs w:val="32"/>
        </w:rPr>
      </w:pPr>
      <w:r>
        <w:fldChar w:fldCharType="begin"/>
      </w:r>
      <w:r>
        <w:instrText xml:space="preserve"> HYPERLINK \l "_Toc60466326" </w:instrText>
      </w:r>
      <w:r>
        <w:fldChar w:fldCharType="separate"/>
      </w:r>
      <w:r>
        <w:rPr>
          <w:rStyle w:val="15"/>
          <w:rFonts w:hint="eastAsia" w:eastAsia="方正仿宋_GBK" w:cs="方正仿宋_GBK"/>
          <w:sz w:val="32"/>
          <w:szCs w:val="32"/>
        </w:rPr>
        <w:t>第二十九章</w:t>
      </w:r>
      <w:r>
        <w:rPr>
          <w:rStyle w:val="15"/>
          <w:rFonts w:eastAsia="方正仿宋_GBK"/>
          <w:sz w:val="32"/>
          <w:szCs w:val="32"/>
        </w:rPr>
        <w:t xml:space="preserve"> </w:t>
      </w:r>
      <w:r>
        <w:rPr>
          <w:rStyle w:val="15"/>
          <w:rFonts w:hint="eastAsia" w:eastAsia="方正仿宋_GBK" w:cs="方正仿宋_GBK"/>
          <w:sz w:val="32"/>
          <w:szCs w:val="32"/>
        </w:rPr>
        <w:t>深化重点领域改革</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_Toc60466326 \h </w:instrText>
      </w:r>
      <w:r>
        <w:rPr>
          <w:rFonts w:eastAsia="方正仿宋_GBK"/>
          <w:sz w:val="32"/>
          <w:szCs w:val="32"/>
        </w:rPr>
        <w:fldChar w:fldCharType="separate"/>
      </w:r>
      <w:r>
        <w:rPr>
          <w:rFonts w:eastAsia="方正仿宋_GBK"/>
          <w:sz w:val="32"/>
          <w:szCs w:val="32"/>
        </w:rPr>
        <w:t>98</w:t>
      </w:r>
      <w:r>
        <w:rPr>
          <w:rFonts w:eastAsia="方正仿宋_GBK"/>
          <w:sz w:val="32"/>
          <w:szCs w:val="32"/>
        </w:rPr>
        <w:fldChar w:fldCharType="end"/>
      </w:r>
      <w:r>
        <w:rPr>
          <w:rFonts w:eastAsia="方正仿宋_GBK"/>
          <w:sz w:val="32"/>
          <w:szCs w:val="32"/>
        </w:rPr>
        <w:fldChar w:fldCharType="end"/>
      </w:r>
    </w:p>
    <w:p w14:paraId="3BBCD5CD">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"_Toc60466327"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实施经济一体化治理改革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98</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931AE84">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"_Toc60466328"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深化基层社会治理改革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_Toc60466328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99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D89A97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"_Toc60466329"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深入打造最优营商环境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_Toc60466329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276E403">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"_Toc60466330"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推进国有企业市场化改革</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780199">
      <w:pPr>
        <w:pStyle w:val="11"/>
        <w:tabs>
          <w:tab w:val="right" w:leader="dot" w:pos="8834"/>
        </w:tabs>
        <w:ind w:left="31680"/>
        <w:rPr>
          <w:rFonts w:eastAsia="方正仿宋_GBK"/>
          <w:sz w:val="32"/>
          <w:szCs w:val="32"/>
        </w:rPr>
      </w:pPr>
      <w:r>
        <w:fldChar w:fldCharType="begin"/>
      </w:r>
      <w:r>
        <w:instrText xml:space="preserve"> HYPERLINK \l "_Toc60466331" </w:instrText>
      </w:r>
      <w:r>
        <w:fldChar w:fldCharType="separate"/>
      </w:r>
      <w:r>
        <w:rPr>
          <w:rStyle w:val="15"/>
          <w:rFonts w:hint="eastAsia" w:eastAsia="方正仿宋_GBK" w:cs="方正仿宋_GBK"/>
          <w:sz w:val="32"/>
          <w:szCs w:val="32"/>
        </w:rPr>
        <w:t>第三十章</w:t>
      </w:r>
      <w:r>
        <w:rPr>
          <w:rStyle w:val="15"/>
          <w:rFonts w:eastAsia="方正仿宋_GBK"/>
          <w:sz w:val="32"/>
          <w:szCs w:val="32"/>
        </w:rPr>
        <w:t xml:space="preserve"> </w:t>
      </w:r>
      <w:r>
        <w:rPr>
          <w:rStyle w:val="15"/>
          <w:rFonts w:hint="eastAsia" w:eastAsia="方正仿宋_GBK" w:cs="方正仿宋_GBK"/>
          <w:sz w:val="32"/>
          <w:szCs w:val="32"/>
        </w:rPr>
        <w:t>深入扩大有效需求</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_Toc60466331 \h </w:instrText>
      </w:r>
      <w:r>
        <w:rPr>
          <w:rFonts w:eastAsia="方正仿宋_GBK"/>
          <w:sz w:val="32"/>
          <w:szCs w:val="32"/>
        </w:rPr>
        <w:fldChar w:fldCharType="separate"/>
      </w:r>
      <w:r>
        <w:rPr>
          <w:rFonts w:eastAsia="方正仿宋_GBK"/>
          <w:sz w:val="32"/>
          <w:szCs w:val="32"/>
        </w:rPr>
        <w:t>102</w:t>
      </w:r>
      <w:r>
        <w:rPr>
          <w:rFonts w:eastAsia="方正仿宋_GBK"/>
          <w:sz w:val="32"/>
          <w:szCs w:val="32"/>
        </w:rPr>
        <w:fldChar w:fldCharType="end"/>
      </w:r>
      <w:r>
        <w:rPr>
          <w:rFonts w:eastAsia="方正仿宋_GBK"/>
          <w:sz w:val="32"/>
          <w:szCs w:val="32"/>
        </w:rPr>
        <w:fldChar w:fldCharType="end"/>
      </w:r>
    </w:p>
    <w:p w14:paraId="06591243">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"_Toc60466332"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建设区域综合消费中心</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764DCF0">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"_Toc60466333"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放大项目投资牵引作用</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58BA271">
      <w:pPr>
        <w:pStyle w:val="11"/>
        <w:tabs>
          <w:tab w:val="right" w:leader="dot" w:pos="8834"/>
        </w:tabs>
        <w:ind w:left="31680"/>
        <w:rPr>
          <w:rFonts w:eastAsia="方正仿宋_GBK"/>
          <w:sz w:val="32"/>
          <w:szCs w:val="32"/>
        </w:rPr>
      </w:pPr>
      <w:r>
        <w:fldChar w:fldCharType="begin"/>
      </w:r>
      <w:r>
        <w:instrText xml:space="preserve"> HYPERLINK \l "_Toc60466334" </w:instrText>
      </w:r>
      <w:r>
        <w:fldChar w:fldCharType="separate"/>
      </w:r>
      <w:r>
        <w:rPr>
          <w:rStyle w:val="15"/>
          <w:rFonts w:hint="eastAsia" w:eastAsia="方正仿宋_GBK" w:cs="方正仿宋_GBK"/>
          <w:sz w:val="32"/>
          <w:szCs w:val="32"/>
        </w:rPr>
        <w:t>第三十一章</w:t>
      </w:r>
      <w:r>
        <w:rPr>
          <w:rStyle w:val="15"/>
          <w:rFonts w:eastAsia="方正仿宋_GBK"/>
          <w:sz w:val="32"/>
          <w:szCs w:val="32"/>
        </w:rPr>
        <w:t xml:space="preserve"> </w:t>
      </w:r>
      <w:r>
        <w:rPr>
          <w:rStyle w:val="15"/>
          <w:rFonts w:hint="eastAsia" w:eastAsia="方正仿宋_GBK" w:cs="方正仿宋_GBK"/>
          <w:sz w:val="32"/>
          <w:szCs w:val="32"/>
        </w:rPr>
        <w:t>拓展外向发展空间</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_Toc60466334 \h </w:instrText>
      </w:r>
      <w:r>
        <w:rPr>
          <w:rFonts w:eastAsia="方正仿宋_GBK"/>
          <w:sz w:val="32"/>
          <w:szCs w:val="32"/>
        </w:rPr>
        <w:fldChar w:fldCharType="separate"/>
      </w:r>
      <w:r>
        <w:rPr>
          <w:rFonts w:eastAsia="方正仿宋_GBK"/>
          <w:sz w:val="32"/>
          <w:szCs w:val="32"/>
        </w:rPr>
        <w:t>104</w:t>
      </w:r>
      <w:r>
        <w:rPr>
          <w:rFonts w:eastAsia="方正仿宋_GBK"/>
          <w:sz w:val="32"/>
          <w:szCs w:val="32"/>
        </w:rPr>
        <w:fldChar w:fldCharType="end"/>
      </w:r>
      <w:r>
        <w:rPr>
          <w:rFonts w:eastAsia="方正仿宋_GBK"/>
          <w:sz w:val="32"/>
          <w:szCs w:val="32"/>
        </w:rPr>
        <w:fldChar w:fldCharType="end"/>
      </w:r>
    </w:p>
    <w:p w14:paraId="4327EC25">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"_Toc60466335"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积极融入国家战略</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05A5834">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"_Toc60466336"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加强有效国际交流</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_Toc60466336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105</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23D7DB5A">
      <w:pPr>
        <w:pStyle w:val="9"/>
        <w:tabs>
          <w:tab w:val="right" w:leader="dot" w:pos="8834"/>
        </w:tabs>
        <w:rPr>
          <w:rFonts w:eastAsia="华文中宋"/>
          <w:sz w:val="32"/>
          <w:szCs w:val="32"/>
        </w:rPr>
      </w:pPr>
      <w:r>
        <w:fldChar w:fldCharType="begin"/>
      </w:r>
      <w:r>
        <w:instrText xml:space="preserve"> HYPERLINK \l "_Toc60466337" </w:instrText>
      </w:r>
      <w:r>
        <w:fldChar w:fldCharType="separate"/>
      </w:r>
      <w:r>
        <w:rPr>
          <w:rStyle w:val="15"/>
          <w:rFonts w:hint="eastAsia" w:eastAsia="方正黑体_GBK" w:cs="方正黑体_GBK"/>
          <w:sz w:val="32"/>
          <w:szCs w:val="32"/>
        </w:rPr>
        <w:t>第九篇</w:t>
      </w:r>
      <w:r>
        <w:rPr>
          <w:rStyle w:val="15"/>
          <w:rFonts w:eastAsia="方正黑体_GBK"/>
          <w:sz w:val="32"/>
          <w:szCs w:val="32"/>
        </w:rPr>
        <w:t xml:space="preserve"> </w:t>
      </w:r>
      <w:r>
        <w:rPr>
          <w:rStyle w:val="15"/>
          <w:rFonts w:hint="eastAsia" w:eastAsia="方正黑体_GBK" w:cs="方正黑体_GBK"/>
          <w:sz w:val="32"/>
          <w:szCs w:val="32"/>
        </w:rPr>
        <w:t>严防严控重大风险，建设安全韧性城市，推进平安秦淮迈上新台阶</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_Toc60466337 \h </w:instrText>
      </w:r>
      <w:r>
        <w:rPr>
          <w:rFonts w:eastAsia="华文中宋"/>
          <w:sz w:val="32"/>
          <w:szCs w:val="32"/>
        </w:rPr>
        <w:fldChar w:fldCharType="separate"/>
      </w:r>
      <w:r>
        <w:rPr>
          <w:rFonts w:eastAsia="华文中宋"/>
          <w:sz w:val="32"/>
          <w:szCs w:val="32"/>
        </w:rPr>
        <w:t>106</w:t>
      </w:r>
      <w:r>
        <w:rPr>
          <w:rFonts w:eastAsia="华文中宋"/>
          <w:sz w:val="32"/>
          <w:szCs w:val="32"/>
        </w:rPr>
        <w:fldChar w:fldCharType="end"/>
      </w:r>
      <w:r>
        <w:rPr>
          <w:rFonts w:eastAsia="华文中宋"/>
          <w:sz w:val="32"/>
          <w:szCs w:val="32"/>
        </w:rPr>
        <w:fldChar w:fldCharType="end"/>
      </w:r>
    </w:p>
    <w:p w14:paraId="596523A8">
      <w:pPr>
        <w:pStyle w:val="11"/>
        <w:tabs>
          <w:tab w:val="right" w:leader="dot" w:pos="8834"/>
        </w:tabs>
        <w:ind w:left="31680"/>
        <w:rPr>
          <w:rFonts w:eastAsia="方正仿宋_GBK"/>
          <w:sz w:val="32"/>
          <w:szCs w:val="32"/>
        </w:rPr>
      </w:pPr>
      <w:r>
        <w:fldChar w:fldCharType="begin"/>
      </w:r>
      <w:r>
        <w:instrText xml:space="preserve"> HYPERLINK \l "_Toc60466338" </w:instrText>
      </w:r>
      <w:r>
        <w:fldChar w:fldCharType="separate"/>
      </w:r>
      <w:r>
        <w:rPr>
          <w:rStyle w:val="15"/>
          <w:rFonts w:hint="eastAsia" w:eastAsia="方正仿宋_GBK" w:cs="方正仿宋_GBK"/>
          <w:sz w:val="32"/>
          <w:szCs w:val="32"/>
        </w:rPr>
        <w:t>第三十二章</w:t>
      </w:r>
      <w:r>
        <w:rPr>
          <w:rStyle w:val="15"/>
          <w:rFonts w:eastAsia="方正仿宋_GBK"/>
          <w:sz w:val="32"/>
          <w:szCs w:val="32"/>
        </w:rPr>
        <w:t xml:space="preserve"> </w:t>
      </w:r>
      <w:r>
        <w:rPr>
          <w:rStyle w:val="15"/>
          <w:rFonts w:hint="eastAsia" w:eastAsia="方正仿宋_GBK" w:cs="方正仿宋_GBK"/>
          <w:sz w:val="32"/>
          <w:szCs w:val="32"/>
        </w:rPr>
        <w:t>坚决捍卫国家安全</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_Toc60466338 \h </w:instrText>
      </w:r>
      <w:r>
        <w:rPr>
          <w:rFonts w:eastAsia="方正仿宋_GBK"/>
          <w:sz w:val="32"/>
          <w:szCs w:val="32"/>
        </w:rPr>
        <w:fldChar w:fldCharType="separate"/>
      </w:r>
      <w:r>
        <w:rPr>
          <w:rFonts w:eastAsia="方正仿宋_GBK"/>
          <w:sz w:val="32"/>
          <w:szCs w:val="32"/>
        </w:rPr>
        <w:t>106</w:t>
      </w:r>
      <w:r>
        <w:rPr>
          <w:rFonts w:eastAsia="方正仿宋_GBK"/>
          <w:sz w:val="32"/>
          <w:szCs w:val="32"/>
        </w:rPr>
        <w:fldChar w:fldCharType="end"/>
      </w:r>
      <w:r>
        <w:rPr>
          <w:rFonts w:eastAsia="方正仿宋_GBK"/>
          <w:sz w:val="32"/>
          <w:szCs w:val="32"/>
        </w:rPr>
        <w:fldChar w:fldCharType="end"/>
      </w:r>
    </w:p>
    <w:p w14:paraId="6C50B0BE">
      <w:pPr>
        <w:pStyle w:val="11"/>
        <w:tabs>
          <w:tab w:val="right" w:leader="dot" w:pos="8834"/>
        </w:tabs>
        <w:ind w:left="31680"/>
        <w:rPr>
          <w:rFonts w:eastAsia="方正仿宋_GBK"/>
          <w:sz w:val="32"/>
          <w:szCs w:val="32"/>
        </w:rPr>
      </w:pPr>
      <w:r>
        <w:fldChar w:fldCharType="begin"/>
      </w:r>
      <w:r>
        <w:instrText xml:space="preserve"> HYPERLINK \l "_Toc60466339" </w:instrText>
      </w:r>
      <w:r>
        <w:fldChar w:fldCharType="separate"/>
      </w:r>
      <w:r>
        <w:rPr>
          <w:rStyle w:val="15"/>
          <w:rFonts w:hint="eastAsia" w:eastAsia="方正仿宋_GBK" w:cs="方正仿宋_GBK"/>
          <w:sz w:val="32"/>
          <w:szCs w:val="32"/>
        </w:rPr>
        <w:t>第三十三章</w:t>
      </w:r>
      <w:r>
        <w:rPr>
          <w:rStyle w:val="15"/>
          <w:rFonts w:eastAsia="方正仿宋_GBK"/>
          <w:sz w:val="32"/>
          <w:szCs w:val="32"/>
        </w:rPr>
        <w:t xml:space="preserve"> </w:t>
      </w:r>
      <w:r>
        <w:rPr>
          <w:rStyle w:val="15"/>
          <w:rFonts w:hint="eastAsia" w:eastAsia="方正仿宋_GBK" w:cs="方正仿宋_GBK"/>
          <w:sz w:val="32"/>
          <w:szCs w:val="32"/>
        </w:rPr>
        <w:t>注重防控重大风险</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_Toc60466339 \h </w:instrText>
      </w:r>
      <w:r>
        <w:rPr>
          <w:rFonts w:eastAsia="方正仿宋_GBK"/>
          <w:sz w:val="32"/>
          <w:szCs w:val="32"/>
        </w:rPr>
        <w:fldChar w:fldCharType="separate"/>
      </w:r>
      <w:r>
        <w:rPr>
          <w:rFonts w:eastAsia="方正仿宋_GBK"/>
          <w:sz w:val="32"/>
          <w:szCs w:val="32"/>
        </w:rPr>
        <w:t>106</w:t>
      </w:r>
      <w:r>
        <w:rPr>
          <w:rFonts w:eastAsia="方正仿宋_GBK"/>
          <w:sz w:val="32"/>
          <w:szCs w:val="32"/>
        </w:rPr>
        <w:fldChar w:fldCharType="end"/>
      </w:r>
      <w:r>
        <w:rPr>
          <w:rFonts w:eastAsia="方正仿宋_GBK"/>
          <w:sz w:val="32"/>
          <w:szCs w:val="32"/>
        </w:rPr>
        <w:fldChar w:fldCharType="end"/>
      </w:r>
    </w:p>
    <w:p w14:paraId="487035E3">
      <w:pPr>
        <w:pStyle w:val="11"/>
        <w:tabs>
          <w:tab w:val="right" w:leader="dot" w:pos="8834"/>
        </w:tabs>
        <w:ind w:left="31680"/>
        <w:rPr>
          <w:rFonts w:eastAsia="方正仿宋_GBK"/>
          <w:sz w:val="32"/>
          <w:szCs w:val="32"/>
        </w:rPr>
      </w:pPr>
      <w:r>
        <w:fldChar w:fldCharType="begin"/>
      </w:r>
      <w:r>
        <w:instrText xml:space="preserve"> HYPERLINK \l "_Toc60466340" </w:instrText>
      </w:r>
      <w:r>
        <w:fldChar w:fldCharType="separate"/>
      </w:r>
      <w:r>
        <w:rPr>
          <w:rStyle w:val="15"/>
          <w:rFonts w:hint="eastAsia" w:eastAsia="方正仿宋_GBK" w:cs="方正仿宋_GBK"/>
          <w:sz w:val="32"/>
          <w:szCs w:val="32"/>
        </w:rPr>
        <w:t>第三十四章</w:t>
      </w:r>
      <w:r>
        <w:rPr>
          <w:rStyle w:val="15"/>
          <w:rFonts w:eastAsia="方正仿宋_GBK"/>
          <w:sz w:val="32"/>
          <w:szCs w:val="32"/>
        </w:rPr>
        <w:t xml:space="preserve"> </w:t>
      </w:r>
      <w:r>
        <w:rPr>
          <w:rStyle w:val="15"/>
          <w:rFonts w:hint="eastAsia" w:eastAsia="方正仿宋_GBK" w:cs="方正仿宋_GBK"/>
          <w:sz w:val="32"/>
          <w:szCs w:val="32"/>
        </w:rPr>
        <w:t>健全应急管理体系</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_Toc60466340 \h </w:instrText>
      </w:r>
      <w:r>
        <w:rPr>
          <w:rFonts w:eastAsia="方正仿宋_GBK"/>
          <w:sz w:val="32"/>
          <w:szCs w:val="32"/>
        </w:rPr>
        <w:fldChar w:fldCharType="separate"/>
      </w:r>
      <w:r>
        <w:rPr>
          <w:rFonts w:eastAsia="方正仿宋_GBK"/>
          <w:sz w:val="32"/>
          <w:szCs w:val="32"/>
        </w:rPr>
        <w:t>107</w:t>
      </w:r>
      <w:r>
        <w:rPr>
          <w:rFonts w:eastAsia="方正仿宋_GBK"/>
          <w:sz w:val="32"/>
          <w:szCs w:val="32"/>
        </w:rPr>
        <w:fldChar w:fldCharType="end"/>
      </w:r>
      <w:r>
        <w:rPr>
          <w:rFonts w:eastAsia="方正仿宋_GBK"/>
          <w:sz w:val="32"/>
          <w:szCs w:val="32"/>
        </w:rPr>
        <w:fldChar w:fldCharType="end"/>
      </w:r>
    </w:p>
    <w:p w14:paraId="1B7E6F9B">
      <w:pPr>
        <w:pStyle w:val="11"/>
        <w:tabs>
          <w:tab w:val="right" w:leader="dot" w:pos="8834"/>
        </w:tabs>
        <w:ind w:left="31680"/>
        <w:rPr>
          <w:rFonts w:eastAsia="华文中宋"/>
          <w:sz w:val="32"/>
          <w:szCs w:val="32"/>
        </w:rPr>
      </w:pPr>
      <w:r>
        <w:fldChar w:fldCharType="begin"/>
      </w:r>
      <w:r>
        <w:instrText xml:space="preserve"> HYPERLINK \l "_Toc60466341" </w:instrText>
      </w:r>
      <w:r>
        <w:fldChar w:fldCharType="separate"/>
      </w:r>
      <w:r>
        <w:rPr>
          <w:rStyle w:val="15"/>
          <w:rFonts w:hint="eastAsia" w:eastAsia="方正仿宋_GBK" w:cs="方正仿宋_GBK"/>
          <w:sz w:val="32"/>
          <w:szCs w:val="32"/>
        </w:rPr>
        <w:t>第三十五章</w:t>
      </w:r>
      <w:r>
        <w:rPr>
          <w:rStyle w:val="15"/>
          <w:rFonts w:eastAsia="方正仿宋_GBK"/>
          <w:sz w:val="32"/>
          <w:szCs w:val="32"/>
        </w:rPr>
        <w:t xml:space="preserve"> </w:t>
      </w:r>
      <w:r>
        <w:rPr>
          <w:rStyle w:val="15"/>
          <w:rFonts w:hint="eastAsia" w:eastAsia="方正仿宋_GBK" w:cs="方正仿宋_GBK"/>
          <w:sz w:val="32"/>
          <w:szCs w:val="32"/>
        </w:rPr>
        <w:t>提升安全服务能力</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_Toc60466341 \h </w:instrText>
      </w:r>
      <w:r>
        <w:rPr>
          <w:rFonts w:eastAsia="方正仿宋_GBK"/>
          <w:sz w:val="32"/>
          <w:szCs w:val="32"/>
        </w:rPr>
        <w:fldChar w:fldCharType="separate"/>
      </w:r>
      <w:r>
        <w:rPr>
          <w:rFonts w:eastAsia="方正仿宋_GBK"/>
          <w:sz w:val="32"/>
          <w:szCs w:val="32"/>
        </w:rPr>
        <w:t>108</w:t>
      </w:r>
      <w:r>
        <w:rPr>
          <w:rFonts w:eastAsia="方正仿宋_GBK"/>
          <w:sz w:val="32"/>
          <w:szCs w:val="32"/>
        </w:rPr>
        <w:fldChar w:fldCharType="end"/>
      </w:r>
      <w:r>
        <w:rPr>
          <w:rFonts w:eastAsia="方正仿宋_GBK"/>
          <w:sz w:val="32"/>
          <w:szCs w:val="32"/>
        </w:rPr>
        <w:fldChar w:fldCharType="end"/>
      </w:r>
    </w:p>
    <w:p w14:paraId="29A5E1E1">
      <w:pPr>
        <w:pStyle w:val="9"/>
        <w:tabs>
          <w:tab w:val="right" w:leader="dot" w:pos="8834"/>
        </w:tabs>
        <w:rPr>
          <w:rFonts w:eastAsia="华文中宋"/>
          <w:sz w:val="32"/>
          <w:szCs w:val="32"/>
        </w:rPr>
      </w:pPr>
      <w:r>
        <w:fldChar w:fldCharType="begin"/>
      </w:r>
      <w:r>
        <w:instrText xml:space="preserve"> HYPERLINK \l "_Toc60466342" </w:instrText>
      </w:r>
      <w:r>
        <w:fldChar w:fldCharType="separate"/>
      </w:r>
      <w:r>
        <w:rPr>
          <w:rStyle w:val="15"/>
          <w:rFonts w:hint="eastAsia" w:eastAsia="方正黑体_GBK" w:cs="方正黑体_GBK"/>
          <w:sz w:val="32"/>
          <w:szCs w:val="32"/>
        </w:rPr>
        <w:t>第十篇</w:t>
      </w:r>
      <w:r>
        <w:rPr>
          <w:rStyle w:val="15"/>
          <w:rFonts w:eastAsia="方正黑体_GBK"/>
          <w:sz w:val="32"/>
          <w:szCs w:val="32"/>
        </w:rPr>
        <w:t xml:space="preserve"> </w:t>
      </w:r>
      <w:r>
        <w:rPr>
          <w:rStyle w:val="15"/>
          <w:rFonts w:hint="eastAsia" w:eastAsia="方正黑体_GBK" w:cs="方正黑体_GBK"/>
          <w:sz w:val="32"/>
          <w:szCs w:val="32"/>
        </w:rPr>
        <w:t>完善顶层设计体系，强化数字赋权赋能，建立智慧秦淮发展新支撑</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_Toc60466342 \h </w:instrText>
      </w:r>
      <w:r>
        <w:rPr>
          <w:rFonts w:eastAsia="华文中宋"/>
          <w:sz w:val="32"/>
          <w:szCs w:val="32"/>
        </w:rPr>
        <w:fldChar w:fldCharType="separate"/>
      </w:r>
      <w:r>
        <w:rPr>
          <w:rFonts w:eastAsia="华文中宋"/>
          <w:sz w:val="32"/>
          <w:szCs w:val="32"/>
        </w:rPr>
        <w:t>109</w:t>
      </w:r>
      <w:r>
        <w:rPr>
          <w:rFonts w:eastAsia="华文中宋"/>
          <w:sz w:val="32"/>
          <w:szCs w:val="32"/>
        </w:rPr>
        <w:fldChar w:fldCharType="end"/>
      </w:r>
      <w:r>
        <w:rPr>
          <w:rFonts w:eastAsia="华文中宋"/>
          <w:sz w:val="32"/>
          <w:szCs w:val="32"/>
        </w:rPr>
        <w:fldChar w:fldCharType="end"/>
      </w:r>
    </w:p>
    <w:p w14:paraId="0645F5F8">
      <w:pPr>
        <w:pStyle w:val="11"/>
        <w:tabs>
          <w:tab w:val="right" w:leader="dot" w:pos="8834"/>
        </w:tabs>
        <w:ind w:left="31680"/>
        <w:rPr>
          <w:rFonts w:eastAsia="方正仿宋_GBK"/>
          <w:sz w:val="32"/>
          <w:szCs w:val="32"/>
        </w:rPr>
      </w:pPr>
      <w:r>
        <w:fldChar w:fldCharType="begin"/>
      </w:r>
      <w:r>
        <w:instrText xml:space="preserve"> HYPERLINK \l "_Toc60466343" </w:instrText>
      </w:r>
      <w:r>
        <w:fldChar w:fldCharType="separate"/>
      </w:r>
      <w:r>
        <w:rPr>
          <w:rStyle w:val="15"/>
          <w:rFonts w:hint="eastAsia" w:eastAsia="方正仿宋_GBK" w:cs="方正仿宋_GBK"/>
          <w:sz w:val="32"/>
          <w:szCs w:val="32"/>
        </w:rPr>
        <w:t>第三十六章</w:t>
      </w:r>
      <w:r>
        <w:rPr>
          <w:rStyle w:val="15"/>
          <w:rFonts w:eastAsia="方正仿宋_GBK"/>
          <w:sz w:val="32"/>
          <w:szCs w:val="32"/>
        </w:rPr>
        <w:t xml:space="preserve"> </w:t>
      </w:r>
      <w:r>
        <w:rPr>
          <w:rStyle w:val="15"/>
          <w:rFonts w:hint="eastAsia" w:eastAsia="方正仿宋_GBK" w:cs="方正仿宋_GBK"/>
          <w:sz w:val="32"/>
          <w:szCs w:val="32"/>
        </w:rPr>
        <w:t>完善智慧秦淮顶层设计</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_Toc60466343 \h </w:instrText>
      </w:r>
      <w:r>
        <w:rPr>
          <w:rFonts w:eastAsia="方正仿宋_GBK"/>
          <w:sz w:val="32"/>
          <w:szCs w:val="32"/>
        </w:rPr>
        <w:fldChar w:fldCharType="separate"/>
      </w:r>
      <w:r>
        <w:rPr>
          <w:rFonts w:eastAsia="方正仿宋_GBK"/>
          <w:sz w:val="32"/>
          <w:szCs w:val="32"/>
        </w:rPr>
        <w:t>109</w:t>
      </w:r>
      <w:r>
        <w:rPr>
          <w:rFonts w:eastAsia="方正仿宋_GBK"/>
          <w:sz w:val="32"/>
          <w:szCs w:val="32"/>
        </w:rPr>
        <w:fldChar w:fldCharType="end"/>
      </w:r>
      <w:r>
        <w:rPr>
          <w:rFonts w:eastAsia="方正仿宋_GBK"/>
          <w:sz w:val="32"/>
          <w:szCs w:val="32"/>
        </w:rPr>
        <w:fldChar w:fldCharType="end"/>
      </w:r>
    </w:p>
    <w:p w14:paraId="60C40B6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"_Toc60466344"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打通形成基础数据平台</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109</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5DA09E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"_Toc60466345"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完成基础设施功能建设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_Toc60466345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5495C388">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"_Toc60466346"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增强数据风险控制能力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_Toc60466346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110</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7A7F2F2">
      <w:pPr>
        <w:pStyle w:val="6"/>
        <w:tabs>
          <w:tab w:val="right" w:leader="dot" w:pos="8834"/>
        </w:tabs>
        <w:ind w:left="31680"/>
        <w:rPr>
          <w:rFonts w:ascii="Times New Roman" w:hAnsi="Times New Roman" w:eastAsia="方正仿宋_GBK" w:cs="Times New Roman"/>
          <w:sz w:val="32"/>
          <w:szCs w:val="32"/>
        </w:rPr>
      </w:pPr>
      <w:r>
        <w:fldChar w:fldCharType="begin"/>
      </w:r>
      <w:r>
        <w:instrText xml:space="preserve"> HYPERLINK \l "_Toc60466347"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增强数据资产运管能力</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_Toc60466347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C7351B2">
      <w:pPr>
        <w:pStyle w:val="11"/>
        <w:tabs>
          <w:tab w:val="right" w:leader="dot" w:pos="8834"/>
        </w:tabs>
        <w:ind w:left="31680"/>
        <w:rPr>
          <w:rFonts w:eastAsia="方正仿宋_GBK"/>
          <w:sz w:val="32"/>
          <w:szCs w:val="32"/>
        </w:rPr>
      </w:pPr>
      <w:r>
        <w:fldChar w:fldCharType="begin"/>
      </w:r>
      <w:r>
        <w:instrText xml:space="preserve"> HYPERLINK \l "_Toc60466348" </w:instrText>
      </w:r>
      <w:r>
        <w:fldChar w:fldCharType="separate"/>
      </w:r>
      <w:r>
        <w:rPr>
          <w:rStyle w:val="15"/>
          <w:rFonts w:hint="eastAsia" w:eastAsia="方正仿宋_GBK" w:cs="方正仿宋_GBK"/>
          <w:sz w:val="32"/>
          <w:szCs w:val="32"/>
        </w:rPr>
        <w:t>第三十七章</w:t>
      </w:r>
      <w:r>
        <w:rPr>
          <w:rStyle w:val="15"/>
          <w:rFonts w:eastAsia="方正仿宋_GBK"/>
          <w:sz w:val="32"/>
          <w:szCs w:val="32"/>
        </w:rPr>
        <w:t xml:space="preserve"> </w:t>
      </w:r>
      <w:r>
        <w:rPr>
          <w:rStyle w:val="15"/>
          <w:rFonts w:hint="eastAsia" w:eastAsia="方正仿宋_GBK" w:cs="方正仿宋_GBK"/>
          <w:sz w:val="32"/>
          <w:szCs w:val="32"/>
        </w:rPr>
        <w:t>充实智慧秦淮管理服务功能</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_Toc60466348 \h </w:instrText>
      </w:r>
      <w:r>
        <w:rPr>
          <w:rFonts w:eastAsia="方正仿宋_GBK"/>
          <w:sz w:val="32"/>
          <w:szCs w:val="32"/>
        </w:rPr>
        <w:fldChar w:fldCharType="separate"/>
      </w:r>
      <w:r>
        <w:rPr>
          <w:rFonts w:eastAsia="方正仿宋_GBK"/>
          <w:sz w:val="32"/>
          <w:szCs w:val="32"/>
        </w:rPr>
        <w:t>111</w:t>
      </w:r>
      <w:r>
        <w:rPr>
          <w:rFonts w:eastAsia="方正仿宋_GBK"/>
          <w:sz w:val="32"/>
          <w:szCs w:val="32"/>
        </w:rPr>
        <w:fldChar w:fldCharType="end"/>
      </w:r>
      <w:r>
        <w:rPr>
          <w:rFonts w:eastAsia="方正仿宋_GBK"/>
          <w:sz w:val="32"/>
          <w:szCs w:val="32"/>
        </w:rPr>
        <w:fldChar w:fldCharType="end"/>
      </w:r>
    </w:p>
    <w:p w14:paraId="5A158EA9">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"_Toc60466349" </w:instrText>
      </w:r>
      <w:r>
        <w:fldChar w:fldCharType="separate"/>
      </w:r>
      <w:r>
        <w:rPr>
          <w:rStyle w:val="15"/>
          <w:rFonts w:hint="eastAsia" w:ascii="Times New Roman" w:hAnsi="Times New Roman" w:eastAsia="方正楷体_GBK" w:cs="方正楷体_GBK"/>
          <w:sz w:val="32"/>
          <w:szCs w:val="32"/>
        </w:rPr>
        <w:t>第一节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实现智慧经济统筹</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_Toc60466349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111</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F602E2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"_Toc60466350" </w:instrText>
      </w:r>
      <w:r>
        <w:fldChar w:fldCharType="separate"/>
      </w:r>
      <w:r>
        <w:rPr>
          <w:rStyle w:val="15"/>
          <w:rFonts w:hint="eastAsia" w:ascii="Times New Roman" w:hAnsi="Times New Roman" w:eastAsia="方正楷体_GBK" w:cs="方正楷体_GBK"/>
          <w:sz w:val="32"/>
          <w:szCs w:val="32"/>
        </w:rPr>
        <w:t>第二节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实现智慧民生服务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_Toc60466350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4D2E6F3C">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"_Toc60466351" </w:instrText>
      </w:r>
      <w:r>
        <w:fldChar w:fldCharType="separate"/>
      </w:r>
      <w:r>
        <w:rPr>
          <w:rStyle w:val="15"/>
          <w:rFonts w:hint="eastAsia" w:ascii="Times New Roman" w:hAnsi="Times New Roman" w:eastAsia="方正楷体_GBK" w:cs="方正楷体_GBK"/>
          <w:sz w:val="32"/>
          <w:szCs w:val="32"/>
        </w:rPr>
        <w:t>第三节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实现智慧城市建管</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_Toc60466351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112</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658AB35B">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"_Toc60466352" </w:instrText>
      </w:r>
      <w:r>
        <w:fldChar w:fldCharType="separate"/>
      </w:r>
      <w:r>
        <w:rPr>
          <w:rStyle w:val="15"/>
          <w:rFonts w:hint="eastAsia" w:ascii="Times New Roman" w:hAnsi="Times New Roman" w:eastAsia="方正楷体_GBK" w:cs="方正楷体_GBK"/>
          <w:sz w:val="32"/>
          <w:szCs w:val="32"/>
        </w:rPr>
        <w:t>第四节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实现智慧生态管养</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_Toc60466352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1007DDFE">
      <w:pPr>
        <w:pStyle w:val="6"/>
        <w:tabs>
          <w:tab w:val="right" w:leader="dot" w:pos="8834"/>
        </w:tabs>
        <w:ind w:left="31680"/>
        <w:rPr>
          <w:rFonts w:ascii="Times New Roman" w:hAnsi="Times New Roman" w:eastAsia="方正楷体_GBK" w:cs="Times New Roman"/>
          <w:sz w:val="32"/>
          <w:szCs w:val="32"/>
        </w:rPr>
      </w:pPr>
      <w:r>
        <w:fldChar w:fldCharType="begin"/>
      </w:r>
      <w:r>
        <w:instrText xml:space="preserve"> HYPERLINK \l "_Toc60466353" </w:instrText>
      </w:r>
      <w:r>
        <w:fldChar w:fldCharType="separate"/>
      </w:r>
      <w:r>
        <w:rPr>
          <w:rStyle w:val="15"/>
          <w:rFonts w:hint="eastAsia" w:ascii="Times New Roman" w:hAnsi="Times New Roman" w:eastAsia="方正楷体_GBK" w:cs="方正楷体_GBK"/>
          <w:sz w:val="32"/>
          <w:szCs w:val="32"/>
        </w:rPr>
        <w:t>第五节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实现智慧社会治理</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_Toc60466353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113</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02032CB0">
      <w:pPr>
        <w:pStyle w:val="6"/>
        <w:tabs>
          <w:tab w:val="right" w:leader="dot" w:pos="8834"/>
        </w:tabs>
        <w:ind w:left="31680"/>
        <w:rPr>
          <w:rFonts w:ascii="Times New Roman" w:hAnsi="Times New Roman" w:eastAsia="华文中宋" w:cs="Times New Roman"/>
          <w:sz w:val="32"/>
          <w:szCs w:val="32"/>
        </w:rPr>
      </w:pPr>
      <w:r>
        <w:fldChar w:fldCharType="begin"/>
      </w:r>
      <w:r>
        <w:instrText xml:space="preserve"> HYPERLINK \l "_Toc60466354" </w:instrText>
      </w:r>
      <w:r>
        <w:fldChar w:fldCharType="separate"/>
      </w:r>
      <w:r>
        <w:rPr>
          <w:rStyle w:val="15"/>
          <w:rFonts w:hint="eastAsia" w:ascii="Times New Roman" w:hAnsi="Times New Roman" w:eastAsia="方正楷体_GBK" w:cs="方正楷体_GBK"/>
          <w:sz w:val="32"/>
          <w:szCs w:val="32"/>
        </w:rPr>
        <w:t>第六节</w:t>
      </w:r>
      <w:r>
        <w:rPr>
          <w:rStyle w:val="15"/>
          <w:rFonts w:ascii="Times New Roman" w:hAnsi="Times New Roman" w:eastAsia="方正楷体_GBK" w:cs="Times New Roman"/>
          <w:sz w:val="32"/>
          <w:szCs w:val="32"/>
        </w:rPr>
        <w:t xml:space="preserve"> </w:t>
      </w:r>
      <w:r>
        <w:rPr>
          <w:rStyle w:val="15"/>
          <w:rFonts w:hint="eastAsia" w:ascii="Times New Roman" w:hAnsi="Times New Roman" w:eastAsia="方正楷体_GBK" w:cs="方正楷体_GBK"/>
          <w:sz w:val="32"/>
          <w:szCs w:val="32"/>
        </w:rPr>
        <w:t>实现智慧文化建设</w:t>
      </w:r>
      <w:r>
        <w:rPr>
          <w:rFonts w:ascii="Times New Roman" w:hAnsi="Times New Roman" w:eastAsia="方正楷体_GBK" w:cs="Times New Roman"/>
          <w:sz w:val="32"/>
          <w:szCs w:val="32"/>
        </w:rPr>
        <w:tab/>
      </w:r>
      <w:r>
        <w:rPr>
          <w:rFonts w:ascii="Times New Roman" w:hAnsi="Times New Roman" w:eastAsia="方正楷体_GBK" w:cs="Times New Roman"/>
          <w:sz w:val="32"/>
          <w:szCs w:val="32"/>
        </w:rPr>
        <w:fldChar w:fldCharType="begin"/>
      </w:r>
      <w:r>
        <w:rPr>
          <w:rFonts w:ascii="Times New Roman" w:hAnsi="Times New Roman" w:eastAsia="方正楷体_GBK" w:cs="Times New Roman"/>
          <w:sz w:val="32"/>
          <w:szCs w:val="32"/>
        </w:rPr>
        <w:instrText xml:space="preserve"> PAGEREF _Toc60466354 \h </w:instrText>
      </w:r>
      <w:r>
        <w:rPr>
          <w:rFonts w:ascii="Times New Roman" w:hAnsi="Times New Roman" w:eastAsia="方正楷体_GBK" w:cs="Times New Roman"/>
          <w:sz w:val="32"/>
          <w:szCs w:val="32"/>
        </w:rPr>
        <w:fldChar w:fldCharType="separate"/>
      </w:r>
      <w:r>
        <w:rPr>
          <w:rFonts w:ascii="Times New Roman" w:hAnsi="Times New Roman" w:eastAsia="方正楷体_GBK" w:cs="Times New Roman"/>
          <w:sz w:val="32"/>
          <w:szCs w:val="32"/>
        </w:rPr>
        <w:t>114</w:t>
      </w:r>
      <w:r>
        <w:rPr>
          <w:rFonts w:ascii="Times New Roman" w:hAnsi="Times New Roman" w:eastAsia="方正楷体_GBK" w:cs="Times New Roman"/>
          <w:sz w:val="32"/>
          <w:szCs w:val="32"/>
        </w:rPr>
        <w:fldChar w:fldCharType="end"/>
      </w:r>
      <w:r>
        <w:rPr>
          <w:rFonts w:ascii="Times New Roman" w:hAnsi="Times New Roman" w:eastAsia="方正楷体_GBK" w:cs="Times New Roman"/>
          <w:sz w:val="32"/>
          <w:szCs w:val="32"/>
        </w:rPr>
        <w:fldChar w:fldCharType="end"/>
      </w:r>
    </w:p>
    <w:p w14:paraId="397796CC">
      <w:pPr>
        <w:pStyle w:val="9"/>
        <w:tabs>
          <w:tab w:val="right" w:leader="dot" w:pos="8834"/>
        </w:tabs>
        <w:rPr>
          <w:rFonts w:eastAsia="华文中宋"/>
          <w:sz w:val="32"/>
          <w:szCs w:val="32"/>
        </w:rPr>
      </w:pPr>
      <w:r>
        <w:fldChar w:fldCharType="begin"/>
      </w:r>
      <w:r>
        <w:instrText xml:space="preserve"> HYPERLINK \l "_Toc60466355" </w:instrText>
      </w:r>
      <w:r>
        <w:fldChar w:fldCharType="separate"/>
      </w:r>
      <w:r>
        <w:rPr>
          <w:rStyle w:val="15"/>
          <w:rFonts w:hint="eastAsia" w:eastAsia="方正黑体_GBK" w:cs="方正黑体_GBK"/>
          <w:sz w:val="32"/>
          <w:szCs w:val="32"/>
        </w:rPr>
        <w:t>第十一篇</w:t>
      </w:r>
      <w:r>
        <w:rPr>
          <w:rStyle w:val="15"/>
          <w:rFonts w:eastAsia="方正黑体_GBK"/>
          <w:sz w:val="32"/>
          <w:szCs w:val="32"/>
        </w:rPr>
        <w:t xml:space="preserve"> </w:t>
      </w:r>
      <w:r>
        <w:rPr>
          <w:rStyle w:val="15"/>
          <w:rFonts w:hint="eastAsia" w:eastAsia="方正黑体_GBK" w:cs="方正黑体_GBK"/>
          <w:sz w:val="32"/>
          <w:szCs w:val="32"/>
        </w:rPr>
        <w:t>坚持党的全面领导，切实强化实施保障，共促秦淮高质量发展蓝图落地</w:t>
      </w:r>
      <w:r>
        <w:rPr>
          <w:rFonts w:eastAsia="华文中宋"/>
          <w:sz w:val="32"/>
          <w:szCs w:val="32"/>
        </w:rPr>
        <w:tab/>
      </w:r>
      <w:r>
        <w:rPr>
          <w:rFonts w:eastAsia="华文中宋"/>
          <w:sz w:val="32"/>
          <w:szCs w:val="32"/>
        </w:rPr>
        <w:fldChar w:fldCharType="begin"/>
      </w:r>
      <w:r>
        <w:rPr>
          <w:rFonts w:eastAsia="华文中宋"/>
          <w:sz w:val="32"/>
          <w:szCs w:val="32"/>
        </w:rPr>
        <w:instrText xml:space="preserve"> PAGEREF _Toc60466355 \h </w:instrText>
      </w:r>
      <w:r>
        <w:rPr>
          <w:rFonts w:eastAsia="华文中宋"/>
          <w:sz w:val="32"/>
          <w:szCs w:val="32"/>
        </w:rPr>
        <w:fldChar w:fldCharType="separate"/>
      </w:r>
      <w:r>
        <w:rPr>
          <w:rFonts w:eastAsia="华文中宋"/>
          <w:sz w:val="32"/>
          <w:szCs w:val="32"/>
        </w:rPr>
        <w:t>114</w:t>
      </w:r>
      <w:r>
        <w:rPr>
          <w:rFonts w:eastAsia="华文中宋"/>
          <w:sz w:val="32"/>
          <w:szCs w:val="32"/>
        </w:rPr>
        <w:fldChar w:fldCharType="end"/>
      </w:r>
      <w:r>
        <w:rPr>
          <w:rFonts w:eastAsia="华文中宋"/>
          <w:sz w:val="32"/>
          <w:szCs w:val="32"/>
        </w:rPr>
        <w:fldChar w:fldCharType="end"/>
      </w:r>
    </w:p>
    <w:p w14:paraId="136C1097">
      <w:pPr>
        <w:pStyle w:val="11"/>
        <w:tabs>
          <w:tab w:val="right" w:leader="dot" w:pos="8834"/>
        </w:tabs>
        <w:ind w:left="31680"/>
        <w:rPr>
          <w:rFonts w:eastAsia="方正仿宋_GBK"/>
          <w:sz w:val="32"/>
          <w:szCs w:val="32"/>
        </w:rPr>
      </w:pPr>
      <w:r>
        <w:fldChar w:fldCharType="begin"/>
      </w:r>
      <w:r>
        <w:instrText xml:space="preserve"> HYPERLINK \l "_Toc60466356" </w:instrText>
      </w:r>
      <w:r>
        <w:fldChar w:fldCharType="separate"/>
      </w:r>
      <w:r>
        <w:rPr>
          <w:rStyle w:val="15"/>
          <w:rFonts w:hint="eastAsia" w:eastAsia="方正仿宋_GBK" w:cs="方正仿宋_GBK"/>
          <w:sz w:val="32"/>
          <w:szCs w:val="32"/>
        </w:rPr>
        <w:t>第三十八章</w:t>
      </w:r>
      <w:r>
        <w:rPr>
          <w:rStyle w:val="15"/>
          <w:rFonts w:eastAsia="方正仿宋_GBK"/>
          <w:sz w:val="32"/>
          <w:szCs w:val="32"/>
        </w:rPr>
        <w:t xml:space="preserve"> </w:t>
      </w:r>
      <w:r>
        <w:rPr>
          <w:rStyle w:val="15"/>
          <w:rFonts w:hint="eastAsia" w:eastAsia="方正仿宋_GBK" w:cs="方正仿宋_GBK"/>
          <w:sz w:val="32"/>
          <w:szCs w:val="32"/>
        </w:rPr>
        <w:t>坚持党的全面领导</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_Toc60466356 \h </w:instrText>
      </w:r>
      <w:r>
        <w:rPr>
          <w:rFonts w:eastAsia="方正仿宋_GBK"/>
          <w:sz w:val="32"/>
          <w:szCs w:val="32"/>
        </w:rPr>
        <w:fldChar w:fldCharType="separate"/>
      </w:r>
      <w:r>
        <w:rPr>
          <w:rFonts w:eastAsia="方正仿宋_GBK"/>
          <w:sz w:val="32"/>
          <w:szCs w:val="32"/>
        </w:rPr>
        <w:t>114</w:t>
      </w:r>
      <w:r>
        <w:rPr>
          <w:rFonts w:eastAsia="方正仿宋_GBK"/>
          <w:sz w:val="32"/>
          <w:szCs w:val="32"/>
        </w:rPr>
        <w:fldChar w:fldCharType="end"/>
      </w:r>
      <w:r>
        <w:rPr>
          <w:rFonts w:eastAsia="方正仿宋_GBK"/>
          <w:sz w:val="32"/>
          <w:szCs w:val="32"/>
        </w:rPr>
        <w:fldChar w:fldCharType="end"/>
      </w:r>
    </w:p>
    <w:p w14:paraId="340140EA">
      <w:pPr>
        <w:pStyle w:val="11"/>
        <w:tabs>
          <w:tab w:val="right" w:leader="dot" w:pos="8834"/>
        </w:tabs>
        <w:ind w:left="31680"/>
        <w:rPr>
          <w:rFonts w:eastAsia="方正仿宋_GBK"/>
          <w:sz w:val="32"/>
          <w:szCs w:val="32"/>
        </w:rPr>
      </w:pPr>
      <w:r>
        <w:fldChar w:fldCharType="begin"/>
      </w:r>
      <w:r>
        <w:instrText xml:space="preserve"> HYPERLINK \l "_Toc60466357" </w:instrText>
      </w:r>
      <w:r>
        <w:fldChar w:fldCharType="separate"/>
      </w:r>
      <w:r>
        <w:rPr>
          <w:rStyle w:val="15"/>
          <w:rFonts w:hint="eastAsia" w:eastAsia="方正仿宋_GBK" w:cs="方正仿宋_GBK"/>
          <w:sz w:val="32"/>
          <w:szCs w:val="32"/>
        </w:rPr>
        <w:t>第三十九章</w:t>
      </w:r>
      <w:r>
        <w:rPr>
          <w:rStyle w:val="15"/>
          <w:rFonts w:eastAsia="方正仿宋_GBK"/>
          <w:sz w:val="32"/>
          <w:szCs w:val="32"/>
        </w:rPr>
        <w:t xml:space="preserve"> </w:t>
      </w:r>
      <w:r>
        <w:rPr>
          <w:rStyle w:val="15"/>
          <w:rFonts w:hint="eastAsia" w:eastAsia="方正仿宋_GBK" w:cs="方正仿宋_GBK"/>
          <w:sz w:val="32"/>
          <w:szCs w:val="32"/>
        </w:rPr>
        <w:t>广泛汇聚多方共识</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_Toc60466357 \h </w:instrText>
      </w:r>
      <w:r>
        <w:rPr>
          <w:rFonts w:eastAsia="方正仿宋_GBK"/>
          <w:sz w:val="32"/>
          <w:szCs w:val="32"/>
        </w:rPr>
        <w:fldChar w:fldCharType="separate"/>
      </w:r>
      <w:r>
        <w:rPr>
          <w:rFonts w:eastAsia="方正仿宋_GBK"/>
          <w:sz w:val="32"/>
          <w:szCs w:val="32"/>
        </w:rPr>
        <w:t>115</w:t>
      </w:r>
      <w:r>
        <w:rPr>
          <w:rFonts w:eastAsia="方正仿宋_GBK"/>
          <w:sz w:val="32"/>
          <w:szCs w:val="32"/>
        </w:rPr>
        <w:fldChar w:fldCharType="end"/>
      </w:r>
      <w:r>
        <w:rPr>
          <w:rFonts w:eastAsia="方正仿宋_GBK"/>
          <w:sz w:val="32"/>
          <w:szCs w:val="32"/>
        </w:rPr>
        <w:fldChar w:fldCharType="end"/>
      </w:r>
    </w:p>
    <w:p w14:paraId="764ABACB">
      <w:pPr>
        <w:pStyle w:val="11"/>
        <w:tabs>
          <w:tab w:val="right" w:leader="dot" w:pos="8834"/>
        </w:tabs>
        <w:ind w:left="31680"/>
        <w:rPr>
          <w:rFonts w:eastAsia="方正仿宋_GBK"/>
          <w:sz w:val="32"/>
          <w:szCs w:val="32"/>
        </w:rPr>
      </w:pPr>
      <w:r>
        <w:fldChar w:fldCharType="begin"/>
      </w:r>
      <w:r>
        <w:instrText xml:space="preserve"> HYPERLINK \l "_Toc60466358" </w:instrText>
      </w:r>
      <w:r>
        <w:fldChar w:fldCharType="separate"/>
      </w:r>
      <w:r>
        <w:rPr>
          <w:rStyle w:val="15"/>
          <w:rFonts w:hint="eastAsia" w:eastAsia="方正仿宋_GBK" w:cs="方正仿宋_GBK"/>
          <w:sz w:val="32"/>
          <w:szCs w:val="32"/>
        </w:rPr>
        <w:t>第四十章</w:t>
      </w:r>
      <w:r>
        <w:rPr>
          <w:rStyle w:val="15"/>
          <w:rFonts w:eastAsia="方正仿宋_GBK"/>
          <w:sz w:val="32"/>
          <w:szCs w:val="32"/>
        </w:rPr>
        <w:t xml:space="preserve">   </w:t>
      </w:r>
      <w:r>
        <w:rPr>
          <w:rStyle w:val="15"/>
          <w:rFonts w:hint="eastAsia" w:eastAsia="方正仿宋_GBK" w:cs="方正仿宋_GBK"/>
          <w:sz w:val="32"/>
          <w:szCs w:val="32"/>
        </w:rPr>
        <w:t>强化规划落实保障</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_Toc60466358 \h </w:instrText>
      </w:r>
      <w:r>
        <w:rPr>
          <w:rFonts w:eastAsia="方正仿宋_GBK"/>
          <w:sz w:val="32"/>
          <w:szCs w:val="32"/>
        </w:rPr>
        <w:fldChar w:fldCharType="separate"/>
      </w:r>
      <w:r>
        <w:rPr>
          <w:rFonts w:eastAsia="方正仿宋_GBK"/>
          <w:sz w:val="32"/>
          <w:szCs w:val="32"/>
        </w:rPr>
        <w:t>116</w:t>
      </w:r>
      <w:r>
        <w:rPr>
          <w:rFonts w:eastAsia="方正仿宋_GBK"/>
          <w:sz w:val="32"/>
          <w:szCs w:val="32"/>
        </w:rPr>
        <w:fldChar w:fldCharType="end"/>
      </w:r>
      <w:r>
        <w:rPr>
          <w:rFonts w:eastAsia="方正仿宋_GBK"/>
          <w:sz w:val="32"/>
          <w:szCs w:val="32"/>
        </w:rPr>
        <w:fldChar w:fldCharType="end"/>
      </w:r>
    </w:p>
    <w:p w14:paraId="253F623E">
      <w:pPr>
        <w:pStyle w:val="11"/>
        <w:tabs>
          <w:tab w:val="right" w:leader="dot" w:pos="8834"/>
        </w:tabs>
        <w:ind w:left="31680"/>
        <w:rPr>
          <w:rFonts w:eastAsia="方正仿宋_GBK"/>
          <w:sz w:val="32"/>
          <w:szCs w:val="32"/>
        </w:rPr>
      </w:pPr>
      <w:r>
        <w:fldChar w:fldCharType="begin"/>
      </w:r>
      <w:r>
        <w:instrText xml:space="preserve"> HYPERLINK \l "_Toc60466359" </w:instrText>
      </w:r>
      <w:r>
        <w:fldChar w:fldCharType="separate"/>
      </w:r>
      <w:r>
        <w:rPr>
          <w:rStyle w:val="15"/>
          <w:rFonts w:hint="eastAsia" w:eastAsia="方正仿宋_GBK" w:cs="方正仿宋_GBK"/>
          <w:sz w:val="32"/>
          <w:szCs w:val="32"/>
        </w:rPr>
        <w:t>第四十一章</w:t>
      </w:r>
      <w:r>
        <w:rPr>
          <w:rStyle w:val="15"/>
          <w:rFonts w:eastAsia="方正仿宋_GBK"/>
          <w:sz w:val="32"/>
          <w:szCs w:val="32"/>
        </w:rPr>
        <w:t xml:space="preserve"> </w:t>
      </w:r>
      <w:r>
        <w:rPr>
          <w:rStyle w:val="15"/>
          <w:rFonts w:hint="eastAsia" w:eastAsia="方正仿宋_GBK" w:cs="方正仿宋_GBK"/>
          <w:sz w:val="32"/>
          <w:szCs w:val="32"/>
        </w:rPr>
        <w:t>深化依法治区建设</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_Toc60466359 \h </w:instrText>
      </w:r>
      <w:r>
        <w:rPr>
          <w:rFonts w:eastAsia="方正仿宋_GBK"/>
          <w:sz w:val="32"/>
          <w:szCs w:val="32"/>
        </w:rPr>
        <w:fldChar w:fldCharType="separate"/>
      </w:r>
      <w:r>
        <w:rPr>
          <w:rFonts w:eastAsia="方正仿宋_GBK"/>
          <w:sz w:val="32"/>
          <w:szCs w:val="32"/>
        </w:rPr>
        <w:t>117</w:t>
      </w:r>
      <w:r>
        <w:rPr>
          <w:rFonts w:eastAsia="方正仿宋_GBK"/>
          <w:sz w:val="32"/>
          <w:szCs w:val="32"/>
        </w:rPr>
        <w:fldChar w:fldCharType="end"/>
      </w:r>
      <w:r>
        <w:rPr>
          <w:rFonts w:eastAsia="方正仿宋_GBK"/>
          <w:sz w:val="32"/>
          <w:szCs w:val="32"/>
        </w:rPr>
        <w:fldChar w:fldCharType="end"/>
      </w:r>
    </w:p>
    <w:p w14:paraId="12AAA6AA">
      <w:pPr>
        <w:pStyle w:val="11"/>
        <w:tabs>
          <w:tab w:val="right" w:leader="dot" w:pos="8834"/>
        </w:tabs>
        <w:ind w:left="31680"/>
        <w:rPr>
          <w:rFonts w:eastAsia="华文中宋"/>
          <w:sz w:val="32"/>
          <w:szCs w:val="32"/>
        </w:rPr>
      </w:pPr>
      <w:r>
        <w:fldChar w:fldCharType="begin"/>
      </w:r>
      <w:r>
        <w:instrText xml:space="preserve"> HYPERLINK \l "_Toc60466360" </w:instrText>
      </w:r>
      <w:r>
        <w:fldChar w:fldCharType="separate"/>
      </w:r>
      <w:r>
        <w:rPr>
          <w:rStyle w:val="15"/>
          <w:rFonts w:hint="eastAsia" w:eastAsia="方正仿宋_GBK" w:cs="方正仿宋_GBK"/>
          <w:sz w:val="32"/>
          <w:szCs w:val="32"/>
        </w:rPr>
        <w:t>第四十二章</w:t>
      </w:r>
      <w:r>
        <w:rPr>
          <w:rStyle w:val="15"/>
          <w:rFonts w:eastAsia="方正仿宋_GBK"/>
          <w:sz w:val="32"/>
          <w:szCs w:val="32"/>
        </w:rPr>
        <w:t xml:space="preserve"> </w:t>
      </w:r>
      <w:r>
        <w:rPr>
          <w:rStyle w:val="15"/>
          <w:rFonts w:hint="eastAsia" w:eastAsia="方正仿宋_GBK" w:cs="方正仿宋_GBK"/>
          <w:sz w:val="32"/>
          <w:szCs w:val="32"/>
        </w:rPr>
        <w:t>加强多元要素协同</w:t>
      </w:r>
      <w:r>
        <w:rPr>
          <w:rFonts w:eastAsia="方正仿宋_GBK"/>
          <w:sz w:val="32"/>
          <w:szCs w:val="32"/>
        </w:rPr>
        <w:tab/>
      </w:r>
      <w:r>
        <w:rPr>
          <w:rFonts w:eastAsia="方正仿宋_GBK"/>
          <w:sz w:val="32"/>
          <w:szCs w:val="32"/>
        </w:rPr>
        <w:fldChar w:fldCharType="begin"/>
      </w:r>
      <w:r>
        <w:rPr>
          <w:rFonts w:eastAsia="方正仿宋_GBK"/>
          <w:sz w:val="32"/>
          <w:szCs w:val="32"/>
        </w:rPr>
        <w:instrText xml:space="preserve"> PAGEREF _Toc60466360 \h </w:instrText>
      </w:r>
      <w:r>
        <w:rPr>
          <w:rFonts w:eastAsia="方正仿宋_GBK"/>
          <w:sz w:val="32"/>
          <w:szCs w:val="32"/>
        </w:rPr>
        <w:fldChar w:fldCharType="separate"/>
      </w:r>
      <w:r>
        <w:rPr>
          <w:rFonts w:eastAsia="方正仿宋_GBK"/>
          <w:sz w:val="32"/>
          <w:szCs w:val="32"/>
        </w:rPr>
        <w:t>118</w:t>
      </w:r>
      <w:r>
        <w:rPr>
          <w:rFonts w:eastAsia="方正仿宋_GBK"/>
          <w:sz w:val="32"/>
          <w:szCs w:val="32"/>
        </w:rPr>
        <w:fldChar w:fldCharType="end"/>
      </w:r>
      <w:r>
        <w:rPr>
          <w:rFonts w:eastAsia="方正仿宋_GBK"/>
          <w:sz w:val="32"/>
          <w:szCs w:val="32"/>
        </w:rPr>
        <w:fldChar w:fldCharType="end"/>
      </w:r>
    </w:p>
    <w:p w14:paraId="7E5922DB">
      <w:pPr>
        <w:pStyle w:val="9"/>
        <w:tabs>
          <w:tab w:val="right" w:leader="dot" w:pos="8834"/>
        </w:tabs>
        <w:rPr>
          <w:rFonts w:eastAsia="华文中宋"/>
          <w:sz w:val="32"/>
          <w:szCs w:val="32"/>
        </w:rPr>
      </w:pPr>
    </w:p>
    <w:p w14:paraId="54D0BEB4">
      <w:pPr>
        <w:pStyle w:val="3"/>
        <w:keepNext w:val="0"/>
        <w:keepLines w:val="0"/>
        <w:spacing w:before="0" w:after="0" w:line="520" w:lineRule="exact"/>
        <w:rPr>
          <w:rFonts w:eastAsia="华文中宋"/>
          <w:b w:val="0"/>
          <w:bCs w:val="0"/>
          <w:sz w:val="32"/>
          <w:szCs w:val="32"/>
        </w:rPr>
      </w:pPr>
      <w:r>
        <w:rPr>
          <w:rFonts w:eastAsia="华文中宋"/>
          <w:sz w:val="32"/>
          <w:szCs w:val="32"/>
        </w:rPr>
        <w:fldChar w:fldCharType="end"/>
      </w:r>
    </w:p>
    <w:p w14:paraId="3B4516D8">
      <w:pPr>
        <w:rPr>
          <w:rFonts w:eastAsia="华文中宋"/>
        </w:rPr>
      </w:pPr>
    </w:p>
    <w:p w14:paraId="49803634">
      <w:pPr>
        <w:pStyle w:val="3"/>
        <w:keepNext w:val="0"/>
        <w:keepLines w:val="0"/>
        <w:spacing w:before="0" w:after="0" w:line="540" w:lineRule="exact"/>
        <w:jc w:val="center"/>
        <w:rPr>
          <w:rFonts w:eastAsia="华文中宋"/>
          <w:b w:val="0"/>
          <w:bCs w:val="0"/>
        </w:rPr>
      </w:pPr>
    </w:p>
    <w:p w14:paraId="3AD8CD00">
      <w:pPr>
        <w:pStyle w:val="3"/>
        <w:keepNext w:val="0"/>
        <w:keepLines w:val="0"/>
        <w:spacing w:before="0" w:after="0" w:line="540" w:lineRule="exact"/>
        <w:jc w:val="center"/>
        <w:rPr>
          <w:rFonts w:eastAsia="华文中宋"/>
          <w:b w:val="0"/>
          <w:bCs w:val="0"/>
        </w:rPr>
      </w:pPr>
      <w:bookmarkStart w:id="10" w:name="_Toc60466201"/>
    </w:p>
    <w:p w14:paraId="46A70C50">
      <w:pPr>
        <w:pStyle w:val="3"/>
        <w:keepNext w:val="0"/>
        <w:keepLines w:val="0"/>
        <w:spacing w:before="0" w:after="0" w:line="540" w:lineRule="exact"/>
        <w:jc w:val="center"/>
        <w:rPr>
          <w:rFonts w:eastAsia="华文中宋"/>
          <w:b w:val="0"/>
          <w:bCs w:val="0"/>
        </w:rPr>
      </w:pPr>
    </w:p>
    <w:p w14:paraId="65941BA2">
      <w:pPr>
        <w:pStyle w:val="3"/>
        <w:keepNext w:val="0"/>
        <w:keepLines w:val="0"/>
        <w:spacing w:before="0" w:after="0" w:line="540" w:lineRule="exact"/>
        <w:jc w:val="center"/>
        <w:rPr>
          <w:rFonts w:eastAsia="华文中宋"/>
          <w:b w:val="0"/>
          <w:bCs w:val="0"/>
        </w:rPr>
      </w:pPr>
    </w:p>
    <w:p w14:paraId="20DC5D8A">
      <w:pPr>
        <w:pStyle w:val="3"/>
        <w:keepNext w:val="0"/>
        <w:keepLines w:val="0"/>
        <w:spacing w:before="0" w:after="0" w:line="540" w:lineRule="exact"/>
        <w:jc w:val="center"/>
        <w:rPr>
          <w:rFonts w:eastAsia="华文中宋"/>
          <w:b w:val="0"/>
          <w:bCs w:val="0"/>
        </w:rPr>
      </w:pPr>
    </w:p>
    <w:p w14:paraId="15191104">
      <w:pPr>
        <w:pStyle w:val="3"/>
        <w:keepNext w:val="0"/>
        <w:keepLines w:val="0"/>
        <w:spacing w:before="0" w:after="0" w:line="540" w:lineRule="exact"/>
        <w:jc w:val="center"/>
        <w:rPr>
          <w:rFonts w:eastAsia="华文中宋"/>
          <w:b w:val="0"/>
          <w:bCs w:val="0"/>
        </w:rPr>
      </w:pPr>
    </w:p>
    <w:p w14:paraId="376F46DE">
      <w:pPr>
        <w:pStyle w:val="3"/>
        <w:keepNext w:val="0"/>
        <w:keepLines w:val="0"/>
        <w:spacing w:before="0" w:after="0" w:line="540" w:lineRule="exact"/>
        <w:jc w:val="center"/>
        <w:rPr>
          <w:rFonts w:eastAsia="华文中宋"/>
          <w:b w:val="0"/>
          <w:bCs w:val="0"/>
        </w:rPr>
      </w:pPr>
    </w:p>
    <w:p w14:paraId="50DC3BBA">
      <w:pPr>
        <w:pStyle w:val="3"/>
        <w:keepNext w:val="0"/>
        <w:keepLines w:val="0"/>
        <w:spacing w:before="0" w:after="0" w:line="540" w:lineRule="exact"/>
        <w:jc w:val="center"/>
        <w:rPr>
          <w:rFonts w:eastAsia="华文中宋"/>
          <w:b w:val="0"/>
          <w:bCs w:val="0"/>
        </w:rPr>
      </w:pPr>
    </w:p>
    <w:p w14:paraId="14E4564C">
      <w:pPr>
        <w:pStyle w:val="3"/>
        <w:keepNext w:val="0"/>
        <w:keepLines w:val="0"/>
        <w:spacing w:before="0" w:after="0" w:line="540" w:lineRule="exact"/>
        <w:jc w:val="center"/>
        <w:rPr>
          <w:rFonts w:eastAsia="华文中宋"/>
          <w:b w:val="0"/>
          <w:bCs w:val="0"/>
        </w:rPr>
      </w:pPr>
    </w:p>
    <w:p w14:paraId="13519EC0">
      <w:pPr>
        <w:pStyle w:val="3"/>
        <w:keepNext w:val="0"/>
        <w:keepLines w:val="0"/>
        <w:spacing w:before="0" w:after="0" w:line="540" w:lineRule="exact"/>
        <w:jc w:val="center"/>
        <w:rPr>
          <w:rFonts w:eastAsia="华文中宋"/>
          <w:b w:val="0"/>
          <w:bCs w:val="0"/>
        </w:rPr>
      </w:pPr>
    </w:p>
    <w:p w14:paraId="161396E6">
      <w:pPr>
        <w:pStyle w:val="3"/>
        <w:keepNext w:val="0"/>
        <w:keepLines w:val="0"/>
        <w:spacing w:before="0" w:after="0" w:line="540" w:lineRule="exact"/>
        <w:jc w:val="center"/>
        <w:rPr>
          <w:rFonts w:eastAsia="华文中宋"/>
          <w:b w:val="0"/>
          <w:bCs w:val="0"/>
        </w:rPr>
      </w:pPr>
    </w:p>
    <w:p w14:paraId="06556C4F">
      <w:pPr>
        <w:pStyle w:val="3"/>
        <w:keepNext w:val="0"/>
        <w:keepLines w:val="0"/>
        <w:spacing w:before="0" w:after="0" w:line="540" w:lineRule="exact"/>
        <w:jc w:val="center"/>
        <w:rPr>
          <w:rFonts w:eastAsia="华文中宋"/>
          <w:b w:val="0"/>
          <w:bCs w:val="0"/>
        </w:rPr>
      </w:pPr>
    </w:p>
    <w:p w14:paraId="077677A3">
      <w:pPr>
        <w:pStyle w:val="3"/>
        <w:keepNext w:val="0"/>
        <w:keepLines w:val="0"/>
        <w:spacing w:before="0" w:after="0" w:line="540" w:lineRule="exact"/>
        <w:jc w:val="center"/>
        <w:rPr>
          <w:rFonts w:eastAsia="华文中宋"/>
          <w:b w:val="0"/>
          <w:bCs w:val="0"/>
        </w:rPr>
      </w:pPr>
    </w:p>
    <w:p w14:paraId="6774C7DF">
      <w:pPr>
        <w:pStyle w:val="3"/>
        <w:keepNext w:val="0"/>
        <w:keepLines w:val="0"/>
        <w:spacing w:before="0" w:after="0" w:line="540" w:lineRule="exact"/>
        <w:jc w:val="center"/>
        <w:rPr>
          <w:rFonts w:eastAsia="华文中宋"/>
          <w:b w:val="0"/>
          <w:bCs w:val="0"/>
        </w:rPr>
      </w:pPr>
    </w:p>
    <w:p w14:paraId="7A52EBFA">
      <w:pPr>
        <w:pStyle w:val="3"/>
        <w:keepNext w:val="0"/>
        <w:keepLines w:val="0"/>
        <w:spacing w:before="0" w:after="0" w:line="540" w:lineRule="exact"/>
        <w:jc w:val="center"/>
        <w:rPr>
          <w:rFonts w:eastAsia="华文中宋"/>
          <w:b w:val="0"/>
          <w:bCs w:val="0"/>
        </w:rPr>
      </w:pPr>
    </w:p>
    <w:p w14:paraId="642652C7">
      <w:pPr>
        <w:pStyle w:val="3"/>
        <w:keepNext w:val="0"/>
        <w:keepLines w:val="0"/>
        <w:spacing w:before="0" w:after="0" w:line="540" w:lineRule="exact"/>
        <w:jc w:val="center"/>
        <w:rPr>
          <w:rFonts w:eastAsia="华文中宋"/>
          <w:b w:val="0"/>
          <w:bCs w:val="0"/>
        </w:rPr>
      </w:pPr>
    </w:p>
    <w:p w14:paraId="578B4D6E">
      <w:pPr>
        <w:rPr>
          <w:rFonts w:eastAsia="华文中宋"/>
        </w:rPr>
      </w:pPr>
    </w:p>
    <w:p w14:paraId="08B59792">
      <w:pPr>
        <w:pStyle w:val="2"/>
      </w:pPr>
    </w:p>
    <w:p w14:paraId="2CD8602C">
      <w:pPr>
        <w:pStyle w:val="3"/>
        <w:keepNext w:val="0"/>
        <w:keepLines w:val="0"/>
        <w:spacing w:before="0" w:after="0" w:line="540" w:lineRule="exact"/>
        <w:jc w:val="center"/>
        <w:rPr>
          <w:rFonts w:eastAsia="华文中宋"/>
          <w:b w:val="0"/>
          <w:bCs w:val="0"/>
        </w:rPr>
      </w:pPr>
    </w:p>
    <w:bookmarkEnd w:id="4"/>
    <w:bookmarkEnd w:id="5"/>
    <w:bookmarkEnd w:id="6"/>
    <w:bookmarkEnd w:id="7"/>
    <w:bookmarkEnd w:id="8"/>
    <w:bookmarkEnd w:id="9"/>
    <w:bookmarkEnd w:id="10"/>
    <w:p w14:paraId="3EE7A6D3">
      <w:pPr>
        <w:pStyle w:val="3"/>
        <w:keepNext w:val="0"/>
        <w:keepLines w:val="0"/>
        <w:spacing w:before="0" w:after="0" w:line="700" w:lineRule="exact"/>
        <w:jc w:val="center"/>
        <w:rPr>
          <w:rFonts w:ascii="方正小标宋_GBK" w:eastAsia="方正小标宋_GBK"/>
          <w:b w:val="0"/>
          <w:bCs w:val="0"/>
        </w:rPr>
        <w:sectPr>
          <w:footerReference r:id="rId7" w:type="first"/>
          <w:footerReference r:id="rId6" w:type="default"/>
          <w:footnotePr>
            <w:numRestart w:val="eachPage"/>
          </w:footnotePr>
          <w:pgSz w:w="11906" w:h="16838"/>
          <w:pgMar w:top="1814" w:right="1531" w:bottom="1588" w:left="1531" w:header="851" w:footer="1304" w:gutter="0"/>
          <w:pgNumType w:start="1"/>
          <w:cols w:space="720" w:num="1"/>
          <w:titlePg/>
          <w:docGrid w:type="lines" w:linePitch="312" w:charSpace="0"/>
        </w:sectPr>
      </w:pPr>
      <w:bookmarkStart w:id="11" w:name="_Toc60466202"/>
    </w:p>
    <w:p w14:paraId="03DB7796">
      <w:pPr>
        <w:pStyle w:val="3"/>
        <w:keepNext w:val="0"/>
        <w:keepLines w:val="0"/>
        <w:spacing w:before="0" w:after="0" w:line="700" w:lineRule="exact"/>
        <w:jc w:val="center"/>
        <w:rPr>
          <w:rFonts w:ascii="方正小标宋_GBK" w:eastAsia="方正小标宋_GBK"/>
          <w:b w:val="0"/>
          <w:bCs w:val="0"/>
        </w:rPr>
      </w:pPr>
      <w:r>
        <w:rPr>
          <w:rFonts w:hint="eastAsia" w:ascii="方正小标宋_GBK" w:eastAsia="方正小标宋_GBK" w:cs="方正小标宋_GBK"/>
          <w:b w:val="0"/>
          <w:bCs w:val="0"/>
        </w:rPr>
        <w:t>第一篇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开启基本实现社会主义现代化建设新征程</w:t>
      </w:r>
      <w:bookmarkStart w:id="12" w:name="_Toc17674"/>
      <w:r>
        <w:rPr>
          <w:rFonts w:hint="eastAsia" w:ascii="方正小标宋_GBK" w:eastAsia="方正小标宋_GBK" w:cs="方正小标宋_GBK"/>
          <w:b w:val="0"/>
          <w:bCs w:val="0"/>
        </w:rPr>
        <w:t>推动“强富美高”新秦淮发展再起航</w:t>
      </w:r>
      <w:bookmarkEnd w:id="11"/>
      <w:bookmarkEnd w:id="12"/>
    </w:p>
    <w:p w14:paraId="152CBAF6">
      <w:pPr>
        <w:pStyle w:val="2"/>
        <w:spacing w:line="540" w:lineRule="exact"/>
        <w:ind w:firstLine="640"/>
        <w:rPr>
          <w:rFonts w:eastAsia="仿宋"/>
          <w:sz w:val="32"/>
          <w:szCs w:val="32"/>
        </w:rPr>
      </w:pPr>
      <w:bookmarkStart w:id="13" w:name="_Toc426387890"/>
      <w:bookmarkStart w:id="14" w:name="_Toc435210307"/>
      <w:bookmarkStart w:id="15" w:name="_Toc436925392"/>
      <w:bookmarkStart w:id="16" w:name="_Toc435210081"/>
      <w:bookmarkStart w:id="17" w:name="_Toc435213975"/>
      <w:bookmarkStart w:id="18" w:name="_Toc436730127"/>
    </w:p>
    <w:p w14:paraId="4C4F477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十三五</w:t>
      </w:r>
      <w:r>
        <w:rPr>
          <w:rFonts w:eastAsia="方正仿宋_GBK"/>
          <w:sz w:val="32"/>
          <w:szCs w:val="32"/>
        </w:rPr>
        <w:t>”</w:t>
      </w:r>
      <w:r>
        <w:rPr>
          <w:rFonts w:hint="eastAsia" w:eastAsia="方正仿宋_GBK" w:cs="方正仿宋_GBK"/>
          <w:sz w:val="32"/>
          <w:szCs w:val="32"/>
        </w:rPr>
        <w:t>期间，面对国内外各种风险明显增多，挑战明显增大，局势错综复杂的局面，全区上下坚持以习近平新时代中国特色社会主义思想为指导，全面贯彻习近平总书记关于江苏工作的重要讲话和指示精神，深入落实党中央、国务院，省委、省政府和市委、市政府的决策部署，坚持稳中求进工作总基调，自觉践行新发展理念，以推动高质量发展为主题，对标找差、创新实干，奋力夺取疫情防控和经济社会发展双胜利，基本完成</w:t>
      </w:r>
      <w:r>
        <w:rPr>
          <w:rFonts w:eastAsia="方正仿宋_GBK"/>
          <w:sz w:val="32"/>
          <w:szCs w:val="32"/>
        </w:rPr>
        <w:t>“</w:t>
      </w:r>
      <w:r>
        <w:rPr>
          <w:rFonts w:hint="eastAsia" w:eastAsia="方正仿宋_GBK" w:cs="方正仿宋_GBK"/>
          <w:sz w:val="32"/>
          <w:szCs w:val="32"/>
        </w:rPr>
        <w:t>十三五</w:t>
      </w:r>
      <w:r>
        <w:rPr>
          <w:rFonts w:eastAsia="方正仿宋_GBK"/>
          <w:sz w:val="32"/>
          <w:szCs w:val="32"/>
        </w:rPr>
        <w:t>”</w:t>
      </w:r>
      <w:r>
        <w:rPr>
          <w:rFonts w:hint="eastAsia" w:eastAsia="方正仿宋_GBK" w:cs="方正仿宋_GBK"/>
          <w:sz w:val="32"/>
          <w:szCs w:val="32"/>
        </w:rPr>
        <w:t>规划确定的主要目标任务。</w:t>
      </w:r>
    </w:p>
    <w:p w14:paraId="4EEF3BAB">
      <w:pPr>
        <w:pStyle w:val="4"/>
        <w:keepNext w:val="0"/>
        <w:keepLines w:val="0"/>
        <w:numPr>
          <w:ilvl w:val="0"/>
          <w:numId w:val="1"/>
        </w:numPr>
        <w:spacing w:beforeLines="100" w:afterLines="100" w:line="540" w:lineRule="exact"/>
        <w:jc w:val="center"/>
        <w:rPr>
          <w:rFonts w:ascii="方正黑体_GBK" w:hAnsi="方正黑体_GBK" w:eastAsia="方正黑体_GBK" w:cs="Times New Roman"/>
          <w:b w:val="0"/>
          <w:bCs w:val="0"/>
        </w:rPr>
      </w:pPr>
      <w:bookmarkStart w:id="19" w:name="_Toc439776006"/>
      <w:bookmarkStart w:id="20" w:name="_Toc60466203"/>
      <w:r>
        <w:rPr>
          <w:rFonts w:hint="eastAsia" w:ascii="方正黑体_GBK" w:hAnsi="方正黑体_GBK" w:eastAsia="方正黑体_GBK" w:cs="方正黑体_GBK"/>
          <w:b w:val="0"/>
          <w:bCs w:val="0"/>
        </w:rPr>
        <w:t>发展</w:t>
      </w:r>
      <w:bookmarkEnd w:id="13"/>
      <w:bookmarkEnd w:id="14"/>
      <w:bookmarkEnd w:id="15"/>
      <w:bookmarkEnd w:id="16"/>
      <w:bookmarkEnd w:id="17"/>
      <w:bookmarkEnd w:id="18"/>
      <w:bookmarkEnd w:id="19"/>
      <w:r>
        <w:rPr>
          <w:rFonts w:hint="eastAsia" w:ascii="方正黑体_GBK" w:hAnsi="方正黑体_GBK" w:eastAsia="方正黑体_GBK" w:cs="方正黑体_GBK"/>
          <w:b w:val="0"/>
          <w:bCs w:val="0"/>
        </w:rPr>
        <w:t>基础</w:t>
      </w:r>
      <w:bookmarkEnd w:id="20"/>
    </w:p>
    <w:p w14:paraId="5108BC3B">
      <w:pPr>
        <w:spacing w:line="590" w:lineRule="exact"/>
        <w:ind w:firstLine="629"/>
        <w:rPr>
          <w:rFonts w:eastAsia="方正仿宋_GBK"/>
          <w:sz w:val="32"/>
          <w:szCs w:val="32"/>
        </w:rPr>
      </w:pPr>
      <w:r>
        <w:rPr>
          <w:rFonts w:hint="eastAsia" w:eastAsia="方正仿宋_GBK" w:cs="方正仿宋_GBK"/>
          <w:sz w:val="32"/>
          <w:szCs w:val="32"/>
        </w:rPr>
        <w:t>五年来，围绕打破载体空间有限、创新动力不足、民生短板待补等制约区域发展的瓶颈，推进产业升级、集聚创新资源、打造优质载体、优化营商环境，推进公共服务均衡布局、社会事业提质、城市精细建管、生态环境改善、富民惠民保障、社会治理创新，立足区情、科学谋划、锐意改革，走出了一条具有秦淮特色的高质量发展道路。</w:t>
      </w:r>
    </w:p>
    <w:p w14:paraId="4539CCE4">
      <w:pPr>
        <w:spacing w:line="590" w:lineRule="exact"/>
        <w:ind w:firstLine="629"/>
        <w:rPr>
          <w:rFonts w:eastAsia="方正仿宋_GBK"/>
          <w:sz w:val="32"/>
          <w:szCs w:val="32"/>
        </w:rPr>
      </w:pPr>
      <w:r>
        <w:rPr>
          <w:rFonts w:hint="eastAsia" w:eastAsia="方正仿宋_GBK" w:cs="方正仿宋_GBK"/>
          <w:sz w:val="32"/>
          <w:szCs w:val="32"/>
        </w:rPr>
        <w:t>经济综合实力提质增效。地区生产总值提前一年完成“十三五”时期确定的</w:t>
      </w:r>
      <w:r>
        <w:rPr>
          <w:rFonts w:eastAsia="方正仿宋_GBK"/>
          <w:sz w:val="32"/>
          <w:szCs w:val="32"/>
        </w:rPr>
        <w:t>1000</w:t>
      </w:r>
      <w:r>
        <w:rPr>
          <w:rFonts w:hint="eastAsia" w:eastAsia="方正仿宋_GBK" w:cs="方正仿宋_GBK"/>
          <w:sz w:val="32"/>
          <w:szCs w:val="32"/>
        </w:rPr>
        <w:t>亿元目标任务，</w:t>
      </w:r>
      <w:r>
        <w:rPr>
          <w:rFonts w:eastAsia="方正仿宋_GBK"/>
          <w:sz w:val="32"/>
          <w:szCs w:val="32"/>
        </w:rPr>
        <w:t>2020</w:t>
      </w:r>
      <w:r>
        <w:rPr>
          <w:rFonts w:hint="eastAsia" w:eastAsia="方正仿宋_GBK" w:cs="方正仿宋_GBK"/>
          <w:sz w:val="32"/>
          <w:szCs w:val="32"/>
        </w:rPr>
        <w:t>年达</w:t>
      </w:r>
      <w:r>
        <w:rPr>
          <w:rFonts w:eastAsia="方正仿宋_GBK"/>
          <w:sz w:val="32"/>
          <w:szCs w:val="32"/>
        </w:rPr>
        <w:t>1286</w:t>
      </w:r>
      <w:r>
        <w:rPr>
          <w:rFonts w:hint="eastAsia" w:eastAsia="方正仿宋_GBK" w:cs="方正仿宋_GBK"/>
          <w:sz w:val="32"/>
          <w:szCs w:val="32"/>
        </w:rPr>
        <w:t>亿元，服务业增加值占</w:t>
      </w:r>
      <w:r>
        <w:rPr>
          <w:rFonts w:eastAsia="方正仿宋_GBK"/>
          <w:sz w:val="32"/>
          <w:szCs w:val="32"/>
        </w:rPr>
        <w:t>GDP</w:t>
      </w:r>
      <w:r>
        <w:rPr>
          <w:rFonts w:hint="eastAsia" w:eastAsia="方正仿宋_GBK" w:cs="方正仿宋_GBK"/>
          <w:sz w:val="32"/>
          <w:szCs w:val="32"/>
        </w:rPr>
        <w:t>比重超</w:t>
      </w:r>
      <w:r>
        <w:rPr>
          <w:rFonts w:eastAsia="方正仿宋_GBK"/>
          <w:sz w:val="32"/>
          <w:szCs w:val="32"/>
        </w:rPr>
        <w:t>92%</w:t>
      </w:r>
      <w:r>
        <w:rPr>
          <w:rFonts w:hint="eastAsia" w:eastAsia="方正仿宋_GBK" w:cs="方正仿宋_GBK"/>
          <w:sz w:val="32"/>
          <w:szCs w:val="32"/>
        </w:rPr>
        <w:t>。一般公共预算收入提前一年完成“十三五”时期确定的</w:t>
      </w:r>
      <w:r>
        <w:rPr>
          <w:rFonts w:eastAsia="方正仿宋_GBK"/>
          <w:sz w:val="32"/>
          <w:szCs w:val="32"/>
        </w:rPr>
        <w:t>100</w:t>
      </w:r>
      <w:r>
        <w:rPr>
          <w:rFonts w:hint="eastAsia" w:eastAsia="方正仿宋_GBK" w:cs="方正仿宋_GBK"/>
          <w:sz w:val="32"/>
          <w:szCs w:val="32"/>
        </w:rPr>
        <w:t>亿元目标任务，</w:t>
      </w:r>
      <w:r>
        <w:rPr>
          <w:rFonts w:eastAsia="方正仿宋_GBK"/>
          <w:sz w:val="32"/>
          <w:szCs w:val="32"/>
        </w:rPr>
        <w:t>2020</w:t>
      </w:r>
      <w:r>
        <w:rPr>
          <w:rFonts w:hint="eastAsia" w:eastAsia="方正仿宋_GBK" w:cs="方正仿宋_GBK"/>
          <w:sz w:val="32"/>
          <w:szCs w:val="32"/>
        </w:rPr>
        <w:t>年达</w:t>
      </w:r>
      <w:r>
        <w:rPr>
          <w:rFonts w:eastAsia="方正仿宋_GBK"/>
          <w:sz w:val="32"/>
          <w:szCs w:val="32"/>
        </w:rPr>
        <w:t>100.1</w:t>
      </w:r>
      <w:r>
        <w:rPr>
          <w:rFonts w:hint="eastAsia" w:eastAsia="方正仿宋_GBK" w:cs="方正仿宋_GBK"/>
          <w:sz w:val="32"/>
          <w:szCs w:val="32"/>
        </w:rPr>
        <w:t>亿元。以产业聚焦和主体功能区改革为主线，新街口金融商务区、老城南文化旅游区、东部高新技术产业集聚区和南部新城高铁枢纽经济区四大板块产业特色更鲜明。重点打造现代金融服务、高端商务商贸、文化旅游、软件和信息服务</w:t>
      </w:r>
      <w:r>
        <w:rPr>
          <w:rFonts w:eastAsia="方正仿宋_GBK"/>
          <w:sz w:val="32"/>
          <w:szCs w:val="32"/>
        </w:rPr>
        <w:t>4</w:t>
      </w:r>
      <w:r>
        <w:rPr>
          <w:rFonts w:hint="eastAsia" w:eastAsia="方正仿宋_GBK" w:cs="方正仿宋_GBK"/>
          <w:sz w:val="32"/>
          <w:szCs w:val="32"/>
        </w:rPr>
        <w:t>个主导产业，培育物联网产业，创建省级车联网先导区，打造“悦动新门西”物联网产业基地，形成“</w:t>
      </w:r>
      <w:r>
        <w:rPr>
          <w:rFonts w:eastAsia="方正仿宋_GBK"/>
          <w:sz w:val="32"/>
          <w:szCs w:val="32"/>
        </w:rPr>
        <w:t>4+1</w:t>
      </w:r>
      <w:r>
        <w:rPr>
          <w:rFonts w:hint="eastAsia" w:eastAsia="方正仿宋_GBK" w:cs="方正仿宋_GBK"/>
          <w:sz w:val="32"/>
          <w:szCs w:val="32"/>
        </w:rPr>
        <w:t>”主导产业体系。高质量企业加速集聚，新增南钢国贸、联通物联网等规模以上企业</w:t>
      </w:r>
      <w:r>
        <w:rPr>
          <w:rFonts w:eastAsia="方正仿宋_GBK"/>
          <w:sz w:val="32"/>
          <w:szCs w:val="32"/>
        </w:rPr>
        <w:t>859</w:t>
      </w:r>
      <w:r>
        <w:rPr>
          <w:rFonts w:hint="eastAsia" w:eastAsia="方正仿宋_GBK" w:cs="方正仿宋_GBK"/>
          <w:sz w:val="32"/>
          <w:szCs w:val="32"/>
        </w:rPr>
        <w:t>家；汇集华设设计、中航无人机等市级总部企业</w:t>
      </w:r>
      <w:r>
        <w:rPr>
          <w:rFonts w:eastAsia="方正仿宋_GBK"/>
          <w:sz w:val="32"/>
          <w:szCs w:val="32"/>
        </w:rPr>
        <w:t>33</w:t>
      </w:r>
      <w:r>
        <w:rPr>
          <w:rFonts w:hint="eastAsia" w:eastAsia="方正仿宋_GBK" w:cs="方正仿宋_GBK"/>
          <w:sz w:val="32"/>
          <w:szCs w:val="32"/>
        </w:rPr>
        <w:t>家，全市总量占比</w:t>
      </w:r>
      <w:r>
        <w:rPr>
          <w:rFonts w:eastAsia="方正仿宋_GBK"/>
          <w:sz w:val="32"/>
          <w:szCs w:val="32"/>
        </w:rPr>
        <w:t>16%</w:t>
      </w:r>
      <w:r>
        <w:rPr>
          <w:rFonts w:hint="eastAsia" w:eastAsia="方正仿宋_GBK" w:cs="方正仿宋_GBK"/>
          <w:sz w:val="32"/>
          <w:szCs w:val="32"/>
        </w:rPr>
        <w:t>；集聚江苏银行等主板上市企业</w:t>
      </w:r>
      <w:r>
        <w:rPr>
          <w:rFonts w:eastAsia="方正仿宋_GBK"/>
          <w:sz w:val="32"/>
          <w:szCs w:val="32"/>
        </w:rPr>
        <w:t>10</w:t>
      </w:r>
      <w:r>
        <w:rPr>
          <w:rFonts w:hint="eastAsia" w:eastAsia="方正仿宋_GBK" w:cs="方正仿宋_GBK"/>
          <w:sz w:val="32"/>
          <w:szCs w:val="32"/>
        </w:rPr>
        <w:t>家，秦淮风光、云创大数据等新三板、区域股权转让系统挂牌企业</w:t>
      </w:r>
      <w:r>
        <w:rPr>
          <w:rFonts w:eastAsia="方正仿宋_GBK"/>
          <w:sz w:val="32"/>
          <w:szCs w:val="32"/>
        </w:rPr>
        <w:t>61</w:t>
      </w:r>
      <w:r>
        <w:rPr>
          <w:rFonts w:hint="eastAsia" w:eastAsia="方正仿宋_GBK" w:cs="方正仿宋_GBK"/>
          <w:sz w:val="32"/>
          <w:szCs w:val="32"/>
        </w:rPr>
        <w:t>家；新增锦创科技、贝登医疗等培育独角兽企业</w:t>
      </w:r>
      <w:r>
        <w:rPr>
          <w:rFonts w:eastAsia="方正仿宋_GBK"/>
          <w:sz w:val="32"/>
          <w:szCs w:val="32"/>
        </w:rPr>
        <w:t>9</w:t>
      </w:r>
      <w:r>
        <w:rPr>
          <w:rFonts w:hint="eastAsia" w:eastAsia="方正仿宋_GBK" w:cs="方正仿宋_GBK"/>
          <w:sz w:val="32"/>
          <w:szCs w:val="32"/>
        </w:rPr>
        <w:t>家，普旭软件、新通智能等瞪羚企业</w:t>
      </w:r>
      <w:r>
        <w:rPr>
          <w:rFonts w:eastAsia="方正仿宋_GBK"/>
          <w:sz w:val="32"/>
          <w:szCs w:val="32"/>
        </w:rPr>
        <w:t>21</w:t>
      </w:r>
      <w:r>
        <w:rPr>
          <w:rFonts w:hint="eastAsia" w:eastAsia="方正仿宋_GBK" w:cs="方正仿宋_GBK"/>
          <w:sz w:val="32"/>
          <w:szCs w:val="32"/>
        </w:rPr>
        <w:t>家。区重大项目推进办公室实体化运作，累计推进紫云智慧广场、白下高新区数据产业园等产业发展类，南部新城市中医院、南外新校区等社会事业类项目共</w:t>
      </w:r>
      <w:r>
        <w:rPr>
          <w:rFonts w:eastAsia="方正仿宋_GBK"/>
          <w:sz w:val="32"/>
          <w:szCs w:val="32"/>
        </w:rPr>
        <w:t>113</w:t>
      </w:r>
      <w:r>
        <w:rPr>
          <w:rFonts w:hint="eastAsia" w:eastAsia="方正仿宋_GBK" w:cs="方正仿宋_GBK"/>
          <w:sz w:val="32"/>
          <w:szCs w:val="32"/>
        </w:rPr>
        <w:t>个，完成重大项目投资</w:t>
      </w:r>
      <w:r>
        <w:rPr>
          <w:rFonts w:eastAsia="方正仿宋_GBK"/>
          <w:sz w:val="32"/>
          <w:szCs w:val="32"/>
        </w:rPr>
        <w:t>833.67</w:t>
      </w:r>
      <w:r>
        <w:rPr>
          <w:rFonts w:hint="eastAsia" w:eastAsia="方正仿宋_GBK" w:cs="方正仿宋_GBK"/>
          <w:sz w:val="32"/>
          <w:szCs w:val="32"/>
        </w:rPr>
        <w:t>亿元。</w:t>
      </w:r>
    </w:p>
    <w:p w14:paraId="5355B125">
      <w:pPr>
        <w:spacing w:line="590" w:lineRule="exact"/>
        <w:ind w:firstLine="629"/>
        <w:rPr>
          <w:rFonts w:eastAsia="方正仿宋_GBK"/>
          <w:sz w:val="32"/>
          <w:szCs w:val="32"/>
        </w:rPr>
      </w:pPr>
      <w:r>
        <w:rPr>
          <w:rFonts w:hint="eastAsia" w:eastAsia="方正仿宋_GBK" w:cs="方正仿宋_GBK"/>
          <w:sz w:val="32"/>
          <w:szCs w:val="32"/>
        </w:rPr>
        <w:t>科技创新实践活力激发。深化创新名城建设，以白下高新区为主阵地，首提“一区多园”管理模式，“城市硅巷”全市率先破题，“创新湾区”发展生态首次建立，科技创新溢出效应大幅彰显。</w:t>
      </w:r>
      <w:r>
        <w:rPr>
          <w:rFonts w:eastAsia="方正仿宋_GBK"/>
          <w:sz w:val="32"/>
          <w:szCs w:val="32"/>
        </w:rPr>
        <w:t>OPPO</w:t>
      </w:r>
      <w:r>
        <w:rPr>
          <w:rFonts w:hint="eastAsia" w:eastAsia="方正仿宋_GBK" w:cs="方正仿宋_GBK"/>
          <w:sz w:val="32"/>
          <w:szCs w:val="32"/>
        </w:rPr>
        <w:t>至美科技广场开工建设，中电芯谷等</w:t>
      </w:r>
      <w:r>
        <w:rPr>
          <w:rFonts w:eastAsia="方正仿宋_GBK"/>
          <w:sz w:val="32"/>
          <w:szCs w:val="32"/>
        </w:rPr>
        <w:t>18</w:t>
      </w:r>
      <w:r>
        <w:rPr>
          <w:rFonts w:hint="eastAsia" w:eastAsia="方正仿宋_GBK" w:cs="方正仿宋_GBK"/>
          <w:sz w:val="32"/>
          <w:szCs w:val="32"/>
        </w:rPr>
        <w:t>家新型研发机构落地，共孵化引进企业</w:t>
      </w:r>
      <w:r>
        <w:rPr>
          <w:rFonts w:eastAsia="方正仿宋_GBK"/>
          <w:sz w:val="32"/>
          <w:szCs w:val="32"/>
        </w:rPr>
        <w:t>480</w:t>
      </w:r>
      <w:r>
        <w:rPr>
          <w:rFonts w:hint="eastAsia" w:eastAsia="方正仿宋_GBK" w:cs="方正仿宋_GBK"/>
          <w:sz w:val="32"/>
          <w:szCs w:val="32"/>
        </w:rPr>
        <w:t>家，</w:t>
      </w:r>
      <w:r>
        <w:rPr>
          <w:rFonts w:eastAsia="方正仿宋_GBK"/>
          <w:sz w:val="32"/>
          <w:szCs w:val="32"/>
        </w:rPr>
        <w:t>PCT</w:t>
      </w:r>
      <w:r>
        <w:rPr>
          <w:rFonts w:hint="eastAsia" w:eastAsia="方正仿宋_GBK" w:cs="方正仿宋_GBK"/>
          <w:sz w:val="32"/>
          <w:szCs w:val="32"/>
        </w:rPr>
        <w:t>专利申请量</w:t>
      </w:r>
      <w:r>
        <w:rPr>
          <w:rFonts w:eastAsia="方正仿宋_GBK"/>
          <w:sz w:val="32"/>
          <w:szCs w:val="32"/>
        </w:rPr>
        <w:t>107</w:t>
      </w:r>
      <w:r>
        <w:rPr>
          <w:rFonts w:hint="eastAsia" w:eastAsia="方正仿宋_GBK" w:cs="方正仿宋_GBK"/>
          <w:sz w:val="32"/>
          <w:szCs w:val="32"/>
        </w:rPr>
        <w:t>项，有效发明专利拥有量</w:t>
      </w:r>
      <w:r>
        <w:rPr>
          <w:rFonts w:eastAsia="方正仿宋_GBK"/>
          <w:sz w:val="32"/>
          <w:szCs w:val="32"/>
        </w:rPr>
        <w:t>6976</w:t>
      </w:r>
      <w:r>
        <w:rPr>
          <w:rFonts w:hint="eastAsia" w:eastAsia="方正仿宋_GBK" w:cs="方正仿宋_GBK"/>
          <w:sz w:val="32"/>
          <w:szCs w:val="32"/>
        </w:rPr>
        <w:t>项。“两落地一融合”成效显著，成立区创新委，建立秦淮科技智库，在全市率先实施校地干部互派挂职机制，校地联办创新创业大赛，吸引</w:t>
      </w:r>
      <w:r>
        <w:rPr>
          <w:rFonts w:eastAsia="方正仿宋_GBK"/>
          <w:sz w:val="32"/>
          <w:szCs w:val="32"/>
        </w:rPr>
        <w:t>5G</w:t>
      </w:r>
      <w:r>
        <w:rPr>
          <w:rFonts w:hint="eastAsia" w:eastAsia="方正仿宋_GBK" w:cs="方正仿宋_GBK"/>
          <w:sz w:val="32"/>
          <w:szCs w:val="32"/>
        </w:rPr>
        <w:t>物联网产业投资基金、南京华能华延股权投资等科创产业基金，引入海创岛、中关村科创高新技术转移促进会南京中心等专业科创服务机构，打造创新“强磁场”。成立全市首个完全市场化运作的招商中心，加强与上海交大、英国帝国理工等国内外高校院所对接，“生根出访”日本、芬兰等国，建立芬兰、瑞典等海外创新联络站，打造</w:t>
      </w:r>
      <w:r>
        <w:rPr>
          <w:rFonts w:eastAsia="方正仿宋_GBK"/>
          <w:sz w:val="32"/>
          <w:szCs w:val="32"/>
        </w:rPr>
        <w:t>2</w:t>
      </w:r>
      <w:r>
        <w:rPr>
          <w:rFonts w:hint="eastAsia" w:eastAsia="方正仿宋_GBK" w:cs="方正仿宋_GBK"/>
          <w:sz w:val="32"/>
          <w:szCs w:val="32"/>
        </w:rPr>
        <w:t>个海外协同创新中心，新增海外离岸孵化器、加速器、海外创新联络站和创新中心</w:t>
      </w:r>
      <w:r>
        <w:rPr>
          <w:rFonts w:eastAsia="方正仿宋_GBK"/>
          <w:sz w:val="32"/>
          <w:szCs w:val="32"/>
        </w:rPr>
        <w:t>7</w:t>
      </w:r>
      <w:r>
        <w:rPr>
          <w:rFonts w:hint="eastAsia" w:eastAsia="方正仿宋_GBK" w:cs="方正仿宋_GBK"/>
          <w:sz w:val="32"/>
          <w:szCs w:val="32"/>
        </w:rPr>
        <w:t>家。集聚科技顶尖专家</w:t>
      </w:r>
      <w:r>
        <w:rPr>
          <w:rFonts w:eastAsia="方正仿宋_GBK"/>
          <w:sz w:val="32"/>
          <w:szCs w:val="32"/>
        </w:rPr>
        <w:t>13</w:t>
      </w:r>
      <w:r>
        <w:rPr>
          <w:rFonts w:hint="eastAsia" w:eastAsia="方正仿宋_GBK" w:cs="方正仿宋_GBK"/>
          <w:sz w:val="32"/>
          <w:szCs w:val="32"/>
        </w:rPr>
        <w:t>名，省级企业院士工作站</w:t>
      </w:r>
      <w:r>
        <w:rPr>
          <w:rFonts w:eastAsia="方正仿宋_GBK"/>
          <w:sz w:val="32"/>
          <w:szCs w:val="32"/>
        </w:rPr>
        <w:t>7</w:t>
      </w:r>
      <w:r>
        <w:rPr>
          <w:rFonts w:hint="eastAsia" w:eastAsia="方正仿宋_GBK" w:cs="方正仿宋_GBK"/>
          <w:sz w:val="32"/>
          <w:szCs w:val="32"/>
        </w:rPr>
        <w:t>家，新增高技能人才</w:t>
      </w:r>
      <w:r>
        <w:rPr>
          <w:rFonts w:eastAsia="方正仿宋_GBK"/>
          <w:sz w:val="32"/>
          <w:szCs w:val="32"/>
        </w:rPr>
        <w:t>7620</w:t>
      </w:r>
      <w:r>
        <w:rPr>
          <w:rFonts w:hint="eastAsia" w:eastAsia="方正仿宋_GBK" w:cs="方正仿宋_GBK"/>
          <w:sz w:val="32"/>
          <w:szCs w:val="32"/>
        </w:rPr>
        <w:t>人，高新技术企业数达</w:t>
      </w:r>
      <w:r>
        <w:rPr>
          <w:rFonts w:eastAsia="方正仿宋_GBK"/>
          <w:sz w:val="32"/>
          <w:szCs w:val="32"/>
        </w:rPr>
        <w:t>420</w:t>
      </w:r>
      <w:r>
        <w:rPr>
          <w:rFonts w:hint="eastAsia" w:eastAsia="方正仿宋_GBK" w:cs="方正仿宋_GBK"/>
          <w:sz w:val="32"/>
          <w:szCs w:val="32"/>
        </w:rPr>
        <w:t>家。</w:t>
      </w:r>
    </w:p>
    <w:p w14:paraId="7E47F134">
      <w:pPr>
        <w:spacing w:line="590" w:lineRule="exact"/>
        <w:ind w:firstLine="629"/>
        <w:rPr>
          <w:rFonts w:eastAsia="方正仿宋_GBK"/>
          <w:sz w:val="32"/>
          <w:szCs w:val="32"/>
        </w:rPr>
      </w:pPr>
      <w:r>
        <w:rPr>
          <w:rFonts w:hint="eastAsia" w:eastAsia="方正仿宋_GBK" w:cs="方正仿宋_GBK"/>
          <w:sz w:val="32"/>
          <w:szCs w:val="32"/>
        </w:rPr>
        <w:t>老城保护更新风貌彰显。实施历史风貌区改造保护复兴，内外秦淮河全线贯通，明城墙空中廊道，城内、城外慢行绿道三线通畅，“城河一体”大格局轮廓逐渐清晰。畅通水系脉络，实施内秦淮河水环境治理，提升东、西五华里沿河景观亮化工程，开通西五华里水上游览线，实现内外秦淮河贯通。优化城墙面貌，推进明城墙环境整治，打造人文景观廊道，城墙博物馆建设启动。展现片区风貌，以夫子庙、门东等老城片区改造为核心牵引，带动周边城市形态、产业业态、人居环境全面提升，推进历史风貌区连带成片。完成太平南路复兴工程，推进三十四标、首建中心等文旅商产业项目建设，打造民国风情商业街区、旅游长廊和宜居社区。推进有机更新，完成慧园里、西白菜园等历史建筑修缮，小西湖片区开创“小尺度、渐进式”更新模式。新建明城墙沿线、内秦淮河南段等城市绿道，有机衔接城市慢行系统，老城休闲服务功能有效改善。完成新街口片区九龙大厦、粮食大厦等老旧楼宇品质提升，整治周边环境，优化车位配比，提升配套标准，老城产业承载能力有效提升。</w:t>
      </w:r>
      <w:r>
        <w:rPr>
          <w:rFonts w:eastAsia="方正仿宋_GBK"/>
          <w:sz w:val="32"/>
          <w:szCs w:val="32"/>
        </w:rPr>
        <w:t> </w:t>
      </w:r>
    </w:p>
    <w:p w14:paraId="2D9AB5CE">
      <w:pPr>
        <w:spacing w:line="590" w:lineRule="exact"/>
        <w:ind w:firstLine="629"/>
        <w:rPr>
          <w:rFonts w:eastAsia="方正仿宋_GBK"/>
          <w:sz w:val="32"/>
          <w:szCs w:val="32"/>
        </w:rPr>
      </w:pPr>
      <w:r>
        <w:rPr>
          <w:rFonts w:hint="eastAsia" w:eastAsia="方正仿宋_GBK" w:cs="方正仿宋_GBK"/>
          <w:sz w:val="32"/>
          <w:szCs w:val="32"/>
        </w:rPr>
        <w:t>新城开发建设框架拉开。南部新城完成土地征收，基本完成核心区土地整理，为加快新城建设腾出发展空间。完成新城智慧城市顶层设计方案，绿色生态等</w:t>
      </w:r>
      <w:r>
        <w:rPr>
          <w:rFonts w:eastAsia="方正仿宋_GBK"/>
          <w:sz w:val="32"/>
          <w:szCs w:val="32"/>
        </w:rPr>
        <w:t>26</w:t>
      </w:r>
      <w:r>
        <w:rPr>
          <w:rFonts w:hint="eastAsia" w:eastAsia="方正仿宋_GBK" w:cs="方正仿宋_GBK"/>
          <w:sz w:val="32"/>
          <w:szCs w:val="32"/>
        </w:rPr>
        <w:t>项专项规划和设计导则通过评审，</w:t>
      </w:r>
      <w:r>
        <w:rPr>
          <w:rFonts w:eastAsia="方正仿宋_GBK"/>
          <w:sz w:val="32"/>
          <w:szCs w:val="32"/>
        </w:rPr>
        <w:t>18</w:t>
      </w:r>
      <w:r>
        <w:rPr>
          <w:rFonts w:hint="eastAsia" w:eastAsia="方正仿宋_GBK" w:cs="方正仿宋_GBK"/>
          <w:sz w:val="32"/>
          <w:szCs w:val="32"/>
        </w:rPr>
        <w:t>个地块完成出让。规划设计先行引领，完善新城规划体系，完成有轨电车沿线、油库公园等设计，推进机场跑道地下空间、跑道公园、能源系统等专项规划；推动“多规合一”和全要素管控图则管理，制定建筑风貌管控办法，构建基于</w:t>
      </w:r>
      <w:r>
        <w:rPr>
          <w:rFonts w:eastAsia="方正仿宋_GBK"/>
          <w:sz w:val="32"/>
          <w:szCs w:val="32"/>
        </w:rPr>
        <w:t>CIM</w:t>
      </w:r>
      <w:r>
        <w:rPr>
          <w:rFonts w:hint="eastAsia" w:eastAsia="方正仿宋_GBK" w:cs="方正仿宋_GBK"/>
          <w:sz w:val="32"/>
          <w:szCs w:val="32"/>
        </w:rPr>
        <w:t>的数字规划设计管控平台。交通路网建设提速，创新使用</w:t>
      </w:r>
      <w:r>
        <w:rPr>
          <w:rFonts w:eastAsia="方正仿宋_GBK"/>
          <w:sz w:val="32"/>
          <w:szCs w:val="32"/>
        </w:rPr>
        <w:t>EPC</w:t>
      </w:r>
      <w:r>
        <w:rPr>
          <w:rFonts w:hint="eastAsia" w:eastAsia="方正仿宋_GBK" w:cs="方正仿宋_GBK"/>
          <w:sz w:val="32"/>
          <w:szCs w:val="32"/>
        </w:rPr>
        <w:t>管理模式，完成冶修二路、国际路跨外秦淮河桥梁建设，建成东风河路、校场一路等街区道路，推进承天大道、国际路等断头路节点工程，完成机场河、广洋北河河道开挖，启动承天大道管廊、机场路管廊等区域综合管廊体系建设。公共配套不断完善，南部新城医疗中心挂牌运营，中芬合作交流中心、中国第二历史档案馆、故宫南迁文物博物院、南外南部新城等重大项目加速推进。智慧城市提前布局，编制智慧城市总体设计方案和建设服务管理办法，实施</w:t>
      </w:r>
      <w:r>
        <w:rPr>
          <w:rFonts w:eastAsia="方正仿宋_GBK"/>
          <w:sz w:val="32"/>
          <w:szCs w:val="32"/>
        </w:rPr>
        <w:t>5G</w:t>
      </w:r>
      <w:r>
        <w:rPr>
          <w:rFonts w:hint="eastAsia" w:eastAsia="方正仿宋_GBK" w:cs="方正仿宋_GBK"/>
          <w:sz w:val="32"/>
          <w:szCs w:val="32"/>
        </w:rPr>
        <w:t>网络全覆盖，推进智慧工地、智慧水务等应用先行先试，加快建设智慧管廊、智慧能源、</w:t>
      </w:r>
      <w:r>
        <w:rPr>
          <w:rFonts w:hint="eastAsia" w:eastAsia="方正仿宋_GBK" w:cs="方正仿宋_GBK"/>
          <w:spacing w:val="-17"/>
          <w:sz w:val="32"/>
          <w:szCs w:val="32"/>
        </w:rPr>
        <w:t>智慧交通等融合基础设施。</w:t>
      </w:r>
    </w:p>
    <w:p w14:paraId="0BB7FABF">
      <w:pPr>
        <w:spacing w:line="590" w:lineRule="exact"/>
        <w:ind w:firstLine="629"/>
        <w:rPr>
          <w:rFonts w:eastAsia="方正仿宋_GBK"/>
          <w:sz w:val="32"/>
          <w:szCs w:val="32"/>
        </w:rPr>
      </w:pPr>
      <w:r>
        <w:rPr>
          <w:rFonts w:hint="eastAsia" w:eastAsia="方正仿宋_GBK" w:cs="方正仿宋_GBK"/>
          <w:sz w:val="32"/>
          <w:szCs w:val="32"/>
        </w:rPr>
        <w:t>营商环境服务有效提升。深化审批服务制度集成改革，</w:t>
      </w:r>
      <w:r>
        <w:rPr>
          <w:rFonts w:eastAsia="方正仿宋_GBK"/>
          <w:sz w:val="32"/>
          <w:szCs w:val="32"/>
        </w:rPr>
        <w:t>13</w:t>
      </w:r>
      <w:r>
        <w:rPr>
          <w:rFonts w:hint="eastAsia" w:eastAsia="方正仿宋_GBK" w:cs="方正仿宋_GBK"/>
          <w:sz w:val="32"/>
          <w:szCs w:val="32"/>
        </w:rPr>
        <w:t>个部门</w:t>
      </w:r>
      <w:r>
        <w:rPr>
          <w:rFonts w:eastAsia="方正仿宋_GBK"/>
          <w:sz w:val="32"/>
          <w:szCs w:val="32"/>
        </w:rPr>
        <w:t>100</w:t>
      </w:r>
      <w:r>
        <w:rPr>
          <w:rFonts w:hint="eastAsia" w:eastAsia="方正仿宋_GBK" w:cs="方正仿宋_GBK"/>
          <w:sz w:val="32"/>
          <w:szCs w:val="32"/>
        </w:rPr>
        <w:t>项事项集中到行政审批局，实现“一枚印章管审批”。集成市场监管、文化旅游、商务、城管等多部门企业市场准入及准营事项，推出一窗综办套餐式服务窗口挂牌运行，基本实现企业开办</w:t>
      </w:r>
      <w:r>
        <w:rPr>
          <w:rFonts w:eastAsia="方正仿宋_GBK"/>
          <w:sz w:val="32"/>
          <w:szCs w:val="32"/>
        </w:rPr>
        <w:t>3</w:t>
      </w:r>
      <w:r>
        <w:rPr>
          <w:rFonts w:hint="eastAsia" w:eastAsia="方正仿宋_GBK" w:cs="方正仿宋_GBK"/>
          <w:sz w:val="32"/>
          <w:szCs w:val="32"/>
        </w:rPr>
        <w:t>个工作日内办结。打造“一窗受理、材料共享、数据流转、联合办理”的新型服务模式，平均审批时限缩短一半以上，审批材料减少三分之一。建成南京市主城区最大的办税服务厅，在全市率先打造</w:t>
      </w:r>
      <w:r>
        <w:rPr>
          <w:rFonts w:eastAsia="方正仿宋_GBK"/>
          <w:sz w:val="32"/>
          <w:szCs w:val="32"/>
        </w:rPr>
        <w:t>24</w:t>
      </w:r>
      <w:r>
        <w:rPr>
          <w:rFonts w:hint="eastAsia" w:eastAsia="方正仿宋_GBK" w:cs="方正仿宋_GBK"/>
          <w:sz w:val="32"/>
          <w:szCs w:val="32"/>
        </w:rPr>
        <w:t>小时自助办税区。完善街道便民服务中心功能，实现</w:t>
      </w:r>
      <w:r>
        <w:rPr>
          <w:rFonts w:eastAsia="方正仿宋_GBK"/>
          <w:sz w:val="32"/>
          <w:szCs w:val="32"/>
        </w:rPr>
        <w:t>128</w:t>
      </w:r>
      <w:r>
        <w:rPr>
          <w:rFonts w:hint="eastAsia" w:eastAsia="方正仿宋_GBK" w:cs="方正仿宋_GBK"/>
          <w:sz w:val="32"/>
          <w:szCs w:val="32"/>
        </w:rPr>
        <w:t>项事项“就近可办”、</w:t>
      </w:r>
      <w:r>
        <w:rPr>
          <w:rFonts w:eastAsia="方正仿宋_GBK"/>
          <w:sz w:val="32"/>
          <w:szCs w:val="32"/>
        </w:rPr>
        <w:t>93</w:t>
      </w:r>
      <w:r>
        <w:rPr>
          <w:rFonts w:hint="eastAsia" w:eastAsia="方正仿宋_GBK" w:cs="方正仿宋_GBK"/>
          <w:sz w:val="32"/>
          <w:szCs w:val="32"/>
        </w:rPr>
        <w:t>项事项“一网通办”、</w:t>
      </w:r>
      <w:r>
        <w:rPr>
          <w:rFonts w:eastAsia="方正仿宋_GBK"/>
          <w:sz w:val="32"/>
          <w:szCs w:val="32"/>
        </w:rPr>
        <w:t>82</w:t>
      </w:r>
      <w:r>
        <w:rPr>
          <w:rFonts w:hint="eastAsia" w:eastAsia="方正仿宋_GBK" w:cs="方正仿宋_GBK"/>
          <w:sz w:val="32"/>
          <w:szCs w:val="32"/>
        </w:rPr>
        <w:t>项事项“一区通办”，推行“不打烊”自助服务，实现“</w:t>
      </w:r>
      <w:r>
        <w:rPr>
          <w:rFonts w:eastAsia="方正仿宋_GBK"/>
          <w:sz w:val="32"/>
          <w:szCs w:val="32"/>
        </w:rPr>
        <w:t>7×24</w:t>
      </w:r>
      <w:r>
        <w:rPr>
          <w:rFonts w:hint="eastAsia" w:eastAsia="方正仿宋_GBK" w:cs="方正仿宋_GBK"/>
          <w:sz w:val="32"/>
          <w:szCs w:val="32"/>
        </w:rPr>
        <w:t>小时全时办”。推进“不见面审批”改革，搭建</w:t>
      </w:r>
      <w:r>
        <w:rPr>
          <w:rFonts w:eastAsia="方正仿宋_GBK"/>
          <w:sz w:val="32"/>
          <w:szCs w:val="32"/>
        </w:rPr>
        <w:t>34</w:t>
      </w:r>
      <w:r>
        <w:rPr>
          <w:rFonts w:hint="eastAsia" w:eastAsia="方正仿宋_GBK" w:cs="方正仿宋_GBK"/>
          <w:sz w:val="32"/>
          <w:szCs w:val="32"/>
        </w:rPr>
        <w:t>家部门</w:t>
      </w:r>
      <w:r>
        <w:rPr>
          <w:rFonts w:eastAsia="方正仿宋_GBK"/>
          <w:sz w:val="32"/>
          <w:szCs w:val="32"/>
        </w:rPr>
        <w:t>6</w:t>
      </w:r>
      <w:r>
        <w:rPr>
          <w:rFonts w:hint="eastAsia" w:eastAsia="方正仿宋_GBK" w:cs="方正仿宋_GBK"/>
          <w:sz w:val="32"/>
          <w:szCs w:val="32"/>
        </w:rPr>
        <w:t>类套餐式联办服务场景，区级不见面审批事项达</w:t>
      </w:r>
      <w:r>
        <w:rPr>
          <w:rFonts w:eastAsia="方正仿宋_GBK"/>
          <w:sz w:val="32"/>
          <w:szCs w:val="32"/>
        </w:rPr>
        <w:t>829</w:t>
      </w:r>
      <w:r>
        <w:rPr>
          <w:rFonts w:hint="eastAsia" w:eastAsia="方正仿宋_GBK" w:cs="方正仿宋_GBK"/>
          <w:sz w:val="32"/>
          <w:szCs w:val="32"/>
        </w:rPr>
        <w:t>项，不见面审批率达</w:t>
      </w:r>
      <w:r>
        <w:rPr>
          <w:rFonts w:eastAsia="方正仿宋_GBK"/>
          <w:sz w:val="32"/>
          <w:szCs w:val="32"/>
        </w:rPr>
        <w:t>95%</w:t>
      </w:r>
      <w:r>
        <w:rPr>
          <w:rFonts w:hint="eastAsia" w:eastAsia="方正仿宋_GBK" w:cs="方正仿宋_GBK"/>
          <w:sz w:val="32"/>
          <w:szCs w:val="32"/>
        </w:rPr>
        <w:t>。搭建中小企业融资桥梁，累计实现</w:t>
      </w:r>
      <w:r>
        <w:rPr>
          <w:rFonts w:eastAsia="方正仿宋_GBK"/>
          <w:sz w:val="32"/>
          <w:szCs w:val="32"/>
        </w:rPr>
        <w:t>141</w:t>
      </w:r>
      <w:r>
        <w:rPr>
          <w:rFonts w:hint="eastAsia" w:eastAsia="方正仿宋_GBK" w:cs="方正仿宋_GBK"/>
          <w:sz w:val="32"/>
          <w:szCs w:val="32"/>
        </w:rPr>
        <w:t>批次中小微企业</w:t>
      </w:r>
      <w:r>
        <w:rPr>
          <w:rFonts w:eastAsia="方正仿宋_GBK"/>
          <w:sz w:val="32"/>
          <w:szCs w:val="32"/>
        </w:rPr>
        <w:t>38.3</w:t>
      </w:r>
      <w:r>
        <w:rPr>
          <w:rFonts w:hint="eastAsia" w:eastAsia="方正仿宋_GBK" w:cs="方正仿宋_GBK"/>
          <w:sz w:val="32"/>
          <w:szCs w:val="32"/>
        </w:rPr>
        <w:t>亿元股权投资，各类企业主体获贷授信达</w:t>
      </w:r>
      <w:r>
        <w:rPr>
          <w:rFonts w:eastAsia="方正仿宋_GBK"/>
          <w:sz w:val="32"/>
          <w:szCs w:val="32"/>
        </w:rPr>
        <w:t>26</w:t>
      </w:r>
      <w:r>
        <w:rPr>
          <w:rFonts w:hint="eastAsia" w:eastAsia="方正仿宋_GBK" w:cs="方正仿宋_GBK"/>
          <w:sz w:val="32"/>
          <w:szCs w:val="32"/>
        </w:rPr>
        <w:t>亿元。加快形成法治化的营商环境，深化法企联络，整合律师、公证、调解等法律服务资源，实现组团服务，组建民营企业专项法律服务团，为企业提供精准全方位的“法治体检”。</w:t>
      </w:r>
    </w:p>
    <w:p w14:paraId="3B905067">
      <w:pPr>
        <w:spacing w:line="590" w:lineRule="exact"/>
        <w:ind w:firstLine="629"/>
        <w:rPr>
          <w:rFonts w:eastAsia="方正仿宋_GBK"/>
          <w:sz w:val="32"/>
          <w:szCs w:val="32"/>
        </w:rPr>
      </w:pPr>
      <w:r>
        <w:rPr>
          <w:rFonts w:hint="eastAsia" w:eastAsia="方正仿宋_GBK" w:cs="方正仿宋_GBK"/>
          <w:sz w:val="32"/>
          <w:szCs w:val="32"/>
        </w:rPr>
        <w:t>民生福祉改善取得进展。深入实施教育集团化办学紧密型管理，开展“一校多址”“联合办学”“一体化托管”“区管校用”等模式探索，组建</w:t>
      </w:r>
      <w:r>
        <w:rPr>
          <w:rFonts w:eastAsia="方正仿宋_GBK"/>
          <w:sz w:val="32"/>
          <w:szCs w:val="32"/>
        </w:rPr>
        <w:t>7</w:t>
      </w:r>
      <w:r>
        <w:rPr>
          <w:rFonts w:hint="eastAsia" w:eastAsia="方正仿宋_GBK" w:cs="方正仿宋_GBK"/>
          <w:sz w:val="32"/>
          <w:szCs w:val="32"/>
        </w:rPr>
        <w:t>个幼教联盟，成立</w:t>
      </w:r>
      <w:r>
        <w:rPr>
          <w:rFonts w:eastAsia="方正仿宋_GBK"/>
          <w:sz w:val="32"/>
          <w:szCs w:val="32"/>
        </w:rPr>
        <w:t>9</w:t>
      </w:r>
      <w:r>
        <w:rPr>
          <w:rFonts w:hint="eastAsia" w:eastAsia="方正仿宋_GBK" w:cs="方正仿宋_GBK"/>
          <w:sz w:val="32"/>
          <w:szCs w:val="32"/>
        </w:rPr>
        <w:t>个小学名校联盟，组建南航大附属郑外教育集团和秦外教育集团，南师附中秦淮科技高中、南师附中行知分校落地东部片区，南京外国语学校新校区在南部新城开工建设，新增市级骨干教师数量及比例位居全市前列。加快医疗资源“东进南扩”，深化“院府合作”，探索“中医飘香”特色卫生健康服务内涵，市中医院南部新城医疗中心建成使用，筹划建设东部医疗中心，每万人拥有全科医师数</w:t>
      </w:r>
      <w:r>
        <w:rPr>
          <w:rFonts w:eastAsia="方正仿宋_GBK"/>
          <w:sz w:val="32"/>
          <w:szCs w:val="32"/>
        </w:rPr>
        <w:t>4.57</w:t>
      </w:r>
      <w:r>
        <w:rPr>
          <w:rFonts w:hint="eastAsia" w:eastAsia="方正仿宋_GBK" w:cs="方正仿宋_GBK"/>
          <w:sz w:val="32"/>
          <w:szCs w:val="32"/>
        </w:rPr>
        <w:t>人，“</w:t>
      </w:r>
      <w:r>
        <w:rPr>
          <w:rFonts w:eastAsia="方正仿宋_GBK"/>
          <w:sz w:val="32"/>
          <w:szCs w:val="32"/>
        </w:rPr>
        <w:t>15</w:t>
      </w:r>
      <w:r>
        <w:rPr>
          <w:rFonts w:hint="eastAsia" w:eastAsia="方正仿宋_GBK" w:cs="方正仿宋_GBK"/>
          <w:sz w:val="32"/>
          <w:szCs w:val="32"/>
        </w:rPr>
        <w:t>分钟健康圈”初步形成。创成首批国家全域旅游示范区，秦淮灯会多城联动，“中国第一历史文化名河”品牌影响力持续放大，江苏网络文学谷成功落户，秦淮河畔小剧场群建设启动。建设“转角</w:t>
      </w:r>
      <w:r>
        <w:rPr>
          <w:rFonts w:eastAsia="方正仿宋_GBK"/>
          <w:sz w:val="32"/>
          <w:szCs w:val="32"/>
        </w:rPr>
        <w:t>•</w:t>
      </w:r>
      <w:r>
        <w:rPr>
          <w:rFonts w:hint="eastAsia" w:eastAsia="方正仿宋_GBK" w:cs="方正仿宋_GBK"/>
          <w:sz w:val="32"/>
          <w:szCs w:val="32"/>
        </w:rPr>
        <w:t>遇见”公共文化空间</w:t>
      </w:r>
      <w:r>
        <w:rPr>
          <w:rFonts w:eastAsia="方正仿宋_GBK"/>
          <w:sz w:val="32"/>
          <w:szCs w:val="32"/>
        </w:rPr>
        <w:t>100</w:t>
      </w:r>
      <w:r>
        <w:rPr>
          <w:rFonts w:hint="eastAsia" w:eastAsia="方正仿宋_GBK" w:cs="方正仿宋_GBK"/>
          <w:sz w:val="32"/>
          <w:szCs w:val="32"/>
        </w:rPr>
        <w:t>个，居民综合阅读率位居全省前列。新建社会足球场地</w:t>
      </w:r>
      <w:r>
        <w:rPr>
          <w:rFonts w:eastAsia="方正仿宋_GBK"/>
          <w:sz w:val="32"/>
          <w:szCs w:val="32"/>
        </w:rPr>
        <w:t>35</w:t>
      </w:r>
      <w:r>
        <w:rPr>
          <w:rFonts w:hint="eastAsia" w:eastAsia="方正仿宋_GBK" w:cs="方正仿宋_GBK"/>
          <w:sz w:val="32"/>
          <w:szCs w:val="32"/>
        </w:rPr>
        <w:t>个，健身步道</w:t>
      </w:r>
      <w:r>
        <w:rPr>
          <w:rFonts w:eastAsia="方正仿宋_GBK"/>
          <w:sz w:val="32"/>
          <w:szCs w:val="32"/>
        </w:rPr>
        <w:t>80</w:t>
      </w:r>
      <w:r>
        <w:rPr>
          <w:rFonts w:hint="eastAsia" w:eastAsia="方正仿宋_GBK" w:cs="方正仿宋_GBK"/>
          <w:sz w:val="32"/>
          <w:szCs w:val="32"/>
        </w:rPr>
        <w:t>公里，城市社区“</w:t>
      </w:r>
      <w:r>
        <w:rPr>
          <w:rFonts w:eastAsia="方正仿宋_GBK"/>
          <w:sz w:val="32"/>
          <w:szCs w:val="32"/>
        </w:rPr>
        <w:t>10</w:t>
      </w:r>
      <w:r>
        <w:rPr>
          <w:rFonts w:hint="eastAsia" w:eastAsia="方正仿宋_GBK" w:cs="方正仿宋_GBK"/>
          <w:sz w:val="32"/>
          <w:szCs w:val="32"/>
        </w:rPr>
        <w:t>分钟体育健身圈”全覆盖，“南京秦淮城墙马拉松及秦淮国际定向赛”等体育项目形成品牌效应。建成以街道养老综合服务中心为核心，社区居家养老服务中心为节点的“</w:t>
      </w:r>
      <w:r>
        <w:rPr>
          <w:rFonts w:eastAsia="方正仿宋_GBK"/>
          <w:sz w:val="32"/>
          <w:szCs w:val="32"/>
        </w:rPr>
        <w:t>1+N</w:t>
      </w:r>
      <w:r>
        <w:rPr>
          <w:rFonts w:hint="eastAsia" w:eastAsia="方正仿宋_GBK" w:cs="方正仿宋_GBK"/>
          <w:sz w:val="32"/>
          <w:szCs w:val="32"/>
        </w:rPr>
        <w:t>”养老服务网络，组建“为老服务医疗联盟”，</w:t>
      </w:r>
      <w:r>
        <w:rPr>
          <w:rFonts w:eastAsia="方正仿宋_GBK"/>
          <w:sz w:val="32"/>
          <w:szCs w:val="32"/>
        </w:rPr>
        <w:t>104</w:t>
      </w:r>
      <w:r>
        <w:rPr>
          <w:rFonts w:hint="eastAsia" w:eastAsia="方正仿宋_GBK" w:cs="方正仿宋_GBK"/>
          <w:sz w:val="32"/>
          <w:szCs w:val="32"/>
        </w:rPr>
        <w:t>个社区实现居家养老服务中心和“医养结合”服务全覆盖，护理型床位数占养老机构床位数比重超</w:t>
      </w:r>
      <w:r>
        <w:rPr>
          <w:rFonts w:eastAsia="方正仿宋_GBK"/>
          <w:sz w:val="32"/>
          <w:szCs w:val="32"/>
        </w:rPr>
        <w:t>80%</w:t>
      </w:r>
      <w:r>
        <w:rPr>
          <w:rFonts w:hint="eastAsia" w:eastAsia="方正仿宋_GBK" w:cs="方正仿宋_GBK"/>
          <w:sz w:val="32"/>
          <w:szCs w:val="32"/>
        </w:rPr>
        <w:t>。</w:t>
      </w:r>
    </w:p>
    <w:p w14:paraId="613D76A8">
      <w:pPr>
        <w:spacing w:line="590" w:lineRule="exact"/>
        <w:ind w:firstLine="629"/>
        <w:rPr>
          <w:rFonts w:eastAsia="方正仿宋_GBK"/>
          <w:sz w:val="32"/>
          <w:szCs w:val="32"/>
        </w:rPr>
      </w:pPr>
      <w:r>
        <w:rPr>
          <w:rFonts w:hint="eastAsia" w:eastAsia="方正仿宋_GBK" w:cs="方正仿宋_GBK"/>
          <w:sz w:val="32"/>
          <w:szCs w:val="32"/>
        </w:rPr>
        <w:t>富民惠民保障更加完善。把富民惠民、提高百姓收入作为民生发力重点，</w:t>
      </w:r>
      <w:r>
        <w:rPr>
          <w:rFonts w:eastAsia="方正仿宋_GBK"/>
          <w:sz w:val="32"/>
          <w:szCs w:val="32"/>
        </w:rPr>
        <w:t>2020</w:t>
      </w:r>
      <w:r>
        <w:rPr>
          <w:rFonts w:hint="eastAsia" w:eastAsia="方正仿宋_GBK" w:cs="方正仿宋_GBK"/>
          <w:sz w:val="32"/>
          <w:szCs w:val="32"/>
        </w:rPr>
        <w:t>年全体居民人均可支配收入达到</w:t>
      </w:r>
      <w:r>
        <w:rPr>
          <w:rFonts w:eastAsia="方正仿宋_GBK"/>
          <w:sz w:val="32"/>
          <w:szCs w:val="32"/>
        </w:rPr>
        <w:t>6.86</w:t>
      </w:r>
      <w:r>
        <w:rPr>
          <w:rFonts w:hint="eastAsia" w:eastAsia="方正仿宋_GBK" w:cs="方正仿宋_GBK"/>
          <w:sz w:val="32"/>
          <w:szCs w:val="32"/>
        </w:rPr>
        <w:t>万元。全区城镇登记失业率低于</w:t>
      </w:r>
      <w:r>
        <w:rPr>
          <w:rFonts w:eastAsia="方正仿宋_GBK"/>
          <w:sz w:val="32"/>
          <w:szCs w:val="32"/>
        </w:rPr>
        <w:t>3%</w:t>
      </w:r>
      <w:r>
        <w:rPr>
          <w:rFonts w:hint="eastAsia" w:eastAsia="方正仿宋_GBK" w:cs="方正仿宋_GBK"/>
          <w:sz w:val="32"/>
          <w:szCs w:val="32"/>
        </w:rPr>
        <w:t>，累计新增城镇就业</w:t>
      </w:r>
      <w:r>
        <w:rPr>
          <w:rFonts w:eastAsia="方正仿宋_GBK"/>
          <w:sz w:val="32"/>
          <w:szCs w:val="32"/>
        </w:rPr>
        <w:t>14</w:t>
      </w:r>
      <w:r>
        <w:rPr>
          <w:rFonts w:hint="eastAsia" w:eastAsia="方正仿宋_GBK" w:cs="方正仿宋_GBK"/>
          <w:sz w:val="32"/>
          <w:szCs w:val="32"/>
        </w:rPr>
        <w:t>万人，培育自主创业者</w:t>
      </w:r>
      <w:r>
        <w:rPr>
          <w:rFonts w:eastAsia="方正仿宋_GBK"/>
          <w:sz w:val="32"/>
          <w:szCs w:val="32"/>
        </w:rPr>
        <w:t>2.45</w:t>
      </w:r>
      <w:r>
        <w:rPr>
          <w:rFonts w:hint="eastAsia" w:eastAsia="方正仿宋_GBK" w:cs="方正仿宋_GBK"/>
          <w:sz w:val="32"/>
          <w:szCs w:val="32"/>
        </w:rPr>
        <w:t>万人，创业带动就业</w:t>
      </w:r>
      <w:r>
        <w:rPr>
          <w:rFonts w:eastAsia="方正仿宋_GBK"/>
          <w:sz w:val="32"/>
          <w:szCs w:val="32"/>
        </w:rPr>
        <w:t>13.8</w:t>
      </w:r>
      <w:r>
        <w:rPr>
          <w:rFonts w:hint="eastAsia" w:eastAsia="方正仿宋_GBK" w:cs="方正仿宋_GBK"/>
          <w:sz w:val="32"/>
          <w:szCs w:val="32"/>
        </w:rPr>
        <w:t>万人。注重困难人群托底保障，发放各类救助补贴</w:t>
      </w:r>
      <w:r>
        <w:rPr>
          <w:rFonts w:eastAsia="方正仿宋_GBK"/>
          <w:sz w:val="32"/>
          <w:szCs w:val="32"/>
        </w:rPr>
        <w:t>5.6</w:t>
      </w:r>
      <w:r>
        <w:rPr>
          <w:rFonts w:hint="eastAsia" w:eastAsia="方正仿宋_GBK" w:cs="方正仿宋_GBK"/>
          <w:sz w:val="32"/>
          <w:szCs w:val="32"/>
        </w:rPr>
        <w:t>亿元，惠及居民</w:t>
      </w:r>
      <w:r>
        <w:rPr>
          <w:rFonts w:eastAsia="方正仿宋_GBK"/>
          <w:sz w:val="32"/>
          <w:szCs w:val="32"/>
        </w:rPr>
        <w:t>64</w:t>
      </w:r>
      <w:r>
        <w:rPr>
          <w:rFonts w:hint="eastAsia" w:eastAsia="方正仿宋_GBK" w:cs="方正仿宋_GBK"/>
          <w:sz w:val="32"/>
          <w:szCs w:val="32"/>
        </w:rPr>
        <w:t>万人次，对低保家庭成员等</w:t>
      </w:r>
      <w:r>
        <w:rPr>
          <w:rFonts w:eastAsia="方正仿宋_GBK"/>
          <w:sz w:val="32"/>
          <w:szCs w:val="32"/>
        </w:rPr>
        <w:t>7300</w:t>
      </w:r>
      <w:r>
        <w:rPr>
          <w:rFonts w:hint="eastAsia" w:eastAsia="方正仿宋_GBK" w:cs="方正仿宋_GBK"/>
          <w:sz w:val="32"/>
          <w:szCs w:val="32"/>
        </w:rPr>
        <w:t>余名困难人员实行居民医保个人缴费部分全额补助，免费体检服务扩大到</w:t>
      </w:r>
      <w:r>
        <w:rPr>
          <w:rFonts w:eastAsia="方正仿宋_GBK"/>
          <w:sz w:val="32"/>
          <w:szCs w:val="32"/>
        </w:rPr>
        <w:t>60</w:t>
      </w:r>
      <w:r>
        <w:rPr>
          <w:rFonts w:hint="eastAsia" w:eastAsia="方正仿宋_GBK" w:cs="方正仿宋_GBK"/>
          <w:sz w:val="32"/>
          <w:szCs w:val="32"/>
        </w:rPr>
        <w:t>岁以上人群，打造</w:t>
      </w:r>
      <w:r>
        <w:rPr>
          <w:rFonts w:eastAsia="方正仿宋_GBK"/>
          <w:sz w:val="32"/>
          <w:szCs w:val="32"/>
        </w:rPr>
        <w:t>25</w:t>
      </w:r>
      <w:r>
        <w:rPr>
          <w:rFonts w:hint="eastAsia" w:eastAsia="方正仿宋_GBK" w:cs="方正仿宋_GBK"/>
          <w:sz w:val="32"/>
          <w:szCs w:val="32"/>
        </w:rPr>
        <w:t>个“残疾人之家”。大力改造棚户区，完成主城面积最大的范家塘文津桥片区危旧房改造，累计改造修缮棚户区</w:t>
      </w:r>
      <w:r>
        <w:rPr>
          <w:rFonts w:eastAsia="方正仿宋_GBK"/>
          <w:sz w:val="32"/>
          <w:szCs w:val="32"/>
        </w:rPr>
        <w:t>308</w:t>
      </w:r>
      <w:r>
        <w:rPr>
          <w:rFonts w:hint="eastAsia" w:eastAsia="方正仿宋_GBK" w:cs="方正仿宋_GBK"/>
          <w:sz w:val="32"/>
          <w:szCs w:val="32"/>
        </w:rPr>
        <w:t>万平方米，累计建成保障房</w:t>
      </w:r>
      <w:r>
        <w:rPr>
          <w:rFonts w:eastAsia="方正仿宋_GBK"/>
          <w:sz w:val="32"/>
          <w:szCs w:val="32"/>
        </w:rPr>
        <w:t>66</w:t>
      </w:r>
      <w:r>
        <w:rPr>
          <w:rFonts w:hint="eastAsia" w:eastAsia="方正仿宋_GBK" w:cs="方正仿宋_GBK"/>
          <w:sz w:val="32"/>
          <w:szCs w:val="32"/>
        </w:rPr>
        <w:t>万平方米，</w:t>
      </w:r>
      <w:r>
        <w:rPr>
          <w:rFonts w:eastAsia="方正仿宋_GBK"/>
          <w:sz w:val="32"/>
          <w:szCs w:val="32"/>
        </w:rPr>
        <w:t>8.6</w:t>
      </w:r>
      <w:r>
        <w:rPr>
          <w:rFonts w:hint="eastAsia" w:eastAsia="方正仿宋_GBK" w:cs="方正仿宋_GBK"/>
          <w:sz w:val="32"/>
          <w:szCs w:val="32"/>
        </w:rPr>
        <w:t>万户群众住房条件明显改善。</w:t>
      </w:r>
    </w:p>
    <w:p w14:paraId="3EFE96E6">
      <w:pPr>
        <w:spacing w:line="590" w:lineRule="exact"/>
        <w:ind w:firstLine="629"/>
        <w:rPr>
          <w:rFonts w:eastAsia="方正仿宋_GBK"/>
          <w:sz w:val="32"/>
          <w:szCs w:val="32"/>
        </w:rPr>
      </w:pPr>
      <w:r>
        <w:rPr>
          <w:rFonts w:hint="eastAsia" w:eastAsia="方正仿宋_GBK" w:cs="方正仿宋_GBK"/>
          <w:sz w:val="32"/>
          <w:szCs w:val="32"/>
        </w:rPr>
        <w:t>人居生态环境加速改善。加强全域水环境治理，</w:t>
      </w:r>
      <w:r>
        <w:rPr>
          <w:rFonts w:eastAsia="方正仿宋_GBK"/>
          <w:sz w:val="32"/>
          <w:szCs w:val="32"/>
        </w:rPr>
        <w:t>2017</w:t>
      </w:r>
      <w:r>
        <w:rPr>
          <w:rFonts w:hint="eastAsia" w:eastAsia="方正仿宋_GBK" w:cs="方正仿宋_GBK"/>
          <w:sz w:val="32"/>
          <w:szCs w:val="32"/>
        </w:rPr>
        <w:t>年全面消除黑臭，</w:t>
      </w:r>
      <w:r>
        <w:rPr>
          <w:rFonts w:eastAsia="方正仿宋_GBK"/>
          <w:sz w:val="32"/>
          <w:szCs w:val="32"/>
        </w:rPr>
        <w:t>2018</w:t>
      </w:r>
      <w:r>
        <w:rPr>
          <w:rFonts w:hint="eastAsia" w:eastAsia="方正仿宋_GBK" w:cs="方正仿宋_GBK"/>
          <w:sz w:val="32"/>
          <w:szCs w:val="32"/>
        </w:rPr>
        <w:t>年完成雨污分流，</w:t>
      </w:r>
      <w:r>
        <w:rPr>
          <w:rFonts w:eastAsia="方正仿宋_GBK"/>
          <w:sz w:val="32"/>
          <w:szCs w:val="32"/>
        </w:rPr>
        <w:t>2019</w:t>
      </w:r>
      <w:r>
        <w:rPr>
          <w:rFonts w:hint="eastAsia" w:eastAsia="方正仿宋_GBK" w:cs="方正仿宋_GBK"/>
          <w:sz w:val="32"/>
          <w:szCs w:val="32"/>
        </w:rPr>
        <w:t>年水质稳定达标，系统打造秦淮“水系流域花园”，首次实现沿河步道</w:t>
      </w:r>
      <w:r>
        <w:rPr>
          <w:rFonts w:eastAsia="方正仿宋_GBK"/>
          <w:sz w:val="32"/>
          <w:szCs w:val="32"/>
        </w:rPr>
        <w:t>80</w:t>
      </w:r>
      <w:r>
        <w:rPr>
          <w:rFonts w:hint="eastAsia" w:eastAsia="方正仿宋_GBK" w:cs="方正仿宋_GBK"/>
          <w:sz w:val="32"/>
          <w:szCs w:val="32"/>
        </w:rPr>
        <w:t>公里全线贯通。清水塘、内秦淮河东段成为南京市水环境治理亮点工程，月牙湖被评为全省首批生态样板河湖、全国“河长制”培训现场教育基地。抓好大气质量管控，落实“点位长”制度，率先建成全区污染防治智能化指挥中心。加强工地扬尘污染治理，推进“智慧工地”项目建设，建筑工地裸土覆盖率达</w:t>
      </w:r>
      <w:r>
        <w:rPr>
          <w:rFonts w:eastAsia="方正仿宋_GBK"/>
          <w:sz w:val="32"/>
          <w:szCs w:val="32"/>
        </w:rPr>
        <w:t>100%</w:t>
      </w:r>
      <w:r>
        <w:rPr>
          <w:rFonts w:hint="eastAsia" w:eastAsia="方正仿宋_GBK" w:cs="方正仿宋_GBK"/>
          <w:sz w:val="32"/>
          <w:szCs w:val="32"/>
        </w:rPr>
        <w:t>。增加城市绿化彩化，完成石城桥南广场、汉中门广场等</w:t>
      </w:r>
      <w:r>
        <w:rPr>
          <w:rFonts w:eastAsia="方正仿宋_GBK"/>
          <w:sz w:val="32"/>
          <w:szCs w:val="32"/>
        </w:rPr>
        <w:t>15</w:t>
      </w:r>
      <w:r>
        <w:rPr>
          <w:rFonts w:hint="eastAsia" w:eastAsia="方正仿宋_GBK" w:cs="方正仿宋_GBK"/>
          <w:sz w:val="32"/>
          <w:szCs w:val="32"/>
        </w:rPr>
        <w:t>个区域绿化提升，建成解放路北侧口袋公园，街面实现“春夏有花、四季常绿”。以太平南路、科巷、银龙片区为代表的城市街巷面貌焕然一新。实施“美丽家园”三年行动计划，打造最干净城区，主次干道机械化清扫率达</w:t>
      </w:r>
      <w:r>
        <w:rPr>
          <w:rFonts w:eastAsia="方正仿宋_GBK"/>
          <w:sz w:val="32"/>
          <w:szCs w:val="32"/>
        </w:rPr>
        <w:t>96%</w:t>
      </w:r>
      <w:r>
        <w:rPr>
          <w:rFonts w:hint="eastAsia" w:eastAsia="方正仿宋_GBK" w:cs="方正仿宋_GBK"/>
          <w:sz w:val="32"/>
          <w:szCs w:val="32"/>
        </w:rPr>
        <w:t>。整治背街小巷</w:t>
      </w:r>
      <w:r>
        <w:rPr>
          <w:rFonts w:eastAsia="方正仿宋_GBK"/>
          <w:sz w:val="32"/>
          <w:szCs w:val="32"/>
        </w:rPr>
        <w:t>280</w:t>
      </w:r>
      <w:r>
        <w:rPr>
          <w:rFonts w:hint="eastAsia" w:eastAsia="方正仿宋_GBK" w:cs="方正仿宋_GBK"/>
          <w:sz w:val="32"/>
          <w:szCs w:val="32"/>
        </w:rPr>
        <w:t>条，拆除违建</w:t>
      </w:r>
      <w:r>
        <w:rPr>
          <w:rFonts w:eastAsia="方正仿宋_GBK"/>
          <w:sz w:val="32"/>
          <w:szCs w:val="32"/>
        </w:rPr>
        <w:t>338</w:t>
      </w:r>
      <w:r>
        <w:rPr>
          <w:rFonts w:hint="eastAsia" w:eastAsia="方正仿宋_GBK" w:cs="方正仿宋_GBK"/>
          <w:sz w:val="32"/>
          <w:szCs w:val="32"/>
        </w:rPr>
        <w:t>万平方米，新改建公厕</w:t>
      </w:r>
      <w:r>
        <w:rPr>
          <w:rFonts w:eastAsia="方正仿宋_GBK"/>
          <w:sz w:val="32"/>
          <w:szCs w:val="32"/>
        </w:rPr>
        <w:t>153</w:t>
      </w:r>
      <w:r>
        <w:rPr>
          <w:rFonts w:hint="eastAsia" w:eastAsia="方正仿宋_GBK" w:cs="方正仿宋_GBK"/>
          <w:sz w:val="32"/>
          <w:szCs w:val="32"/>
        </w:rPr>
        <w:t>座。建成市中医院、金城路等停车场，新增停车泊位超</w:t>
      </w:r>
      <w:r>
        <w:rPr>
          <w:rFonts w:eastAsia="方正仿宋_GBK"/>
          <w:sz w:val="32"/>
          <w:szCs w:val="32"/>
        </w:rPr>
        <w:t>3</w:t>
      </w:r>
      <w:r>
        <w:rPr>
          <w:rFonts w:hint="eastAsia" w:eastAsia="方正仿宋_GBK" w:cs="方正仿宋_GBK"/>
          <w:sz w:val="32"/>
          <w:szCs w:val="32"/>
        </w:rPr>
        <w:t>万个。区级餐厨、大件等垃圾处理中心建成投运，升级改造双桥门等垃圾中转站</w:t>
      </w:r>
      <w:r>
        <w:rPr>
          <w:rFonts w:eastAsia="方正仿宋_GBK"/>
          <w:sz w:val="32"/>
          <w:szCs w:val="32"/>
        </w:rPr>
        <w:t>7</w:t>
      </w:r>
      <w:r>
        <w:rPr>
          <w:rFonts w:hint="eastAsia" w:eastAsia="方正仿宋_GBK" w:cs="方正仿宋_GBK"/>
          <w:sz w:val="32"/>
          <w:szCs w:val="32"/>
        </w:rPr>
        <w:t>座，基本实现居民小区垃圾分类设施全覆盖。</w:t>
      </w:r>
    </w:p>
    <w:p w14:paraId="22BA4010">
      <w:pPr>
        <w:spacing w:line="590" w:lineRule="exact"/>
        <w:ind w:firstLine="629"/>
        <w:rPr>
          <w:rFonts w:eastAsia="方正仿宋_GBK"/>
          <w:sz w:val="32"/>
          <w:szCs w:val="32"/>
        </w:rPr>
      </w:pPr>
      <w:r>
        <w:rPr>
          <w:rFonts w:hint="eastAsia" w:eastAsia="方正仿宋_GBK" w:cs="方正仿宋_GBK"/>
          <w:sz w:val="32"/>
          <w:szCs w:val="32"/>
        </w:rPr>
        <w:t>基层社会治理取得突破。创新“两赋两强”、“双做双增”街道、社区集成改革，加强基层党建，聚焦民生，推行社区“第一书记”责任制，以赋权、赋能、强基层、强队伍为着力点，以做强社区、做实网格，增加服务资源、增强治理能力为目标，实现街道、社区集成改革一体化推进，为推进特大城市中心城区城市基层治理体系和治理能力现代化探索更多“秦淮经验”。深化街道“大工委”、社区“大党委”运行机制，搭建“家园理事会”，推动编制资源下沉，创新人员编制管理和选人用人机制，建立健全体制机制，解决群众“急难愁盼”问题。建立街道“五部一局两中心”组织架构，打造扁平化管理体系，设立综合行政执法局，实现街道“一支队伍管执法”。推进基层网格化治理，建立区社会治理综合指挥中心，整合全区</w:t>
      </w:r>
      <w:r>
        <w:rPr>
          <w:rFonts w:eastAsia="方正仿宋_GBK"/>
          <w:sz w:val="32"/>
          <w:szCs w:val="32"/>
        </w:rPr>
        <w:t>16</w:t>
      </w:r>
      <w:r>
        <w:rPr>
          <w:rFonts w:hint="eastAsia" w:eastAsia="方正仿宋_GBK" w:cs="方正仿宋_GBK"/>
          <w:sz w:val="32"/>
          <w:szCs w:val="32"/>
        </w:rPr>
        <w:t>个部门的</w:t>
      </w:r>
      <w:r>
        <w:rPr>
          <w:rFonts w:eastAsia="方正仿宋_GBK"/>
          <w:sz w:val="32"/>
          <w:szCs w:val="32"/>
        </w:rPr>
        <w:t>30</w:t>
      </w:r>
      <w:r>
        <w:rPr>
          <w:rFonts w:hint="eastAsia" w:eastAsia="方正仿宋_GBK" w:cs="方正仿宋_GBK"/>
          <w:sz w:val="32"/>
          <w:szCs w:val="32"/>
        </w:rPr>
        <w:t>个信息平台功能，建立完善“吹哨报到”制度，促进“网格</w:t>
      </w:r>
      <w:r>
        <w:rPr>
          <w:rFonts w:eastAsia="方正仿宋_GBK"/>
          <w:sz w:val="32"/>
          <w:szCs w:val="32"/>
        </w:rPr>
        <w:t>+</w:t>
      </w:r>
      <w:r>
        <w:rPr>
          <w:rFonts w:hint="eastAsia" w:eastAsia="方正仿宋_GBK" w:cs="方正仿宋_GBK"/>
          <w:sz w:val="32"/>
          <w:szCs w:val="32"/>
        </w:rPr>
        <w:t>警格”联动融合。推动街道物业服务中心实体化运作，落实老旧小区物业管理，打造“红色物业”，推动“第一书记项目”落地。</w:t>
      </w:r>
    </w:p>
    <w:p w14:paraId="7E116E51">
      <w:pPr>
        <w:spacing w:line="540" w:lineRule="exact"/>
        <w:jc w:val="center"/>
        <w:rPr>
          <w:rFonts w:eastAsia="方正楷体简体"/>
          <w:sz w:val="32"/>
          <w:szCs w:val="32"/>
        </w:rPr>
      </w:pPr>
    </w:p>
    <w:p w14:paraId="08FF01E5">
      <w:pPr>
        <w:spacing w:line="590" w:lineRule="exact"/>
        <w:ind w:firstLine="629"/>
        <w:rPr>
          <w:rFonts w:eastAsia="方正楷体简体"/>
          <w:sz w:val="32"/>
          <w:szCs w:val="32"/>
        </w:rPr>
      </w:pPr>
    </w:p>
    <w:p w14:paraId="0146A8AB">
      <w:pPr>
        <w:pStyle w:val="2"/>
        <w:rPr>
          <w:rFonts w:eastAsia="方正楷体简体"/>
          <w:sz w:val="32"/>
          <w:szCs w:val="32"/>
        </w:rPr>
      </w:pPr>
    </w:p>
    <w:p w14:paraId="69352FFC">
      <w:pPr>
        <w:pStyle w:val="2"/>
        <w:rPr>
          <w:rFonts w:eastAsia="方正楷体简体"/>
          <w:sz w:val="32"/>
          <w:szCs w:val="32"/>
        </w:rPr>
      </w:pPr>
    </w:p>
    <w:p w14:paraId="1C41DA51">
      <w:pPr>
        <w:pStyle w:val="2"/>
        <w:rPr>
          <w:rFonts w:eastAsia="方正楷体简体"/>
          <w:sz w:val="32"/>
          <w:szCs w:val="32"/>
        </w:rPr>
      </w:pPr>
    </w:p>
    <w:p w14:paraId="578D0372">
      <w:pPr>
        <w:pStyle w:val="2"/>
        <w:rPr>
          <w:rFonts w:eastAsia="方正楷体简体"/>
          <w:sz w:val="32"/>
          <w:szCs w:val="32"/>
        </w:rPr>
      </w:pPr>
    </w:p>
    <w:p w14:paraId="18AE4DD9">
      <w:pPr>
        <w:pStyle w:val="2"/>
        <w:rPr>
          <w:rFonts w:eastAsia="方正楷体简体"/>
          <w:sz w:val="32"/>
          <w:szCs w:val="32"/>
        </w:rPr>
      </w:pPr>
    </w:p>
    <w:p w14:paraId="558257F0">
      <w:pPr>
        <w:pStyle w:val="2"/>
        <w:rPr>
          <w:rFonts w:eastAsia="方正楷体简体"/>
          <w:sz w:val="32"/>
          <w:szCs w:val="32"/>
        </w:rPr>
      </w:pPr>
    </w:p>
    <w:p w14:paraId="42BFCC47">
      <w:pPr>
        <w:spacing w:line="540" w:lineRule="exact"/>
        <w:jc w:val="center"/>
        <w:rPr>
          <w:rFonts w:eastAsia="华文楷体"/>
          <w:sz w:val="32"/>
          <w:szCs w:val="32"/>
        </w:rPr>
      </w:pPr>
      <w:r>
        <w:rPr>
          <w:rFonts w:hint="eastAsia" w:ascii="方正黑体_GBK" w:hAnsi="方正黑体_GBK" w:eastAsia="方正黑体_GBK" w:cs="方正黑体_GBK"/>
          <w:sz w:val="32"/>
          <w:szCs w:val="32"/>
        </w:rPr>
        <w:t>“十三五”经济社会发展主要指标完成情况表</w:t>
      </w:r>
      <w:r>
        <w:rPr>
          <w:rStyle w:val="16"/>
          <w:rFonts w:eastAsia="华文楷体"/>
          <w:sz w:val="32"/>
          <w:szCs w:val="32"/>
        </w:rPr>
        <w:footnoteReference w:id="0"/>
      </w:r>
    </w:p>
    <w:tbl>
      <w:tblPr>
        <w:tblStyle w:val="12"/>
        <w:tblW w:w="45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674"/>
        <w:gridCol w:w="3959"/>
        <w:gridCol w:w="1464"/>
        <w:gridCol w:w="1400"/>
      </w:tblGrid>
      <w:tr w14:paraId="6D57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Align w:val="center"/>
          </w:tcPr>
          <w:p w14:paraId="7880EE84">
            <w:pPr>
              <w:jc w:val="center"/>
              <w:rPr>
                <w:b/>
                <w:bCs/>
              </w:rPr>
            </w:pPr>
            <w:r>
              <w:rPr>
                <w:rFonts w:hint="eastAsia" w:cs="宋体"/>
                <w:b/>
                <w:bCs/>
              </w:rPr>
              <w:t>分类</w:t>
            </w:r>
          </w:p>
        </w:tc>
        <w:tc>
          <w:tcPr>
            <w:tcW w:w="411" w:type="pct"/>
            <w:vAlign w:val="center"/>
          </w:tcPr>
          <w:p w14:paraId="5B4FDB15">
            <w:pPr>
              <w:jc w:val="center"/>
              <w:rPr>
                <w:b/>
                <w:bCs/>
              </w:rPr>
            </w:pPr>
            <w:r>
              <w:rPr>
                <w:rFonts w:hint="eastAsia" w:cs="宋体"/>
                <w:b/>
                <w:bCs/>
              </w:rPr>
              <w:t>序号</w:t>
            </w:r>
          </w:p>
        </w:tc>
        <w:tc>
          <w:tcPr>
            <w:tcW w:w="2415" w:type="pct"/>
            <w:vAlign w:val="center"/>
          </w:tcPr>
          <w:p w14:paraId="4CD8BB2B">
            <w:pPr>
              <w:jc w:val="center"/>
              <w:rPr>
                <w:b/>
                <w:bCs/>
              </w:rPr>
            </w:pPr>
            <w:r>
              <w:rPr>
                <w:rFonts w:hint="eastAsia" w:cs="宋体"/>
                <w:b/>
                <w:bCs/>
              </w:rPr>
              <w:t>指标</w:t>
            </w:r>
          </w:p>
        </w:tc>
        <w:tc>
          <w:tcPr>
            <w:tcW w:w="893" w:type="pct"/>
            <w:vAlign w:val="center"/>
          </w:tcPr>
          <w:p w14:paraId="0F7C1491">
            <w:pPr>
              <w:jc w:val="center"/>
              <w:rPr>
                <w:b/>
                <w:bCs/>
              </w:rPr>
            </w:pPr>
            <w:r>
              <w:rPr>
                <w:rFonts w:hint="eastAsia" w:cs="宋体"/>
                <w:b/>
                <w:bCs/>
              </w:rPr>
              <w:t>目标值</w:t>
            </w:r>
          </w:p>
        </w:tc>
        <w:tc>
          <w:tcPr>
            <w:tcW w:w="854" w:type="pct"/>
            <w:vAlign w:val="center"/>
          </w:tcPr>
          <w:p w14:paraId="3723E2CA">
            <w:pPr>
              <w:jc w:val="center"/>
              <w:rPr>
                <w:b/>
                <w:bCs/>
              </w:rPr>
            </w:pPr>
            <w:r>
              <w:rPr>
                <w:b/>
                <w:bCs/>
              </w:rPr>
              <w:t>2020</w:t>
            </w:r>
            <w:r>
              <w:rPr>
                <w:rFonts w:hint="eastAsia" w:cs="宋体"/>
                <w:b/>
                <w:bCs/>
              </w:rPr>
              <w:t>年</w:t>
            </w:r>
          </w:p>
        </w:tc>
      </w:tr>
      <w:tr w14:paraId="6304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5036989C">
            <w:r>
              <w:rPr>
                <w:rFonts w:hint="eastAsia" w:cs="宋体"/>
              </w:rPr>
              <w:t>经</w:t>
            </w:r>
          </w:p>
          <w:p w14:paraId="3888527D">
            <w:r>
              <w:rPr>
                <w:rFonts w:hint="eastAsia" w:cs="宋体"/>
              </w:rPr>
              <w:t>济</w:t>
            </w:r>
          </w:p>
          <w:p w14:paraId="61DC1150">
            <w:r>
              <w:rPr>
                <w:rFonts w:hint="eastAsia" w:cs="宋体"/>
              </w:rPr>
              <w:t>强</w:t>
            </w:r>
          </w:p>
        </w:tc>
        <w:tc>
          <w:tcPr>
            <w:tcW w:w="411" w:type="pct"/>
            <w:vAlign w:val="center"/>
          </w:tcPr>
          <w:p w14:paraId="121F500F">
            <w:r>
              <w:t>1</w:t>
            </w:r>
          </w:p>
        </w:tc>
        <w:tc>
          <w:tcPr>
            <w:tcW w:w="2415" w:type="pct"/>
            <w:vAlign w:val="center"/>
          </w:tcPr>
          <w:p w14:paraId="2681E5F6">
            <w:r>
              <w:rPr>
                <w:rFonts w:hint="eastAsia" w:cs="宋体"/>
              </w:rPr>
              <w:t>地区生产总值（亿元）</w:t>
            </w:r>
          </w:p>
        </w:tc>
        <w:tc>
          <w:tcPr>
            <w:tcW w:w="893" w:type="pct"/>
            <w:vAlign w:val="center"/>
          </w:tcPr>
          <w:p w14:paraId="0FB728E2">
            <w:r>
              <w:t>1000</w:t>
            </w:r>
          </w:p>
        </w:tc>
        <w:tc>
          <w:tcPr>
            <w:tcW w:w="854" w:type="pct"/>
            <w:vAlign w:val="center"/>
          </w:tcPr>
          <w:p w14:paraId="64F036C5">
            <w:r>
              <w:t>1286</w:t>
            </w:r>
          </w:p>
        </w:tc>
      </w:tr>
      <w:tr w14:paraId="4962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1A60DBD"/>
        </w:tc>
        <w:tc>
          <w:tcPr>
            <w:tcW w:w="411" w:type="pct"/>
            <w:vAlign w:val="center"/>
          </w:tcPr>
          <w:p w14:paraId="05ED93F8">
            <w:r>
              <w:t>2</w:t>
            </w:r>
          </w:p>
        </w:tc>
        <w:tc>
          <w:tcPr>
            <w:tcW w:w="2415" w:type="pct"/>
            <w:vAlign w:val="center"/>
          </w:tcPr>
          <w:p w14:paraId="5EA9503D">
            <w:r>
              <w:rPr>
                <w:rFonts w:hint="eastAsia" w:cs="宋体"/>
              </w:rPr>
              <w:t>一般公共预算收入（亿元）</w:t>
            </w:r>
          </w:p>
        </w:tc>
        <w:tc>
          <w:tcPr>
            <w:tcW w:w="893" w:type="pct"/>
            <w:vAlign w:val="center"/>
          </w:tcPr>
          <w:p w14:paraId="784D087D">
            <w:r>
              <w:t>100</w:t>
            </w:r>
          </w:p>
        </w:tc>
        <w:tc>
          <w:tcPr>
            <w:tcW w:w="854" w:type="pct"/>
            <w:vAlign w:val="center"/>
          </w:tcPr>
          <w:p w14:paraId="62E02453">
            <w:r>
              <w:t>100.1</w:t>
            </w:r>
          </w:p>
        </w:tc>
      </w:tr>
      <w:tr w14:paraId="0F52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691B7D7A"/>
        </w:tc>
        <w:tc>
          <w:tcPr>
            <w:tcW w:w="411" w:type="pct"/>
            <w:vAlign w:val="center"/>
          </w:tcPr>
          <w:p w14:paraId="3B8CAF6A">
            <w:r>
              <w:t>3</w:t>
            </w:r>
          </w:p>
        </w:tc>
        <w:tc>
          <w:tcPr>
            <w:tcW w:w="2415" w:type="pct"/>
            <w:vAlign w:val="center"/>
          </w:tcPr>
          <w:p w14:paraId="6C9A6F2B">
            <w:r>
              <w:rPr>
                <w:rFonts w:hint="eastAsia" w:cs="宋体"/>
              </w:rPr>
              <w:t>社会消费品零售总额（亿元）</w:t>
            </w:r>
          </w:p>
        </w:tc>
        <w:tc>
          <w:tcPr>
            <w:tcW w:w="893" w:type="pct"/>
            <w:vAlign w:val="center"/>
          </w:tcPr>
          <w:p w14:paraId="7F4CC32F">
            <w:r>
              <w:t>1300</w:t>
            </w:r>
          </w:p>
        </w:tc>
        <w:tc>
          <w:tcPr>
            <w:tcW w:w="854" w:type="pct"/>
            <w:vAlign w:val="center"/>
          </w:tcPr>
          <w:p w14:paraId="3E8D8646">
            <w:r>
              <w:t>1157</w:t>
            </w:r>
          </w:p>
        </w:tc>
      </w:tr>
      <w:tr w14:paraId="4E4D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564AD20"/>
        </w:tc>
        <w:tc>
          <w:tcPr>
            <w:tcW w:w="411" w:type="pct"/>
            <w:vAlign w:val="center"/>
          </w:tcPr>
          <w:p w14:paraId="3CAB0AF0">
            <w:r>
              <w:t>4</w:t>
            </w:r>
          </w:p>
        </w:tc>
        <w:tc>
          <w:tcPr>
            <w:tcW w:w="2415" w:type="pct"/>
            <w:vAlign w:val="center"/>
          </w:tcPr>
          <w:p w14:paraId="46AEF27D">
            <w:r>
              <w:rPr>
                <w:rFonts w:hint="eastAsia" w:cs="宋体"/>
              </w:rPr>
              <w:t>累计全社会固定资产投资（亿元）</w:t>
            </w:r>
          </w:p>
        </w:tc>
        <w:tc>
          <w:tcPr>
            <w:tcW w:w="893" w:type="pct"/>
            <w:vAlign w:val="center"/>
          </w:tcPr>
          <w:p w14:paraId="4A7D761F">
            <w:r>
              <w:t>1500</w:t>
            </w:r>
          </w:p>
        </w:tc>
        <w:tc>
          <w:tcPr>
            <w:tcW w:w="854" w:type="pct"/>
            <w:vAlign w:val="center"/>
          </w:tcPr>
          <w:p w14:paraId="49B6F6D6">
            <w:r>
              <w:t>1200</w:t>
            </w:r>
          </w:p>
        </w:tc>
      </w:tr>
      <w:tr w14:paraId="2EDC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B91F693"/>
        </w:tc>
        <w:tc>
          <w:tcPr>
            <w:tcW w:w="411" w:type="pct"/>
            <w:vAlign w:val="center"/>
          </w:tcPr>
          <w:p w14:paraId="75DA82C0">
            <w:r>
              <w:t>5</w:t>
            </w:r>
          </w:p>
        </w:tc>
        <w:tc>
          <w:tcPr>
            <w:tcW w:w="2415" w:type="pct"/>
            <w:vAlign w:val="center"/>
          </w:tcPr>
          <w:p w14:paraId="44F47B9F">
            <w:r>
              <w:rPr>
                <w:rFonts w:hint="eastAsia" w:cs="宋体"/>
              </w:rPr>
              <w:t>服务业增加值占</w:t>
            </w:r>
            <w:r>
              <w:t>GDP</w:t>
            </w:r>
            <w:r>
              <w:rPr>
                <w:rFonts w:hint="eastAsia" w:cs="宋体"/>
              </w:rPr>
              <w:t>比重（</w:t>
            </w:r>
            <w:r>
              <w:t>%</w:t>
            </w:r>
            <w:r>
              <w:rPr>
                <w:rFonts w:hint="eastAsia" w:cs="宋体"/>
              </w:rPr>
              <w:t>）</w:t>
            </w:r>
          </w:p>
        </w:tc>
        <w:tc>
          <w:tcPr>
            <w:tcW w:w="893" w:type="pct"/>
            <w:vAlign w:val="center"/>
          </w:tcPr>
          <w:p w14:paraId="140FE03E">
            <w:r>
              <w:t>&gt;92</w:t>
            </w:r>
          </w:p>
        </w:tc>
        <w:tc>
          <w:tcPr>
            <w:tcW w:w="854" w:type="pct"/>
            <w:vAlign w:val="center"/>
          </w:tcPr>
          <w:p w14:paraId="22F3D9B7">
            <w:r>
              <w:t>&gt;92</w:t>
            </w:r>
          </w:p>
        </w:tc>
      </w:tr>
      <w:tr w14:paraId="4C23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427" w:type="pct"/>
            <w:vMerge w:val="continue"/>
            <w:vAlign w:val="center"/>
          </w:tcPr>
          <w:p w14:paraId="40102005"/>
        </w:tc>
        <w:tc>
          <w:tcPr>
            <w:tcW w:w="411" w:type="pct"/>
            <w:vAlign w:val="center"/>
          </w:tcPr>
          <w:p w14:paraId="51F98738">
            <w:r>
              <w:t>6</w:t>
            </w:r>
          </w:p>
        </w:tc>
        <w:tc>
          <w:tcPr>
            <w:tcW w:w="2415" w:type="pct"/>
            <w:vAlign w:val="center"/>
          </w:tcPr>
          <w:p w14:paraId="197EA618">
            <w:r>
              <w:rPr>
                <w:rFonts w:hint="eastAsia" w:cs="宋体"/>
              </w:rPr>
              <w:t>文化产业增加值占</w:t>
            </w:r>
            <w:r>
              <w:t>GDP</w:t>
            </w:r>
            <w:r>
              <w:rPr>
                <w:rFonts w:hint="eastAsia" w:cs="宋体"/>
              </w:rPr>
              <w:t>比重（</w:t>
            </w:r>
            <w:r>
              <w:t>%</w:t>
            </w:r>
            <w:r>
              <w:rPr>
                <w:rFonts w:hint="eastAsia" w:cs="宋体"/>
              </w:rPr>
              <w:t>）</w:t>
            </w:r>
          </w:p>
        </w:tc>
        <w:tc>
          <w:tcPr>
            <w:tcW w:w="893" w:type="pct"/>
            <w:vAlign w:val="center"/>
          </w:tcPr>
          <w:p w14:paraId="1CFF9C0C">
            <w:r>
              <w:t>8</w:t>
            </w:r>
          </w:p>
        </w:tc>
        <w:tc>
          <w:tcPr>
            <w:tcW w:w="854" w:type="pct"/>
            <w:vAlign w:val="center"/>
          </w:tcPr>
          <w:p w14:paraId="01FF28D8">
            <w:r>
              <w:t>8</w:t>
            </w:r>
          </w:p>
        </w:tc>
      </w:tr>
      <w:tr w14:paraId="4942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BA1F084"/>
        </w:tc>
        <w:tc>
          <w:tcPr>
            <w:tcW w:w="411" w:type="pct"/>
            <w:vAlign w:val="center"/>
          </w:tcPr>
          <w:p w14:paraId="55F06E3F">
            <w:r>
              <w:t>7</w:t>
            </w:r>
          </w:p>
        </w:tc>
        <w:tc>
          <w:tcPr>
            <w:tcW w:w="2415" w:type="pct"/>
            <w:vAlign w:val="center"/>
          </w:tcPr>
          <w:p w14:paraId="67FBC6DA">
            <w:r>
              <w:rPr>
                <w:rFonts w:hint="eastAsia" w:cs="宋体"/>
              </w:rPr>
              <w:t>累计实际利用外资（亿美元）</w:t>
            </w:r>
          </w:p>
        </w:tc>
        <w:tc>
          <w:tcPr>
            <w:tcW w:w="893" w:type="pct"/>
            <w:vAlign w:val="center"/>
          </w:tcPr>
          <w:p w14:paraId="55362BCA">
            <w:r>
              <w:t>10</w:t>
            </w:r>
          </w:p>
        </w:tc>
        <w:tc>
          <w:tcPr>
            <w:tcW w:w="854" w:type="pct"/>
            <w:vAlign w:val="center"/>
          </w:tcPr>
          <w:p w14:paraId="1096011B">
            <w:r>
              <w:t>10.6</w:t>
            </w:r>
          </w:p>
        </w:tc>
      </w:tr>
      <w:tr w14:paraId="32E5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502B234B"/>
        </w:tc>
        <w:tc>
          <w:tcPr>
            <w:tcW w:w="411" w:type="pct"/>
            <w:vAlign w:val="center"/>
          </w:tcPr>
          <w:p w14:paraId="505F8533">
            <w:r>
              <w:t>8</w:t>
            </w:r>
          </w:p>
        </w:tc>
        <w:tc>
          <w:tcPr>
            <w:tcW w:w="2415" w:type="pct"/>
            <w:vAlign w:val="center"/>
          </w:tcPr>
          <w:p w14:paraId="661C3A5F">
            <w:r>
              <w:rPr>
                <w:rFonts w:hint="eastAsia" w:cs="宋体"/>
              </w:rPr>
              <w:t>全社会研发经费支出占</w:t>
            </w:r>
            <w:r>
              <w:t>GDP</w:t>
            </w:r>
            <w:r>
              <w:rPr>
                <w:rFonts w:hint="eastAsia" w:cs="宋体"/>
              </w:rPr>
              <w:t>比重（</w:t>
            </w:r>
            <w:r>
              <w:t>%</w:t>
            </w:r>
            <w:r>
              <w:rPr>
                <w:rFonts w:hint="eastAsia" w:cs="宋体"/>
              </w:rPr>
              <w:t>）</w:t>
            </w:r>
          </w:p>
        </w:tc>
        <w:tc>
          <w:tcPr>
            <w:tcW w:w="893" w:type="pct"/>
            <w:vAlign w:val="center"/>
          </w:tcPr>
          <w:p w14:paraId="5ECDB6C8">
            <w:r>
              <w:rPr>
                <w:rFonts w:hint="eastAsia" w:cs="宋体"/>
              </w:rPr>
              <w:t>力争</w:t>
            </w:r>
            <w:r>
              <w:t>3</w:t>
            </w:r>
          </w:p>
        </w:tc>
        <w:tc>
          <w:tcPr>
            <w:tcW w:w="854" w:type="pct"/>
            <w:vAlign w:val="center"/>
          </w:tcPr>
          <w:p w14:paraId="6BF4DB11">
            <w:r>
              <w:t>——</w:t>
            </w:r>
          </w:p>
        </w:tc>
      </w:tr>
      <w:tr w14:paraId="09FD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6E0E12DB"/>
        </w:tc>
        <w:tc>
          <w:tcPr>
            <w:tcW w:w="411" w:type="pct"/>
            <w:vAlign w:val="center"/>
          </w:tcPr>
          <w:p w14:paraId="1B5562A4">
            <w:r>
              <w:t>9</w:t>
            </w:r>
          </w:p>
        </w:tc>
        <w:tc>
          <w:tcPr>
            <w:tcW w:w="2415" w:type="pct"/>
            <w:vAlign w:val="center"/>
          </w:tcPr>
          <w:p w14:paraId="334F8208">
            <w:r>
              <w:rPr>
                <w:rFonts w:hint="eastAsia" w:cs="宋体"/>
              </w:rPr>
              <w:t>新增上市企业（家）</w:t>
            </w:r>
          </w:p>
        </w:tc>
        <w:tc>
          <w:tcPr>
            <w:tcW w:w="893" w:type="pct"/>
            <w:vAlign w:val="center"/>
          </w:tcPr>
          <w:p w14:paraId="7C73B249">
            <w:r>
              <w:t>10</w:t>
            </w:r>
          </w:p>
        </w:tc>
        <w:tc>
          <w:tcPr>
            <w:tcW w:w="854" w:type="pct"/>
            <w:vAlign w:val="center"/>
          </w:tcPr>
          <w:p w14:paraId="0D1554D1">
            <w:r>
              <w:t>16</w:t>
            </w:r>
          </w:p>
        </w:tc>
      </w:tr>
      <w:tr w14:paraId="6268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B5C049E"/>
        </w:tc>
        <w:tc>
          <w:tcPr>
            <w:tcW w:w="411" w:type="pct"/>
            <w:vAlign w:val="center"/>
          </w:tcPr>
          <w:p w14:paraId="7DA334F7">
            <w:r>
              <w:t>10</w:t>
            </w:r>
          </w:p>
        </w:tc>
        <w:tc>
          <w:tcPr>
            <w:tcW w:w="2415" w:type="pct"/>
            <w:vAlign w:val="center"/>
          </w:tcPr>
          <w:p w14:paraId="5AAFA38B">
            <w:r>
              <w:rPr>
                <w:rFonts w:hint="eastAsia" w:cs="宋体"/>
              </w:rPr>
              <w:t>每万人发明专利拥有量（件）</w:t>
            </w:r>
          </w:p>
        </w:tc>
        <w:tc>
          <w:tcPr>
            <w:tcW w:w="893" w:type="pct"/>
            <w:vAlign w:val="center"/>
          </w:tcPr>
          <w:p w14:paraId="180A188C">
            <w:r>
              <w:t>23</w:t>
            </w:r>
          </w:p>
        </w:tc>
        <w:tc>
          <w:tcPr>
            <w:tcW w:w="854" w:type="pct"/>
            <w:vAlign w:val="center"/>
          </w:tcPr>
          <w:p w14:paraId="1DFC3FE9">
            <w:r>
              <w:t>70</w:t>
            </w:r>
          </w:p>
        </w:tc>
      </w:tr>
      <w:tr w14:paraId="7DFA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BB4AFC5"/>
        </w:tc>
        <w:tc>
          <w:tcPr>
            <w:tcW w:w="411" w:type="pct"/>
            <w:vAlign w:val="center"/>
          </w:tcPr>
          <w:p w14:paraId="41080071">
            <w:r>
              <w:t>11</w:t>
            </w:r>
          </w:p>
        </w:tc>
        <w:tc>
          <w:tcPr>
            <w:tcW w:w="2415" w:type="pct"/>
            <w:vAlign w:val="center"/>
          </w:tcPr>
          <w:p w14:paraId="56508127">
            <w:r>
              <w:rPr>
                <w:rFonts w:hint="eastAsia" w:cs="宋体"/>
              </w:rPr>
              <w:t>新城建设五年累计投资（亿）</w:t>
            </w:r>
          </w:p>
        </w:tc>
        <w:tc>
          <w:tcPr>
            <w:tcW w:w="893" w:type="pct"/>
            <w:vAlign w:val="center"/>
          </w:tcPr>
          <w:p w14:paraId="2424E8BC">
            <w:r>
              <w:t>700</w:t>
            </w:r>
          </w:p>
        </w:tc>
        <w:tc>
          <w:tcPr>
            <w:tcW w:w="854" w:type="pct"/>
            <w:vAlign w:val="center"/>
          </w:tcPr>
          <w:p w14:paraId="6D20F479">
            <w:r>
              <w:t>780</w:t>
            </w:r>
          </w:p>
        </w:tc>
      </w:tr>
      <w:tr w14:paraId="07D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C670CB8"/>
        </w:tc>
        <w:tc>
          <w:tcPr>
            <w:tcW w:w="411" w:type="pct"/>
            <w:vAlign w:val="center"/>
          </w:tcPr>
          <w:p w14:paraId="3A347798">
            <w:r>
              <w:t>12</w:t>
            </w:r>
          </w:p>
        </w:tc>
        <w:tc>
          <w:tcPr>
            <w:tcW w:w="2415" w:type="pct"/>
            <w:vAlign w:val="center"/>
          </w:tcPr>
          <w:p w14:paraId="7D6B7C95">
            <w:r>
              <w:rPr>
                <w:rFonts w:hint="eastAsia" w:cs="宋体"/>
              </w:rPr>
              <w:t>新增税收亿元楼宇</w:t>
            </w:r>
            <w:r>
              <w:t>/</w:t>
            </w:r>
            <w:r>
              <w:rPr>
                <w:rFonts w:hint="eastAsia" w:cs="宋体"/>
              </w:rPr>
              <w:t>园区（个）</w:t>
            </w:r>
          </w:p>
        </w:tc>
        <w:tc>
          <w:tcPr>
            <w:tcW w:w="893" w:type="pct"/>
            <w:vAlign w:val="center"/>
          </w:tcPr>
          <w:p w14:paraId="7129E531">
            <w:r>
              <w:t>6/2</w:t>
            </w:r>
          </w:p>
        </w:tc>
        <w:tc>
          <w:tcPr>
            <w:tcW w:w="854" w:type="pct"/>
            <w:vAlign w:val="center"/>
          </w:tcPr>
          <w:p w14:paraId="406EB119">
            <w:r>
              <w:t>9/2</w:t>
            </w:r>
          </w:p>
        </w:tc>
      </w:tr>
      <w:tr w14:paraId="0B74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tblHeader/>
          <w:jc w:val="center"/>
        </w:trPr>
        <w:tc>
          <w:tcPr>
            <w:tcW w:w="427" w:type="pct"/>
            <w:vMerge w:val="restart"/>
            <w:vAlign w:val="center"/>
          </w:tcPr>
          <w:p w14:paraId="752C593A">
            <w:r>
              <w:rPr>
                <w:rFonts w:hint="eastAsia" w:cs="宋体"/>
              </w:rPr>
              <w:t>百</w:t>
            </w:r>
          </w:p>
          <w:p w14:paraId="553B4C64">
            <w:r>
              <w:rPr>
                <w:rFonts w:hint="eastAsia" w:cs="宋体"/>
              </w:rPr>
              <w:t>姓</w:t>
            </w:r>
          </w:p>
          <w:p w14:paraId="4F9ADFBF">
            <w:r>
              <w:rPr>
                <w:rFonts w:hint="eastAsia" w:cs="宋体"/>
              </w:rPr>
              <w:t>富</w:t>
            </w:r>
          </w:p>
        </w:tc>
        <w:tc>
          <w:tcPr>
            <w:tcW w:w="411" w:type="pct"/>
            <w:vAlign w:val="center"/>
          </w:tcPr>
          <w:p w14:paraId="44727863">
            <w:r>
              <w:t>13</w:t>
            </w:r>
          </w:p>
        </w:tc>
        <w:tc>
          <w:tcPr>
            <w:tcW w:w="2415" w:type="pct"/>
            <w:vAlign w:val="center"/>
          </w:tcPr>
          <w:p w14:paraId="3466C41E">
            <w:r>
              <w:rPr>
                <w:rFonts w:hint="eastAsia" w:cs="宋体"/>
              </w:rPr>
              <w:t>居民人均可支配收入（元）</w:t>
            </w:r>
          </w:p>
        </w:tc>
        <w:tc>
          <w:tcPr>
            <w:tcW w:w="893" w:type="pct"/>
            <w:vAlign w:val="center"/>
          </w:tcPr>
          <w:p w14:paraId="28B4025E">
            <w:r>
              <w:rPr>
                <w:rFonts w:hint="eastAsia" w:cs="宋体"/>
              </w:rPr>
              <w:t>和</w:t>
            </w:r>
            <w:r>
              <w:t>GDP</w:t>
            </w:r>
            <w:r>
              <w:rPr>
                <w:rFonts w:hint="eastAsia" w:cs="宋体"/>
              </w:rPr>
              <w:t>同步</w:t>
            </w:r>
          </w:p>
        </w:tc>
        <w:tc>
          <w:tcPr>
            <w:tcW w:w="854" w:type="pct"/>
            <w:vAlign w:val="center"/>
          </w:tcPr>
          <w:p w14:paraId="4F7E32F5">
            <w:r>
              <w:t>68563</w:t>
            </w:r>
          </w:p>
        </w:tc>
      </w:tr>
      <w:tr w14:paraId="7CC6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A666DEB"/>
        </w:tc>
        <w:tc>
          <w:tcPr>
            <w:tcW w:w="411" w:type="pct"/>
            <w:vAlign w:val="center"/>
          </w:tcPr>
          <w:p w14:paraId="4FE94A26">
            <w:r>
              <w:t>14</w:t>
            </w:r>
          </w:p>
        </w:tc>
        <w:tc>
          <w:tcPr>
            <w:tcW w:w="2415" w:type="pct"/>
            <w:vAlign w:val="center"/>
          </w:tcPr>
          <w:p w14:paraId="23F26865">
            <w:r>
              <w:rPr>
                <w:rFonts w:hint="eastAsia" w:cs="宋体"/>
              </w:rPr>
              <w:t>区域内常住人口（万）</w:t>
            </w:r>
          </w:p>
        </w:tc>
        <w:tc>
          <w:tcPr>
            <w:tcW w:w="893" w:type="pct"/>
            <w:vAlign w:val="center"/>
          </w:tcPr>
          <w:p w14:paraId="5DAD0515">
            <w:r>
              <w:t>100</w:t>
            </w:r>
          </w:p>
        </w:tc>
        <w:tc>
          <w:tcPr>
            <w:tcW w:w="854" w:type="pct"/>
            <w:vAlign w:val="center"/>
          </w:tcPr>
          <w:p w14:paraId="21621AED">
            <w:r>
              <w:t>95</w:t>
            </w:r>
          </w:p>
        </w:tc>
      </w:tr>
      <w:tr w14:paraId="3616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B435300"/>
        </w:tc>
        <w:tc>
          <w:tcPr>
            <w:tcW w:w="411" w:type="pct"/>
            <w:vAlign w:val="center"/>
          </w:tcPr>
          <w:p w14:paraId="60B4780C">
            <w:r>
              <w:t>15</w:t>
            </w:r>
          </w:p>
        </w:tc>
        <w:tc>
          <w:tcPr>
            <w:tcW w:w="2415" w:type="pct"/>
            <w:vAlign w:val="center"/>
          </w:tcPr>
          <w:p w14:paraId="29918EE4">
            <w:r>
              <w:rPr>
                <w:rFonts w:hint="eastAsia" w:cs="宋体"/>
              </w:rPr>
              <w:t>城镇登记失业率控制（</w:t>
            </w:r>
            <w:r>
              <w:t>%</w:t>
            </w:r>
            <w:r>
              <w:rPr>
                <w:rFonts w:hint="eastAsia" w:cs="宋体"/>
              </w:rPr>
              <w:t>）</w:t>
            </w:r>
          </w:p>
        </w:tc>
        <w:tc>
          <w:tcPr>
            <w:tcW w:w="893" w:type="pct"/>
            <w:vAlign w:val="center"/>
          </w:tcPr>
          <w:p w14:paraId="3CC548FE">
            <w:r>
              <w:t>&lt;4</w:t>
            </w:r>
          </w:p>
        </w:tc>
        <w:tc>
          <w:tcPr>
            <w:tcW w:w="854" w:type="pct"/>
            <w:vAlign w:val="center"/>
          </w:tcPr>
          <w:p w14:paraId="25018A3D">
            <w:r>
              <w:t>&lt;3</w:t>
            </w:r>
          </w:p>
        </w:tc>
      </w:tr>
      <w:tr w14:paraId="60BC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92EC656"/>
        </w:tc>
        <w:tc>
          <w:tcPr>
            <w:tcW w:w="411" w:type="pct"/>
            <w:vAlign w:val="center"/>
          </w:tcPr>
          <w:p w14:paraId="177BF9F6">
            <w:r>
              <w:t>16</w:t>
            </w:r>
          </w:p>
        </w:tc>
        <w:tc>
          <w:tcPr>
            <w:tcW w:w="2415" w:type="pct"/>
            <w:vAlign w:val="center"/>
          </w:tcPr>
          <w:p w14:paraId="11503BB0">
            <w:r>
              <w:rPr>
                <w:rFonts w:hint="eastAsia" w:cs="宋体"/>
              </w:rPr>
              <w:t>累计新增城镇就业人数（人）</w:t>
            </w:r>
          </w:p>
        </w:tc>
        <w:tc>
          <w:tcPr>
            <w:tcW w:w="893" w:type="pct"/>
            <w:vAlign w:val="center"/>
          </w:tcPr>
          <w:p w14:paraId="617BE0BB">
            <w:r>
              <w:t>11</w:t>
            </w:r>
            <w:r>
              <w:rPr>
                <w:rFonts w:hint="eastAsia" w:cs="宋体"/>
              </w:rPr>
              <w:t>万</w:t>
            </w:r>
          </w:p>
        </w:tc>
        <w:tc>
          <w:tcPr>
            <w:tcW w:w="854" w:type="pct"/>
            <w:vAlign w:val="center"/>
          </w:tcPr>
          <w:p w14:paraId="0C1DF1CC">
            <w:r>
              <w:t>14</w:t>
            </w:r>
            <w:r>
              <w:rPr>
                <w:rFonts w:hint="eastAsia" w:cs="宋体"/>
              </w:rPr>
              <w:t>万</w:t>
            </w:r>
          </w:p>
        </w:tc>
      </w:tr>
      <w:tr w14:paraId="24B9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54F27E9"/>
        </w:tc>
        <w:tc>
          <w:tcPr>
            <w:tcW w:w="411" w:type="pct"/>
            <w:vAlign w:val="center"/>
          </w:tcPr>
          <w:p w14:paraId="6E137665">
            <w:r>
              <w:t>17</w:t>
            </w:r>
          </w:p>
        </w:tc>
        <w:tc>
          <w:tcPr>
            <w:tcW w:w="2415" w:type="pct"/>
            <w:vAlign w:val="center"/>
          </w:tcPr>
          <w:p w14:paraId="6D3A38BA">
            <w:r>
              <w:rPr>
                <w:rFonts w:hint="eastAsia" w:cs="宋体"/>
              </w:rPr>
              <w:t>城镇基本养老、医疗等保险覆盖率（</w:t>
            </w:r>
            <w:r>
              <w:t>%</w:t>
            </w:r>
            <w:r>
              <w:rPr>
                <w:rFonts w:hint="eastAsia" w:cs="宋体"/>
              </w:rPr>
              <w:t>）</w:t>
            </w:r>
          </w:p>
        </w:tc>
        <w:tc>
          <w:tcPr>
            <w:tcW w:w="893" w:type="pct"/>
            <w:vAlign w:val="center"/>
          </w:tcPr>
          <w:p w14:paraId="1B86535E">
            <w:r>
              <w:t>&gt;98</w:t>
            </w:r>
          </w:p>
        </w:tc>
        <w:tc>
          <w:tcPr>
            <w:tcW w:w="854" w:type="pct"/>
            <w:vAlign w:val="center"/>
          </w:tcPr>
          <w:p w14:paraId="643BA770">
            <w:r>
              <w:t>&gt;98</w:t>
            </w:r>
          </w:p>
        </w:tc>
      </w:tr>
      <w:tr w14:paraId="1FA7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8602DFF"/>
        </w:tc>
        <w:tc>
          <w:tcPr>
            <w:tcW w:w="411" w:type="pct"/>
            <w:vAlign w:val="center"/>
          </w:tcPr>
          <w:p w14:paraId="4AFC05A1">
            <w:r>
              <w:t>18</w:t>
            </w:r>
          </w:p>
        </w:tc>
        <w:tc>
          <w:tcPr>
            <w:tcW w:w="2415" w:type="pct"/>
            <w:vAlign w:val="center"/>
          </w:tcPr>
          <w:p w14:paraId="6A6F8F70">
            <w:r>
              <w:rPr>
                <w:rFonts w:hint="eastAsia" w:cs="宋体"/>
              </w:rPr>
              <w:t>现代教育发展水平（</w:t>
            </w:r>
            <w:r>
              <w:t>%</w:t>
            </w:r>
            <w:r>
              <w:rPr>
                <w:rFonts w:hint="eastAsia" w:cs="宋体"/>
              </w:rPr>
              <w:t>）</w:t>
            </w:r>
          </w:p>
        </w:tc>
        <w:tc>
          <w:tcPr>
            <w:tcW w:w="893" w:type="pct"/>
            <w:vAlign w:val="center"/>
          </w:tcPr>
          <w:p w14:paraId="6038FFFB">
            <w:r>
              <w:t>&gt;90</w:t>
            </w:r>
          </w:p>
        </w:tc>
        <w:tc>
          <w:tcPr>
            <w:tcW w:w="854" w:type="pct"/>
            <w:vAlign w:val="center"/>
          </w:tcPr>
          <w:p w14:paraId="53A12AB5">
            <w:r>
              <w:t>92.2</w:t>
            </w:r>
          </w:p>
        </w:tc>
      </w:tr>
      <w:tr w14:paraId="720D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E4E1A1D"/>
        </w:tc>
        <w:tc>
          <w:tcPr>
            <w:tcW w:w="411" w:type="pct"/>
            <w:vAlign w:val="center"/>
          </w:tcPr>
          <w:p w14:paraId="694F2D6C">
            <w:r>
              <w:t>19</w:t>
            </w:r>
          </w:p>
        </w:tc>
        <w:tc>
          <w:tcPr>
            <w:tcW w:w="2415" w:type="pct"/>
            <w:vAlign w:val="center"/>
          </w:tcPr>
          <w:p w14:paraId="635D4C48">
            <w:r>
              <w:rPr>
                <w:rFonts w:hint="eastAsia" w:cs="宋体"/>
              </w:rPr>
              <w:t>每千名老人拥有养老床位数（张）</w:t>
            </w:r>
          </w:p>
        </w:tc>
        <w:tc>
          <w:tcPr>
            <w:tcW w:w="893" w:type="pct"/>
            <w:vAlign w:val="center"/>
          </w:tcPr>
          <w:p w14:paraId="235DC0C8">
            <w:r>
              <w:t>50</w:t>
            </w:r>
          </w:p>
        </w:tc>
        <w:tc>
          <w:tcPr>
            <w:tcW w:w="854" w:type="pct"/>
            <w:vAlign w:val="center"/>
          </w:tcPr>
          <w:p w14:paraId="2A0DC9B8">
            <w:r>
              <w:t>45</w:t>
            </w:r>
          </w:p>
        </w:tc>
      </w:tr>
      <w:tr w14:paraId="5A5F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37C403D0"/>
        </w:tc>
        <w:tc>
          <w:tcPr>
            <w:tcW w:w="411" w:type="pct"/>
            <w:vAlign w:val="center"/>
          </w:tcPr>
          <w:p w14:paraId="012E7768">
            <w:r>
              <w:t>20</w:t>
            </w:r>
          </w:p>
        </w:tc>
        <w:tc>
          <w:tcPr>
            <w:tcW w:w="2415" w:type="pct"/>
            <w:vAlign w:val="center"/>
          </w:tcPr>
          <w:p w14:paraId="5BABC54F">
            <w:r>
              <w:rPr>
                <w:rFonts w:hint="eastAsia" w:cs="宋体"/>
              </w:rPr>
              <w:t>社区标准化居家养老服务中心建成率</w:t>
            </w:r>
          </w:p>
        </w:tc>
        <w:tc>
          <w:tcPr>
            <w:tcW w:w="893" w:type="pct"/>
            <w:vAlign w:val="center"/>
          </w:tcPr>
          <w:p w14:paraId="062ACC7D">
            <w:r>
              <w:t>100</w:t>
            </w:r>
          </w:p>
        </w:tc>
        <w:tc>
          <w:tcPr>
            <w:tcW w:w="854" w:type="pct"/>
            <w:vAlign w:val="center"/>
          </w:tcPr>
          <w:p w14:paraId="33981EA8">
            <w:r>
              <w:t>100</w:t>
            </w:r>
          </w:p>
        </w:tc>
      </w:tr>
      <w:tr w14:paraId="6566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C2FD9AC"/>
        </w:tc>
        <w:tc>
          <w:tcPr>
            <w:tcW w:w="411" w:type="pct"/>
            <w:vAlign w:val="center"/>
          </w:tcPr>
          <w:p w14:paraId="52B9362C">
            <w:r>
              <w:t>21</w:t>
            </w:r>
          </w:p>
        </w:tc>
        <w:tc>
          <w:tcPr>
            <w:tcW w:w="2415" w:type="pct"/>
            <w:vAlign w:val="center"/>
          </w:tcPr>
          <w:p w14:paraId="37D27F47">
            <w:r>
              <w:rPr>
                <w:rFonts w:hint="eastAsia" w:cs="宋体"/>
              </w:rPr>
              <w:t>人均体育活动场地面积（平方米）</w:t>
            </w:r>
          </w:p>
        </w:tc>
        <w:tc>
          <w:tcPr>
            <w:tcW w:w="893" w:type="pct"/>
            <w:vAlign w:val="center"/>
          </w:tcPr>
          <w:p w14:paraId="63532334">
            <w:r>
              <w:t>&gt;2</w:t>
            </w:r>
          </w:p>
        </w:tc>
        <w:tc>
          <w:tcPr>
            <w:tcW w:w="854" w:type="pct"/>
            <w:vAlign w:val="center"/>
          </w:tcPr>
          <w:p w14:paraId="2F9586FA">
            <w:r>
              <w:t>——</w:t>
            </w:r>
          </w:p>
        </w:tc>
      </w:tr>
      <w:tr w14:paraId="1F8F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4E9BCC20">
            <w:r>
              <w:rPr>
                <w:rFonts w:hint="eastAsia" w:cs="宋体"/>
              </w:rPr>
              <w:t>环</w:t>
            </w:r>
          </w:p>
          <w:p w14:paraId="13D66F1D">
            <w:r>
              <w:rPr>
                <w:rFonts w:hint="eastAsia" w:cs="宋体"/>
              </w:rPr>
              <w:t>境</w:t>
            </w:r>
          </w:p>
          <w:p w14:paraId="5E672925">
            <w:r>
              <w:rPr>
                <w:rFonts w:hint="eastAsia" w:cs="宋体"/>
              </w:rPr>
              <w:t>美</w:t>
            </w:r>
          </w:p>
        </w:tc>
        <w:tc>
          <w:tcPr>
            <w:tcW w:w="411" w:type="pct"/>
            <w:vAlign w:val="center"/>
          </w:tcPr>
          <w:p w14:paraId="3CDF26BB">
            <w:r>
              <w:t>22</w:t>
            </w:r>
          </w:p>
        </w:tc>
        <w:tc>
          <w:tcPr>
            <w:tcW w:w="2415" w:type="pct"/>
            <w:vAlign w:val="center"/>
          </w:tcPr>
          <w:p w14:paraId="2C68E920">
            <w:r>
              <w:rPr>
                <w:rFonts w:hint="eastAsia" w:cs="宋体"/>
              </w:rPr>
              <w:t>绿化覆盖率（</w:t>
            </w:r>
            <w:r>
              <w:t>%</w:t>
            </w:r>
            <w:r>
              <w:rPr>
                <w:rFonts w:hint="eastAsia" w:cs="宋体"/>
              </w:rPr>
              <w:t>）</w:t>
            </w:r>
          </w:p>
        </w:tc>
        <w:tc>
          <w:tcPr>
            <w:tcW w:w="893" w:type="pct"/>
            <w:vAlign w:val="center"/>
          </w:tcPr>
          <w:p w14:paraId="13D3F81B">
            <w:r>
              <w:t>48</w:t>
            </w:r>
          </w:p>
        </w:tc>
        <w:tc>
          <w:tcPr>
            <w:tcW w:w="854" w:type="pct"/>
            <w:vAlign w:val="center"/>
          </w:tcPr>
          <w:p w14:paraId="79E23257">
            <w:r>
              <w:t>——</w:t>
            </w:r>
          </w:p>
        </w:tc>
      </w:tr>
      <w:tr w14:paraId="201D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5910722"/>
        </w:tc>
        <w:tc>
          <w:tcPr>
            <w:tcW w:w="411" w:type="pct"/>
            <w:vAlign w:val="center"/>
          </w:tcPr>
          <w:p w14:paraId="2F71E4F1">
            <w:r>
              <w:t>23</w:t>
            </w:r>
          </w:p>
        </w:tc>
        <w:tc>
          <w:tcPr>
            <w:tcW w:w="2415" w:type="pct"/>
            <w:vAlign w:val="center"/>
          </w:tcPr>
          <w:p w14:paraId="790DFD37">
            <w:r>
              <w:rPr>
                <w:rFonts w:hint="eastAsia" w:cs="宋体"/>
              </w:rPr>
              <w:t>大气污染防治目标（</w:t>
            </w:r>
            <w:r>
              <w:t>%</w:t>
            </w:r>
            <w:r>
              <w:rPr>
                <w:rFonts w:hint="eastAsia" w:cs="宋体"/>
              </w:rPr>
              <w:t>）</w:t>
            </w:r>
          </w:p>
        </w:tc>
        <w:tc>
          <w:tcPr>
            <w:tcW w:w="893" w:type="pct"/>
            <w:vAlign w:val="center"/>
          </w:tcPr>
          <w:p w14:paraId="6D9BEFB6">
            <w:r>
              <w:t>100</w:t>
            </w:r>
          </w:p>
        </w:tc>
        <w:tc>
          <w:tcPr>
            <w:tcW w:w="854" w:type="pct"/>
            <w:vAlign w:val="center"/>
          </w:tcPr>
          <w:p w14:paraId="5EECA150">
            <w:r>
              <w:t>100</w:t>
            </w:r>
          </w:p>
        </w:tc>
      </w:tr>
      <w:tr w14:paraId="3819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1481DE59"/>
        </w:tc>
        <w:tc>
          <w:tcPr>
            <w:tcW w:w="411" w:type="pct"/>
            <w:vAlign w:val="center"/>
          </w:tcPr>
          <w:p w14:paraId="7CF557D6">
            <w:r>
              <w:t>24</w:t>
            </w:r>
          </w:p>
        </w:tc>
        <w:tc>
          <w:tcPr>
            <w:tcW w:w="2415" w:type="pct"/>
            <w:vAlign w:val="center"/>
          </w:tcPr>
          <w:p w14:paraId="2C59F37F">
            <w:r>
              <w:rPr>
                <w:rFonts w:hint="eastAsia" w:cs="宋体"/>
              </w:rPr>
              <w:t>主要水体水质功能达标率（</w:t>
            </w:r>
            <w:r>
              <w:t>%</w:t>
            </w:r>
            <w:r>
              <w:rPr>
                <w:rFonts w:hint="eastAsia" w:cs="宋体"/>
              </w:rPr>
              <w:t>）</w:t>
            </w:r>
          </w:p>
        </w:tc>
        <w:tc>
          <w:tcPr>
            <w:tcW w:w="893" w:type="pct"/>
            <w:vAlign w:val="center"/>
          </w:tcPr>
          <w:p w14:paraId="0895C559">
            <w:r>
              <w:t>&gt;70</w:t>
            </w:r>
          </w:p>
        </w:tc>
        <w:tc>
          <w:tcPr>
            <w:tcW w:w="854" w:type="pct"/>
            <w:vAlign w:val="center"/>
          </w:tcPr>
          <w:p w14:paraId="534A3811">
            <w:r>
              <w:t>100</w:t>
            </w:r>
          </w:p>
        </w:tc>
      </w:tr>
      <w:tr w14:paraId="0667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0AF5B9F"/>
        </w:tc>
        <w:tc>
          <w:tcPr>
            <w:tcW w:w="411" w:type="pct"/>
            <w:vAlign w:val="center"/>
          </w:tcPr>
          <w:p w14:paraId="3EDEC52B">
            <w:r>
              <w:t>25</w:t>
            </w:r>
          </w:p>
        </w:tc>
        <w:tc>
          <w:tcPr>
            <w:tcW w:w="2415" w:type="pct"/>
            <w:vAlign w:val="center"/>
          </w:tcPr>
          <w:p w14:paraId="3BC891D2">
            <w:r>
              <w:rPr>
                <w:rFonts w:hint="eastAsia" w:cs="宋体"/>
              </w:rPr>
              <w:t>非工企业碳排放控制目标完成率（</w:t>
            </w:r>
            <w:r>
              <w:t>%</w:t>
            </w:r>
            <w:r>
              <w:rPr>
                <w:rFonts w:hint="eastAsia" w:cs="宋体"/>
              </w:rPr>
              <w:t>）</w:t>
            </w:r>
          </w:p>
        </w:tc>
        <w:tc>
          <w:tcPr>
            <w:tcW w:w="893" w:type="pct"/>
            <w:vAlign w:val="center"/>
          </w:tcPr>
          <w:p w14:paraId="29E6E2FB">
            <w:r>
              <w:t>100</w:t>
            </w:r>
          </w:p>
        </w:tc>
        <w:tc>
          <w:tcPr>
            <w:tcW w:w="854" w:type="pct"/>
            <w:vAlign w:val="center"/>
          </w:tcPr>
          <w:p w14:paraId="4B0F8B73">
            <w:r>
              <w:t>——</w:t>
            </w:r>
          </w:p>
        </w:tc>
      </w:tr>
      <w:tr w14:paraId="731F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2ED2AB7A"/>
        </w:tc>
        <w:tc>
          <w:tcPr>
            <w:tcW w:w="411" w:type="pct"/>
            <w:vAlign w:val="center"/>
          </w:tcPr>
          <w:p w14:paraId="055837B6">
            <w:r>
              <w:t>26</w:t>
            </w:r>
          </w:p>
        </w:tc>
        <w:tc>
          <w:tcPr>
            <w:tcW w:w="2415" w:type="pct"/>
            <w:vAlign w:val="center"/>
          </w:tcPr>
          <w:p w14:paraId="6C95BB9D">
            <w:r>
              <w:rPr>
                <w:rFonts w:hint="eastAsia" w:cs="宋体"/>
              </w:rPr>
              <w:t>城市生活垃圾分类收集覆盖率（</w:t>
            </w:r>
            <w:r>
              <w:t>%</w:t>
            </w:r>
            <w:r>
              <w:rPr>
                <w:rFonts w:hint="eastAsia" w:cs="宋体"/>
              </w:rPr>
              <w:t>）</w:t>
            </w:r>
          </w:p>
        </w:tc>
        <w:tc>
          <w:tcPr>
            <w:tcW w:w="893" w:type="pct"/>
            <w:vAlign w:val="center"/>
          </w:tcPr>
          <w:p w14:paraId="153D8042">
            <w:r>
              <w:t>85</w:t>
            </w:r>
          </w:p>
        </w:tc>
        <w:tc>
          <w:tcPr>
            <w:tcW w:w="854" w:type="pct"/>
            <w:vAlign w:val="center"/>
          </w:tcPr>
          <w:p w14:paraId="4B6FBB3D">
            <w:r>
              <w:t>100</w:t>
            </w:r>
          </w:p>
        </w:tc>
      </w:tr>
      <w:tr w14:paraId="7BAB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0E45D131"/>
        </w:tc>
        <w:tc>
          <w:tcPr>
            <w:tcW w:w="411" w:type="pct"/>
            <w:vAlign w:val="center"/>
          </w:tcPr>
          <w:p w14:paraId="1D45E10C">
            <w:r>
              <w:t>27</w:t>
            </w:r>
          </w:p>
        </w:tc>
        <w:tc>
          <w:tcPr>
            <w:tcW w:w="2415" w:type="pct"/>
            <w:vAlign w:val="center"/>
          </w:tcPr>
          <w:p w14:paraId="61A77C05">
            <w:r>
              <w:rPr>
                <w:rFonts w:hint="eastAsia" w:cs="宋体"/>
              </w:rPr>
              <w:t>主次干道机扫率（</w:t>
            </w:r>
            <w:r>
              <w:t>%</w:t>
            </w:r>
            <w:r>
              <w:rPr>
                <w:rFonts w:hint="eastAsia" w:cs="宋体"/>
              </w:rPr>
              <w:t>）</w:t>
            </w:r>
          </w:p>
        </w:tc>
        <w:tc>
          <w:tcPr>
            <w:tcW w:w="893" w:type="pct"/>
            <w:vAlign w:val="center"/>
          </w:tcPr>
          <w:p w14:paraId="5B94816B">
            <w:r>
              <w:t>95</w:t>
            </w:r>
          </w:p>
        </w:tc>
        <w:tc>
          <w:tcPr>
            <w:tcW w:w="854" w:type="pct"/>
            <w:vAlign w:val="center"/>
          </w:tcPr>
          <w:p w14:paraId="3362E3DB">
            <w:r>
              <w:t>100</w:t>
            </w:r>
          </w:p>
        </w:tc>
      </w:tr>
      <w:tr w14:paraId="1F12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restart"/>
            <w:vAlign w:val="center"/>
          </w:tcPr>
          <w:p w14:paraId="55D3574F">
            <w:r>
              <w:rPr>
                <w:rFonts w:hint="eastAsia" w:cs="宋体"/>
              </w:rPr>
              <w:t>社会文明</w:t>
            </w:r>
          </w:p>
          <w:p w14:paraId="556916BE">
            <w:r>
              <w:rPr>
                <w:rFonts w:hint="eastAsia" w:cs="宋体"/>
              </w:rPr>
              <w:t>程度</w:t>
            </w:r>
          </w:p>
          <w:p w14:paraId="31FD4DB3">
            <w:r>
              <w:rPr>
                <w:rFonts w:hint="eastAsia" w:cs="宋体"/>
              </w:rPr>
              <w:t>高</w:t>
            </w:r>
          </w:p>
        </w:tc>
        <w:tc>
          <w:tcPr>
            <w:tcW w:w="411" w:type="pct"/>
            <w:vAlign w:val="center"/>
          </w:tcPr>
          <w:p w14:paraId="2B5616FA">
            <w:r>
              <w:t>28</w:t>
            </w:r>
          </w:p>
        </w:tc>
        <w:tc>
          <w:tcPr>
            <w:tcW w:w="2415" w:type="pct"/>
            <w:vAlign w:val="center"/>
          </w:tcPr>
          <w:p w14:paraId="535E4C7E">
            <w:r>
              <w:rPr>
                <w:rFonts w:hint="eastAsia" w:cs="宋体"/>
              </w:rPr>
              <w:t>法治建设满意度（</w:t>
            </w:r>
            <w:r>
              <w:t>%</w:t>
            </w:r>
            <w:r>
              <w:rPr>
                <w:rFonts w:hint="eastAsia" w:cs="宋体"/>
              </w:rPr>
              <w:t>）</w:t>
            </w:r>
          </w:p>
        </w:tc>
        <w:tc>
          <w:tcPr>
            <w:tcW w:w="893" w:type="pct"/>
            <w:vAlign w:val="center"/>
          </w:tcPr>
          <w:p w14:paraId="0844178F">
            <w:r>
              <w:t>&gt;90</w:t>
            </w:r>
          </w:p>
        </w:tc>
        <w:tc>
          <w:tcPr>
            <w:tcW w:w="854" w:type="pct"/>
            <w:vAlign w:val="center"/>
          </w:tcPr>
          <w:p w14:paraId="70B65C67">
            <w:r>
              <w:t>&gt;90</w:t>
            </w:r>
          </w:p>
        </w:tc>
      </w:tr>
      <w:tr w14:paraId="56B4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B904E7F"/>
        </w:tc>
        <w:tc>
          <w:tcPr>
            <w:tcW w:w="411" w:type="pct"/>
            <w:vAlign w:val="center"/>
          </w:tcPr>
          <w:p w14:paraId="15AA26F2">
            <w:r>
              <w:t>29</w:t>
            </w:r>
          </w:p>
        </w:tc>
        <w:tc>
          <w:tcPr>
            <w:tcW w:w="2415" w:type="pct"/>
            <w:vAlign w:val="center"/>
          </w:tcPr>
          <w:p w14:paraId="117E48F1">
            <w:r>
              <w:rPr>
                <w:rFonts w:hint="eastAsia" w:cs="宋体"/>
              </w:rPr>
              <w:t>公众安全感（</w:t>
            </w:r>
            <w:r>
              <w:t>%</w:t>
            </w:r>
            <w:r>
              <w:rPr>
                <w:rFonts w:hint="eastAsia" w:cs="宋体"/>
              </w:rPr>
              <w:t>）</w:t>
            </w:r>
          </w:p>
        </w:tc>
        <w:tc>
          <w:tcPr>
            <w:tcW w:w="893" w:type="pct"/>
            <w:vAlign w:val="center"/>
          </w:tcPr>
          <w:p w14:paraId="3040639F">
            <w:r>
              <w:t>&gt;92</w:t>
            </w:r>
          </w:p>
        </w:tc>
        <w:tc>
          <w:tcPr>
            <w:tcW w:w="854" w:type="pct"/>
            <w:vAlign w:val="center"/>
          </w:tcPr>
          <w:p w14:paraId="76289CF1">
            <w:r>
              <w:t>99.23</w:t>
            </w:r>
          </w:p>
        </w:tc>
      </w:tr>
      <w:tr w14:paraId="70E6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710E7841"/>
        </w:tc>
        <w:tc>
          <w:tcPr>
            <w:tcW w:w="411" w:type="pct"/>
            <w:vAlign w:val="center"/>
          </w:tcPr>
          <w:p w14:paraId="73D93F19">
            <w:r>
              <w:t>30</w:t>
            </w:r>
          </w:p>
        </w:tc>
        <w:tc>
          <w:tcPr>
            <w:tcW w:w="2415" w:type="pct"/>
            <w:vAlign w:val="center"/>
          </w:tcPr>
          <w:p w14:paraId="73A67A5A">
            <w:r>
              <w:rPr>
                <w:rFonts w:hint="eastAsia" w:cs="宋体"/>
              </w:rPr>
              <w:t>省级和谐社区合格率（</w:t>
            </w:r>
            <w:r>
              <w:t>%</w:t>
            </w:r>
            <w:r>
              <w:rPr>
                <w:rFonts w:hint="eastAsia" w:cs="宋体"/>
              </w:rPr>
              <w:t>）</w:t>
            </w:r>
          </w:p>
        </w:tc>
        <w:tc>
          <w:tcPr>
            <w:tcW w:w="893" w:type="pct"/>
            <w:vAlign w:val="center"/>
          </w:tcPr>
          <w:p w14:paraId="576F5C22">
            <w:r>
              <w:t>95</w:t>
            </w:r>
          </w:p>
        </w:tc>
        <w:tc>
          <w:tcPr>
            <w:tcW w:w="854" w:type="pct"/>
            <w:vAlign w:val="center"/>
          </w:tcPr>
          <w:p w14:paraId="62B50D5A">
            <w:r>
              <w:t>98</w:t>
            </w:r>
          </w:p>
        </w:tc>
      </w:tr>
      <w:tr w14:paraId="0A6D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468CE42E"/>
        </w:tc>
        <w:tc>
          <w:tcPr>
            <w:tcW w:w="411" w:type="pct"/>
            <w:vAlign w:val="center"/>
          </w:tcPr>
          <w:p w14:paraId="61CD9E75">
            <w:r>
              <w:t>31</w:t>
            </w:r>
          </w:p>
        </w:tc>
        <w:tc>
          <w:tcPr>
            <w:tcW w:w="2415" w:type="pct"/>
            <w:vAlign w:val="center"/>
          </w:tcPr>
          <w:p w14:paraId="2B3BB65A">
            <w:r>
              <w:rPr>
                <w:rFonts w:hint="eastAsia" w:cs="宋体"/>
              </w:rPr>
              <w:t>每万人拥有社会组织数（个）</w:t>
            </w:r>
          </w:p>
        </w:tc>
        <w:tc>
          <w:tcPr>
            <w:tcW w:w="893" w:type="pct"/>
            <w:vAlign w:val="center"/>
          </w:tcPr>
          <w:p w14:paraId="5FB3DFC8">
            <w:r>
              <w:t>18</w:t>
            </w:r>
          </w:p>
        </w:tc>
        <w:tc>
          <w:tcPr>
            <w:tcW w:w="854" w:type="pct"/>
            <w:vAlign w:val="center"/>
          </w:tcPr>
          <w:p w14:paraId="7C488BCB">
            <w:r>
              <w:t>18</w:t>
            </w:r>
          </w:p>
        </w:tc>
      </w:tr>
      <w:tr w14:paraId="6332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Merge w:val="continue"/>
            <w:vAlign w:val="center"/>
          </w:tcPr>
          <w:p w14:paraId="559223C6"/>
        </w:tc>
        <w:tc>
          <w:tcPr>
            <w:tcW w:w="411" w:type="pct"/>
            <w:vAlign w:val="center"/>
          </w:tcPr>
          <w:p w14:paraId="5FF4A863">
            <w:r>
              <w:t>32</w:t>
            </w:r>
          </w:p>
        </w:tc>
        <w:tc>
          <w:tcPr>
            <w:tcW w:w="2415" w:type="pct"/>
            <w:vAlign w:val="center"/>
          </w:tcPr>
          <w:p w14:paraId="05F80FA1">
            <w:r>
              <w:rPr>
                <w:rFonts w:hint="eastAsia" w:cs="宋体"/>
              </w:rPr>
              <w:t>城镇居委会依法自治达标率</w:t>
            </w:r>
          </w:p>
        </w:tc>
        <w:tc>
          <w:tcPr>
            <w:tcW w:w="893" w:type="pct"/>
            <w:vAlign w:val="center"/>
          </w:tcPr>
          <w:p w14:paraId="12840259">
            <w:r>
              <w:t>&gt;98.5</w:t>
            </w:r>
          </w:p>
        </w:tc>
        <w:tc>
          <w:tcPr>
            <w:tcW w:w="854" w:type="pct"/>
            <w:vAlign w:val="center"/>
          </w:tcPr>
          <w:p w14:paraId="666F8C39">
            <w:r>
              <w:t>100</w:t>
            </w:r>
          </w:p>
        </w:tc>
      </w:tr>
      <w:tr w14:paraId="2111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427" w:type="pct"/>
            <w:vMerge w:val="continue"/>
            <w:vAlign w:val="center"/>
          </w:tcPr>
          <w:p w14:paraId="65EF5632"/>
        </w:tc>
        <w:tc>
          <w:tcPr>
            <w:tcW w:w="411" w:type="pct"/>
            <w:vAlign w:val="center"/>
          </w:tcPr>
          <w:p w14:paraId="2BD123AE">
            <w:r>
              <w:t>33</w:t>
            </w:r>
          </w:p>
        </w:tc>
        <w:tc>
          <w:tcPr>
            <w:tcW w:w="2415" w:type="pct"/>
            <w:vAlign w:val="center"/>
          </w:tcPr>
          <w:p w14:paraId="0982D87A">
            <w:r>
              <w:rPr>
                <w:rFonts w:hint="eastAsia" w:cs="宋体"/>
              </w:rPr>
              <w:t>信用审查报告和信用承诺推广率（</w:t>
            </w:r>
            <w:r>
              <w:t>%</w:t>
            </w:r>
            <w:r>
              <w:rPr>
                <w:rFonts w:hint="eastAsia" w:cs="宋体"/>
              </w:rPr>
              <w:t>）</w:t>
            </w:r>
          </w:p>
        </w:tc>
        <w:tc>
          <w:tcPr>
            <w:tcW w:w="893" w:type="pct"/>
            <w:vAlign w:val="center"/>
          </w:tcPr>
          <w:p w14:paraId="702E4B43">
            <w:r>
              <w:t>80</w:t>
            </w:r>
          </w:p>
        </w:tc>
        <w:tc>
          <w:tcPr>
            <w:tcW w:w="854" w:type="pct"/>
            <w:vAlign w:val="center"/>
          </w:tcPr>
          <w:p w14:paraId="0677A0DE">
            <w:r>
              <w:t>80</w:t>
            </w:r>
          </w:p>
        </w:tc>
      </w:tr>
    </w:tbl>
    <w:p w14:paraId="7BC8E85C">
      <w:pPr>
        <w:spacing w:line="590" w:lineRule="exact"/>
        <w:ind w:firstLine="629"/>
        <w:rPr>
          <w:rFonts w:eastAsia="方正仿宋_GBK"/>
          <w:sz w:val="32"/>
          <w:szCs w:val="32"/>
        </w:rPr>
      </w:pPr>
      <w:r>
        <w:rPr>
          <w:rFonts w:hint="eastAsia" w:eastAsia="方正仿宋_GBK" w:cs="方正仿宋_GBK"/>
          <w:sz w:val="32"/>
          <w:szCs w:val="32"/>
        </w:rPr>
        <w:t>在取得成绩的同时，我们也看到秦淮发展不均衡、不协调、不充分问题仍然较为突出，科技创新支撑高质量发展的动能不够强劲，科教资源“潜优势”尚未能转化为创新的“显实力”，主导产业规模和质量有待进一步提升，产业结构有待进一步优化，高质量、高成长、高技术性企业的支撑作用发挥还有较大的提升空间。老城整体风貌、文化传承和产业发展的统一谋划，新城项目载体建设、产业布局招商的一体推进有待继续深化，老城、新城在交通路网融通、基础设施和公共服务统筹规划建设等方面还大有可为。重点领域关键环节改革任务仍然艰巨，区级层面的探索性、创新性、引领性改革仍显不足。基本公共服务刚性支出压力较大，尤其是老城载体资源相对匮乏，普惠养老、托幼等供给尚存在缺口，成套住房、文化体育设施建设等民生短板亟待补足。生态环境仍然较为脆弱，水环境和生态环境的长效保持仍需加大力度。相比丰厚的资源禀赋，秦淮的资源优势还没有转化为发展的胜势，在南京中心城区的首位度还不够突出，在省市主城区激烈竞争中面临较大压力。</w:t>
      </w:r>
    </w:p>
    <w:p w14:paraId="405B4B1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 w:name="_Toc435210088"/>
      <w:bookmarkStart w:id="22" w:name="_Toc436730128"/>
      <w:bookmarkStart w:id="23" w:name="_Toc435213976"/>
      <w:bookmarkStart w:id="24" w:name="_Toc435210314"/>
      <w:bookmarkStart w:id="25" w:name="_Toc439776007"/>
      <w:bookmarkStart w:id="26" w:name="_Toc60466204"/>
      <w:r>
        <w:rPr>
          <w:rFonts w:hint="eastAsia" w:ascii="方正黑体_GBK" w:hAnsi="方正黑体_GBK" w:eastAsia="方正黑体_GBK" w:cs="方正黑体_GBK"/>
          <w:b w:val="0"/>
          <w:bCs w:val="0"/>
        </w:rPr>
        <w:t>第二章</w:t>
      </w:r>
      <w:bookmarkEnd w:id="21"/>
      <w:bookmarkEnd w:id="22"/>
      <w:bookmarkEnd w:id="23"/>
      <w:bookmarkEnd w:id="24"/>
      <w:bookmarkEnd w:id="25"/>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机遇挑战</w:t>
      </w:r>
      <w:bookmarkEnd w:id="26"/>
    </w:p>
    <w:p w14:paraId="6D913624">
      <w:pPr>
        <w:spacing w:line="590" w:lineRule="exact"/>
        <w:ind w:firstLine="629"/>
        <w:rPr>
          <w:rFonts w:eastAsia="方正仿宋_GBK"/>
          <w:sz w:val="32"/>
          <w:szCs w:val="32"/>
        </w:rPr>
      </w:pPr>
      <w:bookmarkStart w:id="27" w:name="_Toc439776010"/>
      <w:bookmarkStart w:id="28" w:name="_Toc435210317"/>
      <w:bookmarkStart w:id="29" w:name="_Toc436730131"/>
      <w:bookmarkStart w:id="30" w:name="_Toc435213979"/>
      <w:r>
        <w:rPr>
          <w:rFonts w:hint="eastAsia" w:eastAsia="方正仿宋_GBK" w:cs="方正仿宋_GBK"/>
          <w:sz w:val="32"/>
          <w:szCs w:val="32"/>
        </w:rPr>
        <w:t>“十四五”时期，世界呈现竞争优势重塑、经贸规则重建、力量格局重构的叠加态势，尤其是随着新冠疫情对全球经济社会的影响向纵深持续延展，预计未来五年，世界经济下行风险仍将加剧，我们面临的国际环境不稳定、不确定因素将显著增多，将对我们的区域经济社会发展带来不同以往的深远影响。</w:t>
      </w:r>
    </w:p>
    <w:p w14:paraId="64A796AE">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国际形势</w:t>
      </w:r>
    </w:p>
    <w:p w14:paraId="0CF9515F">
      <w:pPr>
        <w:spacing w:line="590" w:lineRule="exact"/>
        <w:ind w:firstLine="629"/>
        <w:rPr>
          <w:rFonts w:eastAsia="方正仿宋_GBK"/>
          <w:sz w:val="32"/>
          <w:szCs w:val="32"/>
        </w:rPr>
      </w:pPr>
      <w:r>
        <w:rPr>
          <w:rFonts w:hint="eastAsia" w:eastAsia="方正仿宋_GBK" w:cs="方正仿宋_GBK"/>
          <w:sz w:val="32"/>
          <w:szCs w:val="32"/>
        </w:rPr>
        <w:t>国际环境日趋复杂，经济全球化遭遇逆流、一些国家保护主义和单边主义盛行、地缘政治风险上升，新冠肺炎疫情全球大流行带来世界经济深度衰退、国际贸易和投资大幅萎缩、国际金融市场动荡、国际交往受限，全球产业链、供应链受到冲击，经济社会发展不稳定性、不确定性明显增强。但同时，区域全面经济伙伴关系协定（</w:t>
      </w:r>
      <w:r>
        <w:rPr>
          <w:rFonts w:eastAsia="方正仿宋_GBK"/>
          <w:sz w:val="32"/>
          <w:szCs w:val="32"/>
        </w:rPr>
        <w:t>RCEP</w:t>
      </w:r>
      <w:r>
        <w:rPr>
          <w:rFonts w:hint="eastAsia" w:eastAsia="方正仿宋_GBK" w:cs="方正仿宋_GBK"/>
          <w:sz w:val="32"/>
          <w:szCs w:val="32"/>
        </w:rPr>
        <w:t>）成功签署，人工智能、</w:t>
      </w:r>
      <w:r>
        <w:rPr>
          <w:rFonts w:eastAsia="方正仿宋_GBK"/>
          <w:sz w:val="32"/>
          <w:szCs w:val="32"/>
        </w:rPr>
        <w:t>5G</w:t>
      </w:r>
      <w:r>
        <w:rPr>
          <w:rFonts w:hint="eastAsia" w:eastAsia="方正仿宋_GBK" w:cs="方正仿宋_GBK"/>
          <w:sz w:val="32"/>
          <w:szCs w:val="32"/>
        </w:rPr>
        <w:t>、物联网等为先导的新技术革命加速突破，也为地区发展繁荣和世界经济恢复性增长带来了曙光。国际形势的影响传导到区域层面，一方面，外部需求不足会对外向型经济生存发展造成挤压式打击，海外招商引资难度加大，秦淮企业走出去进行海外并购，引进大体量投资和关键性技术也存在壁垒；另一方面，外部经济环境不稳定会促使行业更精准地聚焦国内市场，把扩大内需和发挥内循环主体作用作为首要任务，加大面向内需的供给侧改革和需求侧管理，有助于区域内大企业和企业集团深耕本土市场，健全上下游产业链，有助于激励本土企业加快原始创新和科研投入力度，激发创新的内生动力，培育一批自主创新人才，通过自主研发，突破一批“卡脖子”技术。</w:t>
      </w:r>
    </w:p>
    <w:p w14:paraId="449B70BB">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国内环境</w:t>
      </w:r>
    </w:p>
    <w:p w14:paraId="5DFA1EE1">
      <w:pPr>
        <w:spacing w:line="590" w:lineRule="exact"/>
        <w:ind w:firstLine="629"/>
        <w:rPr>
          <w:rFonts w:eastAsia="方正仿宋_GBK"/>
          <w:sz w:val="32"/>
          <w:szCs w:val="32"/>
        </w:rPr>
      </w:pPr>
      <w:r>
        <w:rPr>
          <w:rFonts w:hint="eastAsia" w:eastAsia="方正仿宋_GBK" w:cs="方正仿宋_GBK"/>
          <w:sz w:val="32"/>
          <w:szCs w:val="32"/>
        </w:rPr>
        <w:t>“十四五”时期，是我国处在转变发展方式、优化经济结构、转换增长动力的攻关期。社会主要矛盾发展变化给经济社会发展带来了新特征和新要求，构建国内大循环为主体，国内国际双循环相互促进的新发展格局意义重大。虽然面临着结构性、体制性、周期性问题相互交织所带来的困难和挑战，经济运行和社会发展面临较大压力，但我国制度优势显著，发展韧性强大，社会大局稳定，这都是高质量、可持续发展的优势和条件。国内环境影响辐射到区域层面，在产业高质量发展领域，三次产业壁垒进一步打破，细分产业逐步和新科技、新业态融合趋势更加明显，预期会为秦淮传统商贸业注入文旅商融合基因，实现突破性转型升级，都市工业重焕生机，物联网、</w:t>
      </w:r>
      <w:r>
        <w:rPr>
          <w:rFonts w:eastAsia="方正仿宋_GBK"/>
          <w:sz w:val="32"/>
          <w:szCs w:val="32"/>
        </w:rPr>
        <w:t>5G</w:t>
      </w:r>
      <w:r>
        <w:rPr>
          <w:rFonts w:hint="eastAsia" w:eastAsia="方正仿宋_GBK" w:cs="方正仿宋_GBK"/>
          <w:sz w:val="32"/>
          <w:szCs w:val="32"/>
        </w:rPr>
        <w:t>、大数据等未来产业和数字经济布局产生较强的正向拉动作用。在民生高质量发展领域，百姓对社会民生发展的诉求将更多元，对政府公共服务供给的内容、和品质有更高期待和要求，也更加需要依靠市场和社会力量提升公共服务建管效率。这样的变化会对基层政府经济和社会发展治理能力现代化、公共服务配置均等化品质化、社会治理与居民自治、志愿者和非营利性社会机构发展等提出更高要求。在生态环境高质量发展方面，践行“绿水青山就是金山银山”，以碳达峰、碳中和目标为指引，共同推进长江经济带保护，加大生态文明建设和环境保护力度，坚持生态优先、绿色发展，将成为“十四五”期间的常态。这将促使我们从被动污染治理向主动绿色发展转型，树立集成思维，系统解决环保、民生改善和产业发展问题，把海绵城市、绿色建筑、循环低碳经济等高标准融入秦淮老城、新城建设，发挥秦淮水文化优势，展现水环境底色，释放水生态价值。</w:t>
      </w:r>
    </w:p>
    <w:p w14:paraId="1036B974">
      <w:pPr>
        <w:spacing w:line="590" w:lineRule="exact"/>
        <w:ind w:firstLine="629"/>
        <w:rPr>
          <w:rFonts w:ascii="方正楷体_GBK" w:hAnsi="方正楷体_GBK" w:eastAsia="方正楷体_GBK"/>
          <w:sz w:val="32"/>
          <w:szCs w:val="32"/>
        </w:rPr>
      </w:pPr>
      <w:r>
        <w:rPr>
          <w:rFonts w:ascii="方正楷体_GBK" w:hAnsi="方正楷体_GBK" w:eastAsia="方正楷体_GBK" w:cs="方正楷体_GBK"/>
          <w:sz w:val="32"/>
          <w:szCs w:val="32"/>
        </w:rPr>
        <w:t>——</w:t>
      </w:r>
      <w:r>
        <w:rPr>
          <w:rFonts w:hint="eastAsia" w:ascii="方正楷体_GBK" w:hAnsi="方正楷体_GBK" w:eastAsia="方正楷体_GBK" w:cs="方正楷体_GBK"/>
          <w:sz w:val="32"/>
          <w:szCs w:val="32"/>
        </w:rPr>
        <w:t>区域优势</w:t>
      </w:r>
    </w:p>
    <w:p w14:paraId="758B3F41">
      <w:pPr>
        <w:spacing w:line="590" w:lineRule="exact"/>
        <w:ind w:firstLine="629"/>
        <w:rPr>
          <w:rFonts w:eastAsia="方正仿宋_GBK"/>
          <w:sz w:val="32"/>
          <w:szCs w:val="32"/>
        </w:rPr>
      </w:pPr>
      <w:r>
        <w:rPr>
          <w:rFonts w:hint="eastAsia" w:eastAsia="方正仿宋_GBK" w:cs="方正仿宋_GBK"/>
          <w:sz w:val="32"/>
          <w:szCs w:val="32"/>
        </w:rPr>
        <w:t>秦淮作为全省区域面积最小的城区，是金陵历史文脉最完整历史资源最丰富、历史影响最深远的老城核心区。“十里秦淮”是中国文化含金量最高的一条河，也是我国第一历史文化名河。秦淮老城棚改面积占到南京市主城的三成，是南京城市老旧小区改造的主阵地。南部新城为南京主城核心区释放出</w:t>
      </w:r>
      <w:r>
        <w:rPr>
          <w:rFonts w:eastAsia="方正仿宋_GBK"/>
          <w:sz w:val="32"/>
          <w:szCs w:val="32"/>
        </w:rPr>
        <w:t>10</w:t>
      </w:r>
      <w:r>
        <w:rPr>
          <w:rFonts w:hint="eastAsia" w:eastAsia="方正仿宋_GBK" w:cs="方正仿宋_GBK"/>
          <w:sz w:val="32"/>
          <w:szCs w:val="32"/>
        </w:rPr>
        <w:t>平方公里优质土地，建设框架逐步拉开。经过多年砥砺，秦淮在江苏省高质量发展综合考核中，名列全省城区第一名，资源优势明显，发展基础优良，未来可为空间广阔。“十四五”时期，是秦淮紧抓基础优势，加大改革创新力度，探索发展模式创新，从文化旅游资源优势和传统产业比较优势中破局，提高站位思考，提升融入大都市圈、城市群的意识，在共享发展、资源优势辐射等方面取得突破性进展的关键期。在国家层面，融入“一带一路”发展格局，融入“长三角一体化”发展战略，融入长江经济带保护建设。在城市群层面，融入沿沪宁产业创新带建设，融入宁杭生态经济带建设，融入“宁镇扬”一体化发展。在南京市层面，融入紫东片区发展规划，精准对接江北新区国家级新区和自贸区机遇。力争在更大坐标系中找到定位，成为更大格局中的关键环节、特色高地和发展样本。</w:t>
      </w:r>
    </w:p>
    <w:p w14:paraId="205B59D2">
      <w:pPr>
        <w:pStyle w:val="2"/>
        <w:rPr>
          <w:rFonts w:eastAsia="方正仿宋_GBK"/>
          <w:sz w:val="32"/>
          <w:szCs w:val="32"/>
        </w:rPr>
      </w:pPr>
    </w:p>
    <w:p w14:paraId="0F1FD4F9">
      <w:pPr>
        <w:pStyle w:val="2"/>
        <w:rPr>
          <w:rFonts w:eastAsia="方正仿宋_GBK"/>
          <w:sz w:val="32"/>
          <w:szCs w:val="32"/>
        </w:rPr>
      </w:pPr>
    </w:p>
    <w:p w14:paraId="4389B9CF">
      <w:pPr>
        <w:pStyle w:val="2"/>
        <w:rPr>
          <w:rFonts w:eastAsia="方正仿宋_GBK"/>
          <w:sz w:val="32"/>
          <w:szCs w:val="32"/>
        </w:rPr>
      </w:pPr>
    </w:p>
    <w:bookmarkEnd w:id="27"/>
    <w:bookmarkEnd w:id="28"/>
    <w:bookmarkEnd w:id="29"/>
    <w:bookmarkEnd w:id="30"/>
    <w:p w14:paraId="29B683BD">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31" w:name="_Toc426387904"/>
      <w:bookmarkStart w:id="32" w:name="_Toc439776011"/>
      <w:bookmarkStart w:id="33" w:name="_Toc435210318"/>
      <w:bookmarkStart w:id="34" w:name="_Toc436730132"/>
      <w:bookmarkStart w:id="35" w:name="_Toc435210091"/>
      <w:bookmarkStart w:id="36" w:name="_Toc435213980"/>
      <w:bookmarkStart w:id="37" w:name="_Toc60466205"/>
      <w:r>
        <w:rPr>
          <w:rFonts w:hint="eastAsia" w:ascii="方正黑体_GBK" w:hAnsi="方正黑体_GBK" w:eastAsia="方正黑体_GBK" w:cs="方正黑体_GBK"/>
          <w:b w:val="0"/>
          <w:bCs w:val="0"/>
        </w:rPr>
        <w:t>第三</w:t>
      </w:r>
      <w:bookmarkEnd w:id="31"/>
      <w:r>
        <w:rPr>
          <w:rFonts w:hint="eastAsia" w:ascii="方正黑体_GBK" w:hAnsi="方正黑体_GBK" w:eastAsia="方正黑体_GBK" w:cs="方正黑体_GBK"/>
          <w:b w:val="0"/>
          <w:bCs w:val="0"/>
        </w:rPr>
        <w:t>章</w:t>
      </w:r>
      <w:bookmarkEnd w:id="32"/>
      <w:bookmarkEnd w:id="33"/>
      <w:bookmarkEnd w:id="34"/>
      <w:bookmarkEnd w:id="35"/>
      <w:bookmarkEnd w:id="36"/>
      <w:bookmarkStart w:id="38" w:name="_Toc426387901"/>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总体要求</w:t>
      </w:r>
      <w:bookmarkEnd w:id="37"/>
    </w:p>
    <w:p w14:paraId="6ACD1450">
      <w:pPr>
        <w:pStyle w:val="5"/>
        <w:spacing w:after="200"/>
        <w:jc w:val="center"/>
        <w:rPr>
          <w:rFonts w:ascii="方正楷体_GBK" w:hAnsi="方正楷体_GBK" w:eastAsia="方正楷体_GBK"/>
          <w:b w:val="0"/>
          <w:bCs w:val="0"/>
        </w:rPr>
      </w:pPr>
      <w:bookmarkStart w:id="39" w:name="_Toc60466206"/>
      <w:bookmarkStart w:id="40" w:name="_Toc435210092"/>
      <w:bookmarkStart w:id="41" w:name="_Toc439776012"/>
      <w:bookmarkStart w:id="42" w:name="_Toc435210319"/>
      <w:bookmarkStart w:id="43" w:name="_Toc435213981"/>
      <w:bookmarkStart w:id="44" w:name="_Toc436730133"/>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指导思想</w:t>
      </w:r>
      <w:bookmarkEnd w:id="38"/>
      <w:bookmarkEnd w:id="39"/>
      <w:bookmarkEnd w:id="40"/>
      <w:bookmarkEnd w:id="41"/>
      <w:bookmarkEnd w:id="42"/>
      <w:bookmarkEnd w:id="43"/>
      <w:bookmarkEnd w:id="44"/>
    </w:p>
    <w:p w14:paraId="59B9AFAC">
      <w:pPr>
        <w:spacing w:line="590" w:lineRule="exact"/>
        <w:ind w:firstLine="629"/>
        <w:rPr>
          <w:rFonts w:eastAsia="方正仿宋_GBK"/>
          <w:sz w:val="32"/>
          <w:szCs w:val="32"/>
        </w:rPr>
      </w:pPr>
      <w:r>
        <w:rPr>
          <w:rFonts w:hint="eastAsia" w:eastAsia="方正仿宋_GBK" w:cs="方正仿宋_GBK"/>
          <w:sz w:val="32"/>
          <w:szCs w:val="32"/>
        </w:rPr>
        <w:t>高举中国特色社会主义伟大旗帜，深入贯彻党的十九大和十九届二中、三中、四中、五中全会精神，落实习近平总书记视察江苏重要指示和全面推动长江经济带发展座谈会重要讲话精神，坚持以马克思列宁主义、毛泽东思想、邓小平理论、“三个代表”重要思想、科学发展观、习近平新时代中国特色社会主义思想为指导，全面贯彻党的基本理论、基本路线、基本方略，统筹推进“五位一体”总体布局，协调推进全面建设社会主义现代化国家、全面深化改革、全面依法治国、全面从严治党的战略布局，坚定不移贯彻新发展理念，认真落实中央和省市委决策部署，以推动高质量发展为主题，以深化供给侧结构性改革为主线，以改革创新为根本动力，以满足人民日益增长的美好生活需要为根本目的，立足既有发展定位不动摇，立足“特而精、最南京”的目标定位不动摇，高品质保护更新老城、高质量开发建设新城、推动老城与新城融合共生，奋力推进高质量发展、创造高品质生活、实现高效能治理，确保实现“十四五”规划确定的目标任务，不断把“强富美高”新秦淮建设推向前进，在江苏践行“争当表率、争做示范、走在前列”中扛起主城担当、展现主城作为。</w:t>
      </w:r>
    </w:p>
    <w:p w14:paraId="09687B57">
      <w:pPr>
        <w:spacing w:line="590" w:lineRule="exact"/>
        <w:ind w:firstLine="629"/>
        <w:rPr>
          <w:rFonts w:eastAsia="方正仿宋_GBK"/>
          <w:sz w:val="32"/>
          <w:szCs w:val="32"/>
        </w:rPr>
      </w:pPr>
      <w:r>
        <w:rPr>
          <w:rFonts w:hint="eastAsia" w:eastAsia="方正仿宋_GBK" w:cs="方正仿宋_GBK"/>
          <w:sz w:val="32"/>
          <w:szCs w:val="32"/>
        </w:rPr>
        <w:t>在规划编制和实施过程中，坚持把握基本原则：</w:t>
      </w:r>
      <w:bookmarkStart w:id="45" w:name="_Toc439776013"/>
      <w:bookmarkStart w:id="46" w:name="_Toc435213982"/>
      <w:bookmarkStart w:id="47" w:name="_Toc436730134"/>
      <w:bookmarkStart w:id="48" w:name="_Toc435210093"/>
      <w:bookmarkStart w:id="49" w:name="_Toc435210320"/>
    </w:p>
    <w:p w14:paraId="56578821">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坚持党的全面领导。贯彻党把方向、谋大局、定政策、促改革的要求，进一步</w:t>
      </w:r>
      <w:r>
        <w:rPr>
          <w:rFonts w:hint="eastAsia" w:eastAsia="方正仿宋_GBK" w:cs="方正仿宋_GBK"/>
          <w:sz w:val="32"/>
          <w:szCs w:val="32"/>
          <w:lang w:eastAsia="zh-CN"/>
        </w:rPr>
        <w:t>增强“四个意识”、坚定“四个自信”、做到“两个维护”</w:t>
      </w:r>
      <w:r>
        <w:rPr>
          <w:rFonts w:hint="eastAsia" w:eastAsia="方正仿宋_GBK" w:cs="方正仿宋_GBK"/>
          <w:sz w:val="32"/>
          <w:szCs w:val="32"/>
        </w:rPr>
        <w:t>，坚持和完善党领导经济社会发展的体制机制，坚持和完善中国特色社会主义制度，不断提高贯彻新发展理念、服务新发展格局的能力和水平，为实现高质量发展提供根本保证。</w:t>
      </w:r>
    </w:p>
    <w:p w14:paraId="4E1FB55E">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以人民为中心的发展思想。将满足人民对美好生活的向往作为一切工作的出发点和落脚点，坚持人民主体地位，坚持共同富裕方向，把让人民宜居安居放在首位，始终做到发展为了人民、发展依靠人民、发展成果由人民共享，维护人民根本利益，激发全区广大群众参与城市治理的积极性、主动性、创造性，加快补齐公共服务短板、促进社会公平，增进民生福祉，提高人民群众的获得感、幸福感、安全感。</w:t>
      </w:r>
    </w:p>
    <w:p w14:paraId="42361B5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新发展理念。将新发展理念作为秦淮发展的指挥棒和红绿灯，贯穿到经济社会发展的全过程和各领域，用以谋划发展思路、确立前进方向、找准着力重点，积极融入新发展格局，切实转变发展方式，推动质量变革、效率变革、动力变革，实现更有效率、更加公平、更可持续、更为安全的发展，更加彰显生态之美、人文之美、和谐之美。</w:t>
      </w:r>
    </w:p>
    <w:p w14:paraId="1C7AD92E">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一张蓝图绘到底。落实习近平总书记“强富美高”谆谆嘱托与“争当表率、争做示范、走在前列”新的更高要求，坚持既有发展定位和发展目标不动摇，一锤接着一锤敲、一任接着一任干，更高品质保护更新老城、更高质量开发建设新城、更深层次推动老城与新城融合共生，与时俱进丰富拓展“精准、精细、精致”的发展内涵，让“上善、风雅、活力”成为秦淮最显著的标识特征，打响“特而精、最南京”的城市品牌。</w:t>
      </w:r>
    </w:p>
    <w:p w14:paraId="13B05F21">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坚持深化改革创新。坚定不移深化改革，坚定不移推动创新，加强区域治理体系和治理能力现代化建设，破除制约高质量发展、高品质生活、高效能治理的体制机制障碍，强化有利于提高资源配置效率、有利于调动全社会积极性的重大改革创新举措，有效激发内在动力和发展活力。</w:t>
      </w:r>
    </w:p>
    <w:p w14:paraId="0E703CC0">
      <w:pPr>
        <w:spacing w:line="590" w:lineRule="exact"/>
        <w:ind w:firstLine="629"/>
        <w:rPr>
          <w:rFonts w:eastAsia="仿宋"/>
          <w:sz w:val="32"/>
          <w:szCs w:val="32"/>
        </w:rPr>
      </w:pPr>
      <w:r>
        <w:rPr>
          <w:rFonts w:eastAsia="方正仿宋_GBK"/>
          <w:sz w:val="32"/>
          <w:szCs w:val="32"/>
        </w:rPr>
        <w:t>——</w:t>
      </w:r>
      <w:r>
        <w:rPr>
          <w:rFonts w:hint="eastAsia" w:eastAsia="方正仿宋_GBK" w:cs="方正仿宋_GBK"/>
          <w:sz w:val="32"/>
          <w:szCs w:val="32"/>
        </w:rPr>
        <w:t>坚持系统观念。加强前瞻性思考、全局性谋划、战略性布局、整体性推进，服从和服务全国和省市发展大局，统筹办好发展和安全两件大事，从事物发展的全过程、产业发展的全链条、企业发展的全生命周期出发，着力固根基、扬优势、补短板、强弱项，注重防范化解重大风险挑战，实现发展质量、结构、规模、速度、效益、安全相统一。</w:t>
      </w:r>
    </w:p>
    <w:p w14:paraId="21D1D60F">
      <w:pPr>
        <w:pStyle w:val="5"/>
        <w:spacing w:after="200"/>
        <w:jc w:val="center"/>
        <w:rPr>
          <w:rFonts w:ascii="方正楷体_GBK" w:hAnsi="方正楷体_GBK" w:eastAsia="方正楷体_GBK"/>
          <w:b w:val="0"/>
          <w:bCs w:val="0"/>
        </w:rPr>
      </w:pPr>
      <w:bookmarkStart w:id="50" w:name="_Toc60466207"/>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总体格局</w:t>
      </w:r>
      <w:bookmarkEnd w:id="45"/>
      <w:bookmarkEnd w:id="50"/>
    </w:p>
    <w:p w14:paraId="465D1F7A">
      <w:pPr>
        <w:spacing w:line="590" w:lineRule="exact"/>
        <w:ind w:firstLine="629"/>
        <w:rPr>
          <w:rFonts w:eastAsia="方正仿宋_GBK"/>
          <w:sz w:val="32"/>
          <w:szCs w:val="32"/>
        </w:rPr>
      </w:pPr>
      <w:bookmarkStart w:id="51" w:name="_Toc439776014"/>
      <w:r>
        <w:rPr>
          <w:rFonts w:hint="eastAsia" w:eastAsia="方正仿宋_GBK" w:cs="方正仿宋_GBK"/>
          <w:sz w:val="32"/>
          <w:szCs w:val="32"/>
        </w:rPr>
        <w:t>延续并深化“保护更新老城、开发建设新城”总体格局，确立“两高、一融”，即“高品质保护更新老城、高质量开发建设新城、老城与新城融合共生”的秦淮“十四五”发展总体格局。</w:t>
      </w:r>
    </w:p>
    <w:p w14:paraId="2D35D4C6">
      <w:pPr>
        <w:spacing w:line="590" w:lineRule="exact"/>
        <w:ind w:firstLine="629"/>
        <w:rPr>
          <w:rFonts w:eastAsia="方正仿宋_GBK"/>
          <w:sz w:val="32"/>
          <w:szCs w:val="32"/>
        </w:rPr>
      </w:pPr>
      <w:r>
        <w:rPr>
          <w:rFonts w:hint="eastAsia" w:eastAsia="方正仿宋_GBK" w:cs="方正仿宋_GBK"/>
          <w:sz w:val="32"/>
          <w:szCs w:val="32"/>
        </w:rPr>
        <w:t>“高品质保护更新老城”：把老城打造成为承载南京千年历史传承、展示城市文化记忆、凸显区域鲜明特色的“特而精、最南京”传统窗口。</w:t>
      </w:r>
    </w:p>
    <w:p w14:paraId="21746EF0">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古韵今貌交融，凸显老城风貌。以夫子庙核心区、新街口核心区优化提升、特色聚焦为引领，以中山南路、太平南路双线资源挖掘、面貌提升、风貌打造为纽带，凸显历史人文底蕴，激发现代都市活力，打造、传统现代交辉的老城“一体两翼”特色风貌架构。以小西湖、西五华里、门西数字街区、石榴新村等在建、新建项目为示范，完善城市功能，协同产业布局，提升业态高端层次和精致水平，形成多点聚合、有机串联的“一片一貌一品”地块联动体系。激发饮虹园、双塘园、荷花塘等储备地块潜能，成为保护更新模式创新策源地和推广地，建设系统保护梯队。通过文化赋能、产业植入，打造古韵今貌交融，让人过目不忘、流连忘返的“腔调”老城风貌和人文风雅地标。</w:t>
      </w:r>
    </w:p>
    <w:p w14:paraId="170BF3D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聚焦时代脉络，彰显文化传承。深入研究挖掘秦淮丰富的历史文化资源，形成秦淮文化展示、推广、传承的系统框架，确立富有生机活力的文化内核。梳理新街口现代时尚文化、太平南路民国文化、门外越城吴越文化等不同时代的秦淮老城文化脉络，突出展现最富秦淮特质、最富历史渊源的文化风貌关键节点。挖掘夫子庙核心区儒学科举文化、秦淮河曲艺剧场文化、南捕厅</w:t>
      </w:r>
      <w:r>
        <w:rPr>
          <w:rFonts w:eastAsia="方正仿宋_GBK"/>
          <w:sz w:val="32"/>
          <w:szCs w:val="32"/>
        </w:rPr>
        <w:t>—</w:t>
      </w:r>
      <w:r>
        <w:rPr>
          <w:rFonts w:hint="eastAsia" w:eastAsia="方正仿宋_GBK" w:cs="方正仿宋_GBK"/>
          <w:sz w:val="32"/>
          <w:szCs w:val="32"/>
        </w:rPr>
        <w:t>朝天宫民俗艺术文化、报恩寺佛教报恩文化等不同类型的文化内涵，展现主题文化特征。推进物质和非物质文化遗产活化利用，在科学保护的基础上，唤醒市场价值，打造民族品牌，形成文化传承的标识载体和能量核心，成为代表和展示国家文化精髓、精粹的人文名片。</w:t>
      </w:r>
    </w:p>
    <w:p w14:paraId="555891F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传统新兴共促，提升产业能级。推进全域文旅商融合，促进老城南板块传统文化旅游产业和时尚消费、精品文创等特色商贸业、现代服务业深度融合，促进新街口板块传统商贸业和旅游休闲、文博节展等文化旅游业深度融合，串联老城全域一体化的文化、消费、旅游线路，植入智慧旅游、数字消费、</w:t>
      </w:r>
      <w:r>
        <w:rPr>
          <w:rFonts w:eastAsia="方正仿宋_GBK"/>
          <w:sz w:val="32"/>
          <w:szCs w:val="32"/>
        </w:rPr>
        <w:t>VR</w:t>
      </w:r>
      <w:r>
        <w:rPr>
          <w:rFonts w:hint="eastAsia" w:eastAsia="方正仿宋_GBK" w:cs="方正仿宋_GBK"/>
          <w:sz w:val="32"/>
          <w:szCs w:val="32"/>
        </w:rPr>
        <w:t>智能场景体验等智能化、数字化、体验化形态，提升企业、品牌、业态、观感的国际化、高端化水平，打造南京主城核心的全域旅游目的地和消费中心城区。提升特色金融、商务产业影响力，促进新街口核心区重大载体建设和楼宇品质化改造，加快集聚具有国际、国内影响力的企业总部和功能性业务总部，发展消费金融、金融租赁等新兴金融业和高端商务服务业，形成较为完善强韧的金融、商务服务产业体系。激发秦淮硅巷创新活力，依托老城片区高校、科研院所和产业园区集中，公共设施配套齐全等基础优势，对接科创型企业对城市功能、交流空间等独特要求，布局车联网、智能交通、智慧城市、智能生活等创新性产业细分方向，助推科技创新回归老城。通过跨界融合、特色创新，构建与空间呼应契合、发挥基础优势、体现品质品位、激发活力新貌的老城现代化产业体系。</w:t>
      </w:r>
    </w:p>
    <w:p w14:paraId="754B20B6">
      <w:pPr>
        <w:spacing w:line="590" w:lineRule="exact"/>
        <w:ind w:firstLine="629"/>
        <w:rPr>
          <w:rFonts w:eastAsia="方正仿宋_GBK"/>
          <w:sz w:val="32"/>
          <w:szCs w:val="32"/>
        </w:rPr>
      </w:pPr>
      <w:r>
        <w:rPr>
          <w:rFonts w:hint="eastAsia" w:eastAsia="方正仿宋_GBK" w:cs="方正仿宋_GBK"/>
          <w:sz w:val="32"/>
          <w:szCs w:val="32"/>
        </w:rPr>
        <w:t>“高质量开发建设新城”：把新城打造成为展现城市未来发展形态、单位面积产出高、精细化管理程度高的“特而精、最南京”现代标杆。</w:t>
      </w:r>
    </w:p>
    <w:p w14:paraId="2F63233A">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标准规划，勾勒城市格局。推进多规融合，对接国土空间规划，对照经济普查、人口普查基础数据，提前研究、落实经济、社会发展项目的空间支撑。对专项规划和城市设计加强统筹，对地下空间、公园绿地、能源系统、海绵城市、绿色建筑、地下管廊、建筑风貌管控、色彩导则等要点进行系统梳理，发挥数字规划设计管控平台支持作用，把规划要求系统集成到项目建设上，促进统筹协同。推进东部片区和南部新城建设规划衔接，深化与紫东片区总体规划的融入对接，在更大空间范围内推进新城片区规划的高标准、一体化。</w:t>
      </w:r>
    </w:p>
    <w:p w14:paraId="18C17D73">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高水平建设，推进构想落地。进一步完善城市建设格局，提升南部新城产城融合形态和功能。优化深化</w:t>
      </w:r>
      <w:r>
        <w:rPr>
          <w:rFonts w:eastAsia="方正仿宋_GBK"/>
          <w:sz w:val="32"/>
          <w:szCs w:val="32"/>
        </w:rPr>
        <w:t>EPC</w:t>
      </w:r>
      <w:r>
        <w:rPr>
          <w:rFonts w:hint="eastAsia" w:eastAsia="方正仿宋_GBK" w:cs="方正仿宋_GBK"/>
          <w:sz w:val="32"/>
          <w:szCs w:val="32"/>
        </w:rPr>
        <w:t>总承包模式使用，完善投融资体系，引入“城市合伙人”等创新方式，保障新城大规模开发建设的顺利高效推进。推进智慧城市建管，拉开智慧城市建设管理框架，布局智慧城市物联网、智慧规划系统、智慧建造管理系统等。高规格建设新城产业载体，对照国内外知名企业对入驻载体的需求，精准建设新载体、改造旧载体，有效提升新城片区的商务、商贸、科创等产业空间的定制化水平。提高公共服务设施的配建水平，适度超前、高标准、国际化配建公共服务设施，促进优质教育、医疗、养老资源多点聚合，精准布局并加快建设公共服务配套项目建设，构建尺度宜人、开放相容、邻里和谐的新城社区，提高城市活力品质，增进邻里互动交流。</w:t>
      </w:r>
    </w:p>
    <w:p w14:paraId="74744979">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高层级聚企，谋定产业形态。突出新城不同板块的差异化产业定位，实施高规格招商推介和地块推广，促进定向精准招商，东部高新片区主推科技创新型产业，南部新城片区主引总部形态，重点引进业内头部企业，培育本土高成长性企业，形成枢纽型超级总部经济集聚区。促进产业跨界融合，依托机场跑道城市文化客厅打造，完善周边高端综合体、星级酒店等服务配套功能，促进文旅商融合发展；依托外秦淮河水岸空间带建设，布局数字经济、科技创新、文艺展演、大健康等高能级生产性服务业和高品质生活性服务业，形成现代服务业集聚带。通过提前谋划、产城融合，构建展现未来方向、体现现代水准、凸显产出效益、丰富文化内涵的新城产业体系。</w:t>
      </w:r>
    </w:p>
    <w:p w14:paraId="19CC79F9">
      <w:pPr>
        <w:spacing w:line="590" w:lineRule="exact"/>
        <w:ind w:firstLine="629"/>
        <w:rPr>
          <w:rFonts w:eastAsia="方正仿宋_GBK"/>
          <w:sz w:val="32"/>
          <w:szCs w:val="32"/>
        </w:rPr>
      </w:pPr>
      <w:r>
        <w:rPr>
          <w:rFonts w:hint="eastAsia" w:eastAsia="方正仿宋_GBK" w:cs="方正仿宋_GBK"/>
          <w:sz w:val="32"/>
          <w:szCs w:val="32"/>
        </w:rPr>
        <w:t>“老城与新城融合共生”：依托内外秦淮水系的串联延展，设计打造水系沿线产业载体、城市空间、生态廊道，赋予老城、新城联动的经济、社会、生态发展功能，形成融合共生的独特纽带，打造“古韵新貌交融、特色活力互动”的城市共生体，展现秦淮“因水而生，以水而名，依水而荣”的包容特质和灵动气质，逐步形成老城、新城城市共建、资源共享、模式共赢的联动格局。</w:t>
      </w:r>
    </w:p>
    <w:p w14:paraId="516FA644">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空间形态融合贯通。水系相融，打造沿秦淮河产城融合水岸示范带，其中，沿内秦淮河段落聚焦文旅商产业融合和体验内涵升级，沿外秦淮河段落聚焦科技创新创业与滨水生态空间打造的互动互融，凸显秦淮独有的水形态、水文化、水特色，打造老城、新城融合共生的特色空间载体。路网相通，加速推进老城、新城路网体系建设，合理规划并适度加密建设东部片区、南部新城支路路网，以及跨外秦淮河桥梁，推进秦淮老城、新城间地面路网和有轨电车、地铁等轨道交通的有机衔接，规划建设并提供多样性交通选择，提升通达性。</w:t>
      </w:r>
    </w:p>
    <w:p w14:paraId="4EC7B4B6">
      <w:pPr>
        <w:spacing w:line="590" w:lineRule="exact"/>
        <w:ind w:firstLine="629"/>
        <w:rPr>
          <w:rFonts w:eastAsia="方正仿宋_GBK"/>
          <w:sz w:val="32"/>
          <w:szCs w:val="32"/>
        </w:rPr>
      </w:pPr>
      <w:r>
        <w:rPr>
          <w:rFonts w:eastAsia="方正仿宋_GBK"/>
          <w:sz w:val="32"/>
          <w:szCs w:val="32"/>
        </w:rPr>
        <w:t>——</w:t>
      </w:r>
      <w:r>
        <w:rPr>
          <w:rFonts w:hint="eastAsia" w:eastAsia="方正仿宋_GBK" w:cs="方正仿宋_GBK"/>
          <w:sz w:val="32"/>
          <w:szCs w:val="32"/>
        </w:rPr>
        <w:t>产业布局互补共促。依托老城、新城不同的产业定位，提前谋划主导产业和未来产业在不同区域的布局重点，一体化推进周边配套功能和产业链布局，形成结构功能互补的良性循环。增强老城、新城在企业、项目引进培育上的协同作战和资源共建共享，畅通资源、数据、信息资源沟通渠道，全域范围统筹配置空间载体和服务功能，提高产业、人才资源在老城、新城空间的匹配程度。</w:t>
      </w:r>
    </w:p>
    <w:p w14:paraId="482DE505">
      <w:pPr>
        <w:spacing w:line="590" w:lineRule="exact"/>
        <w:ind w:firstLine="629"/>
        <w:rPr>
          <w:rFonts w:eastAsia="仿宋"/>
          <w:sz w:val="32"/>
          <w:szCs w:val="32"/>
        </w:rPr>
      </w:pPr>
      <w:r>
        <w:rPr>
          <w:rFonts w:eastAsia="方正仿宋_GBK"/>
          <w:sz w:val="32"/>
          <w:szCs w:val="32"/>
        </w:rPr>
        <w:t>——</w:t>
      </w:r>
      <w:r>
        <w:rPr>
          <w:rFonts w:hint="eastAsia" w:eastAsia="方正仿宋_GBK" w:cs="方正仿宋_GBK"/>
          <w:sz w:val="32"/>
          <w:szCs w:val="32"/>
        </w:rPr>
        <w:t>服务管理一体推进。推进老城、新城管理体制的高位协同，实现联动奖惩和一体化考评，提升全区一盘棋的综合效率。进行全域化的智慧新城建设和大数据系统支撑，协同搭建好老城更新的未来框架，加速智慧城市建设一体化推进。创新合作模式和管理方式，科学布局教育、医疗、养老、文体等公共服务设施，搭建线上线下的互联互通网络，促进未来城市建管、政务服务、社会治理等全域统筹管理。</w:t>
      </w:r>
    </w:p>
    <w:bookmarkEnd w:id="46"/>
    <w:bookmarkEnd w:id="47"/>
    <w:bookmarkEnd w:id="48"/>
    <w:bookmarkEnd w:id="49"/>
    <w:p w14:paraId="4EB366B1">
      <w:pPr>
        <w:pStyle w:val="5"/>
        <w:spacing w:after="200"/>
        <w:jc w:val="center"/>
        <w:rPr>
          <w:rFonts w:ascii="方正楷体_GBK" w:hAnsi="方正楷体_GBK" w:eastAsia="方正楷体_GBK"/>
          <w:b w:val="0"/>
          <w:bCs w:val="0"/>
        </w:rPr>
      </w:pPr>
      <w:bookmarkStart w:id="52" w:name="_Toc60466208"/>
      <w:bookmarkStart w:id="53" w:name="_Toc5883839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发展定位</w:t>
      </w:r>
      <w:bookmarkEnd w:id="52"/>
      <w:bookmarkEnd w:id="53"/>
    </w:p>
    <w:p w14:paraId="11B423EF">
      <w:pPr>
        <w:spacing w:line="590" w:lineRule="exact"/>
        <w:ind w:firstLine="629"/>
        <w:rPr>
          <w:rFonts w:eastAsia="方正仿宋_GBK"/>
          <w:sz w:val="32"/>
          <w:szCs w:val="32"/>
        </w:rPr>
      </w:pPr>
      <w:r>
        <w:rPr>
          <w:rFonts w:hint="eastAsia" w:eastAsia="方正仿宋_GBK" w:cs="方正仿宋_GBK"/>
          <w:sz w:val="32"/>
          <w:szCs w:val="32"/>
        </w:rPr>
        <w:t>基于秦淮现有资源禀赋、发展基础、比较优势，保持延续“三中心一高地”产业发展定位和“特而精、最南京”目标追求，融入社会发展、文化彰显、活力激发、民生改善等多维度愿景，提出秦淮未来五年的发展定位为：</w:t>
      </w:r>
    </w:p>
    <w:p w14:paraId="05150AEA">
      <w:pPr>
        <w:spacing w:line="590" w:lineRule="exact"/>
        <w:ind w:firstLine="629"/>
        <w:rPr>
          <w:rFonts w:eastAsia="方正仿宋_GBK"/>
          <w:sz w:val="32"/>
          <w:szCs w:val="32"/>
        </w:rPr>
      </w:pPr>
      <w:r>
        <w:rPr>
          <w:rFonts w:hint="eastAsia" w:eastAsia="方正仿宋_GBK" w:cs="方正仿宋_GBK"/>
          <w:sz w:val="32"/>
          <w:szCs w:val="32"/>
        </w:rPr>
        <w:t>以创新驱动为根本动力的高能级创新名城示范区。依托白下高新、南部新城、秦淮硅巷等创新策源地、超级总部集聚区资源优势，坚持以高能级生产性服务业布局为导向，以高品质生活性服务业发展为重心，加速推进科技创新突破、未来产业布局、智慧城市建设、营商环境打造，聚合高校、科研院所、高科技企业、军队科研力量等多元化创新活力。打造“业者有拓土动力，居者有生活热力，企者有创新活力，学者有研究聚力，政者有改革魄力”的城市全域创新模式引领标杆。</w:t>
      </w:r>
    </w:p>
    <w:p w14:paraId="0BDF3AFD">
      <w:pPr>
        <w:spacing w:line="590" w:lineRule="exact"/>
        <w:ind w:firstLine="629"/>
        <w:rPr>
          <w:rFonts w:eastAsia="方正仿宋_GBK"/>
          <w:sz w:val="32"/>
          <w:szCs w:val="32"/>
        </w:rPr>
      </w:pPr>
      <w:r>
        <w:rPr>
          <w:rFonts w:hint="eastAsia" w:eastAsia="方正仿宋_GBK" w:cs="方正仿宋_GBK"/>
          <w:sz w:val="32"/>
          <w:szCs w:val="32"/>
        </w:rPr>
        <w:t>以人民为中心为根本立场的高效能现代化治理先行区。提升居民对幸福安全的切身感知度，让改革发展成果更多、更公平、更高质量地惠及区域百姓。公共服务设施均衡布局，托底保障规范有效，法治环境公开透明，公共安全切实保障，治理效能显著提升，把百姓对幸福生活的愿望和需求有机融入到经济社会发展的总体目标和实现路径中。打造“安全有保证、法治有守护、邻里有互动、服务有温度、幸福更持续”的特大城市中心城区现代化治理示范样本。</w:t>
      </w:r>
    </w:p>
    <w:p w14:paraId="57055640">
      <w:pPr>
        <w:spacing w:line="590" w:lineRule="exact"/>
        <w:ind w:firstLine="629"/>
        <w:rPr>
          <w:rFonts w:eastAsia="方正仿宋_GBK"/>
          <w:sz w:val="32"/>
          <w:szCs w:val="32"/>
        </w:rPr>
      </w:pPr>
      <w:r>
        <w:rPr>
          <w:rFonts w:hint="eastAsia" w:eastAsia="方正仿宋_GBK" w:cs="方正仿宋_GBK"/>
          <w:sz w:val="32"/>
          <w:szCs w:val="32"/>
        </w:rPr>
        <w:t>以生态宜居为根本底色的最文化美丽古都核心区。依托秦淮深厚的人文积淀、历史传承、资源优势，把文化传承融入生态宜居城市建设，提升人文历史脉络梳理的连贯性、系统性、标志性，提升城市人居环境改善的内涵度、长效性和精细化水平，凸显蓝绿底色，注入文化生机，展现美丽韵致。打造“最南京”的历史人文传承标杆和展示窗口，“最中国”的核心价值观传承地，“最世界”的风雅文化地标。</w:t>
      </w:r>
    </w:p>
    <w:p w14:paraId="037FB6D0">
      <w:pPr>
        <w:spacing w:line="590" w:lineRule="exact"/>
        <w:ind w:firstLine="629"/>
        <w:rPr>
          <w:rFonts w:eastAsia="方正仿宋_GBK"/>
          <w:sz w:val="32"/>
          <w:szCs w:val="32"/>
        </w:rPr>
      </w:pPr>
      <w:r>
        <w:rPr>
          <w:rFonts w:hint="eastAsia" w:eastAsia="方正仿宋_GBK" w:cs="方正仿宋_GBK"/>
          <w:sz w:val="32"/>
          <w:szCs w:val="32"/>
        </w:rPr>
        <w:t>以文旅商融合为根本基因的最南京综合消费集聚区。依托新街口、老城南、南部新城等消费活力集中地、未来消费潜能释放地资源优势，擦亮新街口“中华第一商圈”金字招牌，加速推进门东、门西、门外消费联动，培育南部新城消费新增长级，构筑多层次和全龄覆盖的新消费体系，建设区域综合消费中心区。打造“文旅商融合、夜经济繁荣、品牌力彰显、消费力提升”的综合消费集聚区。</w:t>
      </w:r>
    </w:p>
    <w:p w14:paraId="2DFE0EC1">
      <w:pPr>
        <w:pStyle w:val="5"/>
        <w:spacing w:after="200"/>
        <w:jc w:val="center"/>
        <w:rPr>
          <w:rFonts w:eastAsia="华文中宋"/>
          <w:b w:val="0"/>
          <w:bCs w:val="0"/>
        </w:rPr>
      </w:pPr>
      <w:bookmarkStart w:id="54" w:name="_Toc60466209"/>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二〇三五年远景目标</w:t>
      </w:r>
      <w:bookmarkEnd w:id="51"/>
      <w:bookmarkEnd w:id="54"/>
    </w:p>
    <w:p w14:paraId="4B1BF07A">
      <w:pPr>
        <w:spacing w:line="590" w:lineRule="exact"/>
        <w:ind w:firstLine="629"/>
        <w:rPr>
          <w:rFonts w:eastAsia="方正仿宋_GBK"/>
          <w:sz w:val="32"/>
          <w:szCs w:val="32"/>
        </w:rPr>
      </w:pPr>
      <w:r>
        <w:rPr>
          <w:rFonts w:hint="eastAsia" w:eastAsia="方正仿宋_GBK" w:cs="方正仿宋_GBK"/>
          <w:sz w:val="32"/>
          <w:szCs w:val="32"/>
        </w:rPr>
        <w:t>落实党的十九大提出的分两步走建成社会主义现代化强国的战略安排，根据省、市二〇三五年目标愿景，依托区域优势和发展实际，提出二〇三五年秦淮经济社会发展远景目标是，建设成为全面体现新发展理念的中国特色社会主义示范城区：经济实力和创新实力大幅跃升，经济总量、居民收入和人均地区生产总值在</w:t>
      </w:r>
      <w:r>
        <w:rPr>
          <w:rFonts w:eastAsia="方正仿宋_GBK"/>
          <w:sz w:val="32"/>
          <w:szCs w:val="32"/>
        </w:rPr>
        <w:t>2020</w:t>
      </w:r>
      <w:r>
        <w:rPr>
          <w:rFonts w:hint="eastAsia" w:eastAsia="方正仿宋_GBK" w:cs="方正仿宋_GBK"/>
          <w:sz w:val="32"/>
          <w:szCs w:val="32"/>
        </w:rPr>
        <w:t>年基础上实现翻番，基本建成现代化经济体系，形成更多核心技术成果，推出更多示范应用场景；高品质生活广泛享有，基本建成文化强区、教育强区、人才强区，人的全面发展、全体人民共同富裕取得跨越性进步；区域治理体系和治理能力现代化基本实现、走在前列，人民平等参与、平等发展权利得到充分保障，法治秦淮、平安秦淮建设水平迈上新台阶，全面建成安全韧性城区；历史文化优势更加彰显，重大文旅项目陆续建成，影响力和美誉度显著增强；城市空间布局、产业布局、公共服务布局进一步优化，绿色生产生活方式蔚然成风，美丽秦淮建设目标基本实现；创新创业保障体系更加健全，初步展现“强富美高”新秦淮的现代化图景。</w:t>
      </w:r>
    </w:p>
    <w:p w14:paraId="567CF378">
      <w:pPr>
        <w:pStyle w:val="5"/>
        <w:spacing w:after="200"/>
        <w:jc w:val="center"/>
        <w:rPr>
          <w:rFonts w:ascii="方正楷体_GBK" w:hAnsi="方正楷体_GBK" w:eastAsia="方正楷体_GBK"/>
          <w:b w:val="0"/>
          <w:bCs w:val="0"/>
        </w:rPr>
      </w:pPr>
      <w:bookmarkStart w:id="55" w:name="_Toc60466210"/>
      <w:r>
        <w:rPr>
          <w:rFonts w:hint="eastAsia" w:ascii="方正楷体_GBK" w:hAnsi="方正楷体_GBK" w:eastAsia="方正楷体_GBK" w:cs="方正楷体_GBK"/>
          <w:b w:val="0"/>
          <w:bCs w:val="0"/>
        </w:rPr>
        <w:t>第五节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“十四五”经济社会发展目标</w:t>
      </w:r>
      <w:bookmarkEnd w:id="55"/>
    </w:p>
    <w:p w14:paraId="43816B6B">
      <w:pPr>
        <w:spacing w:line="590" w:lineRule="exact"/>
        <w:ind w:firstLine="629"/>
        <w:rPr>
          <w:rFonts w:eastAsia="方正仿宋_GBK"/>
          <w:sz w:val="32"/>
          <w:szCs w:val="32"/>
        </w:rPr>
      </w:pPr>
      <w:r>
        <w:rPr>
          <w:rFonts w:hint="eastAsia" w:eastAsia="方正仿宋_GBK" w:cs="方正仿宋_GBK"/>
          <w:sz w:val="32"/>
          <w:szCs w:val="32"/>
        </w:rPr>
        <w:t>按照二〇三五年远景目标，综合考虑国内外发展环境、城市发展趋势和秦淮自身发展条件，坚持目标导向和问题导向相结合，坚持守正和创新相统一，今后五年秦淮经济社会发展的目标是：坚持“创新驱动”这个根本动力，打造高能级的创新名城示范区；站稳“以人民为中心”这个根本立场，打造高效能的现代化治理先行区；点亮“生态宜居”这个根本底色，打造最文化的美丽古都核心区；立足“文旅商融合”这个根本基因，打造最南京的综合消费集聚区。</w:t>
      </w:r>
    </w:p>
    <w:p w14:paraId="04A33B49">
      <w:pPr>
        <w:spacing w:line="590" w:lineRule="exact"/>
        <w:ind w:firstLine="629"/>
        <w:rPr>
          <w:rFonts w:eastAsia="方正仿宋_GBK"/>
          <w:sz w:val="32"/>
          <w:szCs w:val="32"/>
        </w:rPr>
      </w:pPr>
      <w:r>
        <w:rPr>
          <w:rFonts w:hint="eastAsia" w:eastAsia="方正仿宋_GBK" w:cs="方正仿宋_GBK"/>
          <w:sz w:val="32"/>
          <w:szCs w:val="32"/>
        </w:rPr>
        <w:t>科技创新能力取得本质提升。深入实施创新驱动发展战略，依靠创新引领经济社会高质量发展。白下高新区“一区多园”发展模式基本完善，重点指标实现“四倍增四提升”</w:t>
      </w:r>
      <w:r>
        <w:rPr>
          <w:rFonts w:eastAsia="方正仿宋_GBK"/>
          <w:sz w:val="32"/>
          <w:szCs w:val="32"/>
          <w:vertAlign w:val="superscript"/>
        </w:rPr>
        <w:footnoteReference w:id="1"/>
      </w:r>
      <w:r>
        <w:rPr>
          <w:rFonts w:hint="eastAsia" w:eastAsia="方正仿宋_GBK" w:cs="方正仿宋_GBK"/>
          <w:sz w:val="32"/>
          <w:szCs w:val="32"/>
        </w:rPr>
        <w:t>，对全区经济贡献度达</w:t>
      </w:r>
      <w:r>
        <w:rPr>
          <w:rFonts w:eastAsia="方正仿宋_GBK"/>
          <w:sz w:val="32"/>
          <w:szCs w:val="32"/>
        </w:rPr>
        <w:t>35%</w:t>
      </w:r>
      <w:r>
        <w:rPr>
          <w:rFonts w:hint="eastAsia" w:eastAsia="方正仿宋_GBK" w:cs="方正仿宋_GBK"/>
          <w:sz w:val="32"/>
          <w:szCs w:val="32"/>
        </w:rPr>
        <w:t>以上，独角兽、瞪羚企业数量位居主城前列。建成南航秦淮创新湾区，争取国家重点实验室、重点工程中心布局，新型研发机构发展质量进入全市第一方阵，高新技术企业超</w:t>
      </w:r>
      <w:r>
        <w:rPr>
          <w:rFonts w:eastAsia="方正仿宋_GBK"/>
          <w:sz w:val="32"/>
          <w:szCs w:val="32"/>
        </w:rPr>
        <w:t>1300</w:t>
      </w:r>
      <w:r>
        <w:rPr>
          <w:rFonts w:hint="eastAsia" w:eastAsia="方正仿宋_GBK" w:cs="方正仿宋_GBK"/>
          <w:sz w:val="32"/>
          <w:szCs w:val="32"/>
        </w:rPr>
        <w:t>家，研发经费投入占比超</w:t>
      </w:r>
      <w:r>
        <w:rPr>
          <w:rFonts w:eastAsia="方正仿宋_GBK"/>
          <w:sz w:val="32"/>
          <w:szCs w:val="32"/>
        </w:rPr>
        <w:t>4%</w:t>
      </w:r>
      <w:r>
        <w:rPr>
          <w:rFonts w:hint="eastAsia" w:eastAsia="方正仿宋_GBK" w:cs="方正仿宋_GBK"/>
          <w:sz w:val="32"/>
          <w:szCs w:val="32"/>
        </w:rPr>
        <w:t>，初步建成省内一流的车联网发展高地、大健康产业发展高地、高水平创新型城区，在创新企业和人才集聚上走在前列。</w:t>
      </w:r>
    </w:p>
    <w:p w14:paraId="4AEB770C">
      <w:pPr>
        <w:spacing w:line="590" w:lineRule="exact"/>
        <w:ind w:firstLine="629"/>
        <w:rPr>
          <w:rFonts w:eastAsia="方正仿宋_GBK"/>
          <w:sz w:val="32"/>
          <w:szCs w:val="32"/>
        </w:rPr>
      </w:pPr>
      <w:r>
        <w:rPr>
          <w:rFonts w:hint="eastAsia" w:eastAsia="方正仿宋_GBK" w:cs="方正仿宋_GBK"/>
          <w:sz w:val="32"/>
          <w:szCs w:val="32"/>
        </w:rPr>
        <w:t>经济高质量发展迈出更大步伐。在质量效益明显提升基础上实现经济持续较快发展，全区经济总量突破</w:t>
      </w:r>
      <w:r>
        <w:rPr>
          <w:rFonts w:eastAsia="方正仿宋_GBK"/>
          <w:sz w:val="32"/>
          <w:szCs w:val="32"/>
        </w:rPr>
        <w:t>1700</w:t>
      </w:r>
      <w:r>
        <w:rPr>
          <w:rFonts w:hint="eastAsia" w:eastAsia="方正仿宋_GBK" w:cs="方正仿宋_GBK"/>
          <w:sz w:val="32"/>
          <w:szCs w:val="32"/>
        </w:rPr>
        <w:t>亿元，人均</w:t>
      </w:r>
      <w:r>
        <w:rPr>
          <w:rFonts w:eastAsia="方正仿宋_GBK"/>
          <w:sz w:val="32"/>
          <w:szCs w:val="32"/>
        </w:rPr>
        <w:t>GDP</w:t>
      </w:r>
      <w:r>
        <w:rPr>
          <w:rFonts w:hint="eastAsia" w:eastAsia="方正仿宋_GBK" w:cs="方正仿宋_GBK"/>
          <w:sz w:val="32"/>
          <w:szCs w:val="32"/>
        </w:rPr>
        <w:t>突破</w:t>
      </w:r>
      <w:r>
        <w:rPr>
          <w:rFonts w:eastAsia="方正仿宋_GBK"/>
          <w:sz w:val="32"/>
          <w:szCs w:val="32"/>
        </w:rPr>
        <w:t>3</w:t>
      </w:r>
      <w:r>
        <w:rPr>
          <w:rFonts w:hint="eastAsia" w:eastAsia="方正仿宋_GBK" w:cs="方正仿宋_GBK"/>
          <w:sz w:val="32"/>
          <w:szCs w:val="32"/>
        </w:rPr>
        <w:t>万美元，高新技术产业产值占规上工业产值比重达到</w:t>
      </w:r>
      <w:r>
        <w:rPr>
          <w:rFonts w:eastAsia="方正仿宋_GBK"/>
          <w:sz w:val="32"/>
          <w:szCs w:val="32"/>
        </w:rPr>
        <w:t>55%</w:t>
      </w:r>
      <w:r>
        <w:rPr>
          <w:rFonts w:hint="eastAsia" w:eastAsia="方正仿宋_GBK" w:cs="方正仿宋_GBK"/>
          <w:sz w:val="32"/>
          <w:szCs w:val="32"/>
        </w:rPr>
        <w:t>左右，累计新增规模以上企业</w:t>
      </w:r>
      <w:r>
        <w:rPr>
          <w:rFonts w:eastAsia="方正仿宋_GBK"/>
          <w:sz w:val="32"/>
          <w:szCs w:val="32"/>
        </w:rPr>
        <w:t>2000</w:t>
      </w:r>
      <w:r>
        <w:rPr>
          <w:rFonts w:hint="eastAsia" w:eastAsia="方正仿宋_GBK" w:cs="方正仿宋_GBK"/>
          <w:sz w:val="32"/>
          <w:szCs w:val="32"/>
        </w:rPr>
        <w:t>家。南部新城超级总部基地初见规模，头部企业达超</w:t>
      </w:r>
      <w:r>
        <w:rPr>
          <w:rFonts w:eastAsia="方正仿宋_GBK"/>
          <w:sz w:val="32"/>
          <w:szCs w:val="32"/>
        </w:rPr>
        <w:t>40</w:t>
      </w:r>
      <w:r>
        <w:rPr>
          <w:rFonts w:hint="eastAsia" w:eastAsia="方正仿宋_GBK" w:cs="方正仿宋_GBK"/>
          <w:sz w:val="32"/>
          <w:szCs w:val="32"/>
        </w:rPr>
        <w:t>家。经济结构更加优化，产业基础高级化、现代化水平显著提升，科技创新、商务商贸、现代金融、文化旅游协同发展的现代产业体系初步建立。融入长三角一体化等国家战略取得新的成效，新老城发展协调性进一步增强，一体化发展形态基本形成，在现代化产业发展上走在前列。</w:t>
      </w:r>
    </w:p>
    <w:p w14:paraId="26C01336">
      <w:pPr>
        <w:spacing w:line="590" w:lineRule="exact"/>
        <w:ind w:firstLine="629"/>
        <w:rPr>
          <w:rFonts w:eastAsia="方正仿宋_GBK"/>
          <w:sz w:val="32"/>
          <w:szCs w:val="32"/>
        </w:rPr>
      </w:pPr>
      <w:r>
        <w:rPr>
          <w:rFonts w:hint="eastAsia" w:eastAsia="方正仿宋_GBK" w:cs="方正仿宋_GBK"/>
          <w:sz w:val="32"/>
          <w:szCs w:val="32"/>
        </w:rPr>
        <w:t>人民生活更有品质更加幸福。实现更加充分更高质量就业，居民人均可支配收入增速高于</w:t>
      </w:r>
      <w:r>
        <w:rPr>
          <w:rFonts w:eastAsia="方正仿宋_GBK"/>
          <w:sz w:val="32"/>
          <w:szCs w:val="32"/>
        </w:rPr>
        <w:t>GDP</w:t>
      </w:r>
      <w:r>
        <w:rPr>
          <w:rFonts w:hint="eastAsia" w:eastAsia="方正仿宋_GBK" w:cs="方正仿宋_GBK"/>
          <w:sz w:val="32"/>
          <w:szCs w:val="32"/>
        </w:rPr>
        <w:t>增速，中等收入群体比重明显提高，人均预期寿命超</w:t>
      </w:r>
      <w:r>
        <w:rPr>
          <w:rFonts w:eastAsia="方正仿宋_GBK"/>
          <w:sz w:val="32"/>
          <w:szCs w:val="32"/>
        </w:rPr>
        <w:t>80</w:t>
      </w:r>
      <w:r>
        <w:rPr>
          <w:rFonts w:hint="eastAsia" w:eastAsia="方正仿宋_GBK" w:cs="方正仿宋_GBK"/>
          <w:sz w:val="32"/>
          <w:szCs w:val="32"/>
        </w:rPr>
        <w:t>岁。高质量教育体系、健康秦淮基本建成。社会大局保持稳定，人民群众生命安全、身体健康、安居乐业切实得到保障。人民全生命周期需求普遍得到更高水平满足，覆盖全民的多层次社会保障体系更加完善。房地产市场平稳健康发展，老旧小区改造稳步推进，非成套房全面消除，保障性住房供给有效增加，在教育、医疗、养老、住房等公共服务高质量发展上走在前列。</w:t>
      </w:r>
    </w:p>
    <w:p w14:paraId="061212FF">
      <w:pPr>
        <w:spacing w:line="590" w:lineRule="exact"/>
        <w:ind w:firstLine="629"/>
        <w:rPr>
          <w:rFonts w:eastAsia="方正仿宋_GBK"/>
          <w:sz w:val="32"/>
          <w:szCs w:val="32"/>
        </w:rPr>
      </w:pPr>
      <w:r>
        <w:rPr>
          <w:rFonts w:hint="eastAsia" w:eastAsia="方正仿宋_GBK" w:cs="方正仿宋_GBK"/>
          <w:sz w:val="32"/>
          <w:szCs w:val="32"/>
        </w:rPr>
        <w:t>美丽秦淮建设取得新的进展。生态环境质量持续改善，节能减排保持省市先进水平，绿色经济发展活力持续增强，城市宜居品质显著提升。秦淮水文化特质更加彰显，最干净城区管理常态长效，文化品牌标识度愈加彰显。实施城市更新行动，空间布局更趋均衡，公园绿地、海绵城市、绿色建筑等生态系统更加健全，功能品质全面提升。社会主义意识形态凝聚力和引领力显著增强，核心价值观融入社会发展各方面，以秦淮历史为依托的优秀传统文化和精神内涵更加彰显。公共文化服务全面提质增效，现代文化创意产业体系和文化创新发展生态持续完善，全社会文化自信达到新高度，文化强区建设实现新的跃升，在文化创造力、影响力、传播力上走在前列。</w:t>
      </w:r>
    </w:p>
    <w:p w14:paraId="621F96D0">
      <w:pPr>
        <w:spacing w:line="590" w:lineRule="exact"/>
        <w:ind w:firstLine="629"/>
        <w:rPr>
          <w:rFonts w:eastAsia="方正仿宋_GBK"/>
          <w:sz w:val="32"/>
          <w:szCs w:val="32"/>
        </w:rPr>
      </w:pPr>
      <w:r>
        <w:rPr>
          <w:rFonts w:hint="eastAsia" w:eastAsia="方正仿宋_GBK" w:cs="方正仿宋_GBK"/>
          <w:sz w:val="32"/>
          <w:szCs w:val="32"/>
        </w:rPr>
        <w:t>深化改革形成引领性优势。经济体制改革牵引作用充分发挥，重点领域和关键环节的改革深入推进，基层治理改革发挥重要的示范引领作用，基本建成营商环境最优城区、市场机制最活区、改革探索领跑区。党的全面领导落实到各领域各方面的高效执行体系基本形成，政治生态更加优化，社会主义民主法治更加健全，社会公平正义进一步彰显，各领域法治化水平全面提升。高效协同治理格局基本建成，重大风险防范化解能力、突发公共事件应急能力、防灾减灾救灾能力显著增强，现代应急体系基本建成，平安秦淮建设体系更加完善，在治理体系和治理能力现代化建设上走在前列。</w:t>
      </w:r>
    </w:p>
    <w:p w14:paraId="21C344C6">
      <w:pPr>
        <w:pStyle w:val="2"/>
        <w:rPr>
          <w:rFonts w:eastAsia="方正仿宋_GBK"/>
          <w:sz w:val="32"/>
          <w:szCs w:val="32"/>
        </w:rPr>
      </w:pPr>
    </w:p>
    <w:p w14:paraId="00F2F7A9">
      <w:pPr>
        <w:pStyle w:val="5"/>
        <w:spacing w:before="0" w:after="0" w:line="240" w:lineRule="auto"/>
        <w:jc w:val="center"/>
        <w:rPr>
          <w:rFonts w:eastAsia="华文中宋"/>
          <w:b w:val="0"/>
          <w:bCs w:val="0"/>
          <w:sz w:val="28"/>
          <w:szCs w:val="28"/>
        </w:rPr>
      </w:pPr>
      <w:bookmarkStart w:id="56" w:name="_Toc60466211"/>
      <w:r>
        <w:rPr>
          <w:rFonts w:hint="eastAsia" w:ascii="方正黑体_GBK" w:hAnsi="方正黑体_GBK" w:eastAsia="方正黑体_GBK" w:cs="方正黑体_GBK"/>
          <w:b w:val="0"/>
          <w:bCs w:val="0"/>
        </w:rPr>
        <w:t>“十四五”规划纲要经济社会发展主要指标体系表</w:t>
      </w:r>
      <w:r>
        <w:rPr>
          <w:rStyle w:val="16"/>
          <w:sz w:val="24"/>
          <w:szCs w:val="24"/>
        </w:rPr>
        <w:footnoteReference w:id="2"/>
      </w:r>
      <w:bookmarkEnd w:id="56"/>
    </w:p>
    <w:tbl>
      <w:tblPr>
        <w:tblStyle w:val="12"/>
        <w:tblW w:w="5100" w:type="pct"/>
        <w:tblInd w:w="2" w:type="dxa"/>
        <w:tblLayout w:type="autofit"/>
        <w:tblCellMar>
          <w:top w:w="0" w:type="dxa"/>
          <w:left w:w="108" w:type="dxa"/>
          <w:bottom w:w="0" w:type="dxa"/>
          <w:right w:w="108" w:type="dxa"/>
        </w:tblCellMar>
      </w:tblPr>
      <w:tblGrid>
        <w:gridCol w:w="1325"/>
        <w:gridCol w:w="741"/>
        <w:gridCol w:w="4214"/>
        <w:gridCol w:w="1843"/>
        <w:gridCol w:w="1002"/>
      </w:tblGrid>
      <w:tr w14:paraId="50F0ADC9">
        <w:tblPrEx>
          <w:tblCellMar>
            <w:top w:w="0" w:type="dxa"/>
            <w:left w:w="108" w:type="dxa"/>
            <w:bottom w:w="0" w:type="dxa"/>
            <w:right w:w="108" w:type="dxa"/>
          </w:tblCellMar>
        </w:tblPrEx>
        <w:trPr>
          <w:trHeight w:val="570" w:hRule="atLeast"/>
        </w:trPr>
        <w:tc>
          <w:tcPr>
            <w:tcW w:w="726" w:type="pct"/>
            <w:tcBorders>
              <w:top w:val="single" w:color="000000" w:sz="8" w:space="0"/>
              <w:left w:val="single" w:color="000000" w:sz="8" w:space="0"/>
              <w:bottom w:val="nil"/>
              <w:right w:val="single" w:color="000000" w:sz="8" w:space="0"/>
            </w:tcBorders>
            <w:vAlign w:val="center"/>
          </w:tcPr>
          <w:p w14:paraId="42BF0C9E">
            <w:pPr>
              <w:widowControl/>
              <w:jc w:val="center"/>
              <w:textAlignment w:val="center"/>
              <w:rPr>
                <w:b/>
                <w:bCs/>
                <w:color w:val="000000"/>
              </w:rPr>
            </w:pPr>
            <w:r>
              <w:rPr>
                <w:rFonts w:hint="eastAsia" w:cs="宋体"/>
                <w:b/>
                <w:bCs/>
                <w:color w:val="000000"/>
              </w:rPr>
              <w:t>类别</w:t>
            </w:r>
          </w:p>
        </w:tc>
        <w:tc>
          <w:tcPr>
            <w:tcW w:w="406" w:type="pct"/>
            <w:tcBorders>
              <w:top w:val="single" w:color="000000" w:sz="8" w:space="0"/>
              <w:left w:val="nil"/>
              <w:bottom w:val="nil"/>
              <w:right w:val="single" w:color="000000" w:sz="8" w:space="0"/>
            </w:tcBorders>
            <w:vAlign w:val="center"/>
          </w:tcPr>
          <w:p w14:paraId="1B236461">
            <w:pPr>
              <w:widowControl/>
              <w:jc w:val="center"/>
              <w:textAlignment w:val="center"/>
              <w:rPr>
                <w:b/>
                <w:bCs/>
                <w:color w:val="000000"/>
              </w:rPr>
            </w:pPr>
            <w:r>
              <w:rPr>
                <w:rFonts w:hint="eastAsia" w:cs="宋体"/>
                <w:b/>
                <w:bCs/>
                <w:color w:val="000000"/>
              </w:rPr>
              <w:t>序号</w:t>
            </w:r>
          </w:p>
        </w:tc>
        <w:tc>
          <w:tcPr>
            <w:tcW w:w="2309" w:type="pct"/>
            <w:tcBorders>
              <w:top w:val="single" w:color="000000" w:sz="8" w:space="0"/>
              <w:left w:val="nil"/>
              <w:bottom w:val="nil"/>
              <w:right w:val="single" w:color="000000" w:sz="8" w:space="0"/>
            </w:tcBorders>
            <w:vAlign w:val="center"/>
          </w:tcPr>
          <w:p w14:paraId="282BE542">
            <w:pPr>
              <w:widowControl/>
              <w:jc w:val="center"/>
              <w:textAlignment w:val="center"/>
              <w:rPr>
                <w:b/>
                <w:bCs/>
                <w:color w:val="000000"/>
              </w:rPr>
            </w:pPr>
            <w:r>
              <w:rPr>
                <w:rFonts w:hint="eastAsia" w:cs="宋体"/>
                <w:b/>
                <w:bCs/>
                <w:color w:val="000000"/>
              </w:rPr>
              <w:t>指标</w:t>
            </w:r>
          </w:p>
        </w:tc>
        <w:tc>
          <w:tcPr>
            <w:tcW w:w="1010" w:type="pct"/>
            <w:tcBorders>
              <w:top w:val="single" w:color="000000" w:sz="8" w:space="0"/>
              <w:left w:val="nil"/>
              <w:bottom w:val="nil"/>
              <w:right w:val="single" w:color="000000" w:sz="8" w:space="0"/>
            </w:tcBorders>
            <w:vAlign w:val="center"/>
          </w:tcPr>
          <w:p w14:paraId="3D8EB8B5">
            <w:pPr>
              <w:widowControl/>
              <w:jc w:val="center"/>
              <w:textAlignment w:val="center"/>
              <w:rPr>
                <w:b/>
                <w:bCs/>
                <w:color w:val="000000"/>
              </w:rPr>
            </w:pPr>
            <w:r>
              <w:rPr>
                <w:b/>
                <w:bCs/>
                <w:color w:val="000000"/>
              </w:rPr>
              <w:t>2025</w:t>
            </w:r>
            <w:r>
              <w:rPr>
                <w:rStyle w:val="25"/>
                <w:rFonts w:hint="eastAsia" w:cs="宋体"/>
              </w:rPr>
              <w:t>年预计</w:t>
            </w:r>
          </w:p>
        </w:tc>
        <w:tc>
          <w:tcPr>
            <w:tcW w:w="549" w:type="pct"/>
            <w:tcBorders>
              <w:top w:val="single" w:color="000000" w:sz="8" w:space="0"/>
              <w:left w:val="nil"/>
              <w:bottom w:val="nil"/>
              <w:right w:val="single" w:color="000000" w:sz="8" w:space="0"/>
            </w:tcBorders>
            <w:vAlign w:val="center"/>
          </w:tcPr>
          <w:p w14:paraId="695C394B">
            <w:pPr>
              <w:widowControl/>
              <w:jc w:val="center"/>
              <w:textAlignment w:val="center"/>
              <w:rPr>
                <w:b/>
                <w:bCs/>
                <w:color w:val="000000"/>
              </w:rPr>
            </w:pPr>
            <w:r>
              <w:rPr>
                <w:rFonts w:hint="eastAsia" w:cs="宋体"/>
                <w:b/>
                <w:bCs/>
                <w:color w:val="000000"/>
              </w:rPr>
              <w:t>属性</w:t>
            </w:r>
          </w:p>
        </w:tc>
      </w:tr>
      <w:tr w14:paraId="49A41556">
        <w:tblPrEx>
          <w:tblCellMar>
            <w:top w:w="0" w:type="dxa"/>
            <w:left w:w="108" w:type="dxa"/>
            <w:bottom w:w="0" w:type="dxa"/>
            <w:right w:w="108" w:type="dxa"/>
          </w:tblCellMar>
        </w:tblPrEx>
        <w:trPr>
          <w:trHeight w:val="270" w:hRule="atLeast"/>
        </w:trPr>
        <w:tc>
          <w:tcPr>
            <w:tcW w:w="726" w:type="pct"/>
            <w:vMerge w:val="restart"/>
            <w:tcBorders>
              <w:top w:val="single" w:color="000000" w:sz="4" w:space="0"/>
              <w:left w:val="single" w:color="000000" w:sz="4" w:space="0"/>
              <w:right w:val="single" w:color="000000" w:sz="4" w:space="0"/>
            </w:tcBorders>
            <w:vAlign w:val="center"/>
          </w:tcPr>
          <w:p w14:paraId="399A29FE">
            <w:pPr>
              <w:widowControl/>
              <w:jc w:val="center"/>
              <w:textAlignment w:val="center"/>
              <w:rPr>
                <w:color w:val="000000"/>
              </w:rPr>
            </w:pPr>
            <w:r>
              <w:rPr>
                <w:rFonts w:hint="eastAsia" w:cs="宋体"/>
                <w:color w:val="000000"/>
              </w:rPr>
              <w:t>高能级的</w:t>
            </w:r>
          </w:p>
          <w:p w14:paraId="01D3ACE4">
            <w:pPr>
              <w:widowControl/>
              <w:jc w:val="center"/>
              <w:textAlignment w:val="center"/>
              <w:rPr>
                <w:color w:val="000000"/>
              </w:rPr>
            </w:pPr>
            <w:r>
              <w:rPr>
                <w:rFonts w:hint="eastAsia" w:cs="宋体"/>
                <w:color w:val="000000"/>
              </w:rPr>
              <w:t>创新名城</w:t>
            </w:r>
          </w:p>
          <w:p w14:paraId="793E4615">
            <w:pPr>
              <w:jc w:val="center"/>
              <w:textAlignment w:val="center"/>
              <w:rPr>
                <w:color w:val="000000"/>
              </w:rPr>
            </w:pPr>
            <w:r>
              <w:rPr>
                <w:rFonts w:hint="eastAsia" w:cs="宋体"/>
                <w:color w:val="000000"/>
              </w:rPr>
              <w:t>示范区</w:t>
            </w:r>
          </w:p>
        </w:tc>
        <w:tc>
          <w:tcPr>
            <w:tcW w:w="406" w:type="pct"/>
            <w:tcBorders>
              <w:top w:val="single" w:color="000000" w:sz="4" w:space="0"/>
              <w:left w:val="single" w:color="000000" w:sz="4" w:space="0"/>
              <w:bottom w:val="single" w:color="000000" w:sz="4" w:space="0"/>
              <w:right w:val="single" w:color="000000" w:sz="4" w:space="0"/>
            </w:tcBorders>
            <w:vAlign w:val="center"/>
          </w:tcPr>
          <w:p w14:paraId="39082DEE">
            <w:pPr>
              <w:widowControl/>
              <w:jc w:val="center"/>
              <w:textAlignment w:val="center"/>
              <w:rPr>
                <w:color w:val="000000"/>
              </w:rPr>
            </w:pPr>
            <w:r>
              <w:rPr>
                <w:color w:val="000000"/>
              </w:rPr>
              <w:t>1</w:t>
            </w:r>
          </w:p>
        </w:tc>
        <w:tc>
          <w:tcPr>
            <w:tcW w:w="2309" w:type="pct"/>
            <w:tcBorders>
              <w:top w:val="single" w:color="000000" w:sz="4" w:space="0"/>
              <w:left w:val="single" w:color="000000" w:sz="4" w:space="0"/>
              <w:bottom w:val="single" w:color="000000" w:sz="4" w:space="0"/>
              <w:right w:val="single" w:color="000000" w:sz="4" w:space="0"/>
            </w:tcBorders>
            <w:vAlign w:val="center"/>
          </w:tcPr>
          <w:p w14:paraId="024954DD">
            <w:pPr>
              <w:widowControl/>
              <w:jc w:val="center"/>
              <w:textAlignment w:val="center"/>
              <w:rPr>
                <w:color w:val="000000"/>
              </w:rPr>
            </w:pPr>
            <w:r>
              <w:rPr>
                <w:rFonts w:hint="eastAsia" w:cs="宋体"/>
                <w:color w:val="000000"/>
              </w:rPr>
              <w:t>地区生产总值增速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790A4E52">
            <w:pPr>
              <w:widowControl/>
              <w:jc w:val="center"/>
              <w:textAlignment w:val="center"/>
              <w:rPr>
                <w:color w:val="000000"/>
              </w:rPr>
            </w:pPr>
            <w:r>
              <w:rPr>
                <w:color w:val="000000"/>
              </w:rPr>
              <w:t>7%</w:t>
            </w:r>
          </w:p>
        </w:tc>
        <w:tc>
          <w:tcPr>
            <w:tcW w:w="549" w:type="pct"/>
            <w:tcBorders>
              <w:top w:val="single" w:color="000000" w:sz="4" w:space="0"/>
              <w:left w:val="single" w:color="000000" w:sz="4" w:space="0"/>
              <w:bottom w:val="single" w:color="000000" w:sz="4" w:space="0"/>
              <w:right w:val="single" w:color="000000" w:sz="4" w:space="0"/>
            </w:tcBorders>
            <w:vAlign w:val="center"/>
          </w:tcPr>
          <w:p w14:paraId="20F60143">
            <w:pPr>
              <w:widowControl/>
              <w:jc w:val="center"/>
              <w:textAlignment w:val="center"/>
              <w:rPr>
                <w:color w:val="000000"/>
              </w:rPr>
            </w:pPr>
            <w:r>
              <w:rPr>
                <w:rFonts w:hint="eastAsia" w:cs="宋体"/>
                <w:color w:val="000000"/>
              </w:rPr>
              <w:t>预期性</w:t>
            </w:r>
          </w:p>
        </w:tc>
      </w:tr>
      <w:tr w14:paraId="62D6024A">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13D85C47">
            <w:pPr>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2B4516E">
            <w:pPr>
              <w:widowControl/>
              <w:jc w:val="center"/>
              <w:textAlignment w:val="center"/>
              <w:rPr>
                <w:color w:val="000000"/>
              </w:rPr>
            </w:pPr>
            <w:r>
              <w:rPr>
                <w:color w:val="000000"/>
              </w:rPr>
              <w:t>2</w:t>
            </w:r>
          </w:p>
        </w:tc>
        <w:tc>
          <w:tcPr>
            <w:tcW w:w="2309" w:type="pct"/>
            <w:tcBorders>
              <w:top w:val="single" w:color="000000" w:sz="4" w:space="0"/>
              <w:left w:val="single" w:color="000000" w:sz="4" w:space="0"/>
              <w:bottom w:val="single" w:color="000000" w:sz="4" w:space="0"/>
              <w:right w:val="single" w:color="000000" w:sz="4" w:space="0"/>
            </w:tcBorders>
            <w:vAlign w:val="center"/>
          </w:tcPr>
          <w:p w14:paraId="6AB82AFF">
            <w:pPr>
              <w:widowControl/>
              <w:jc w:val="center"/>
              <w:textAlignment w:val="center"/>
              <w:rPr>
                <w:color w:val="000000"/>
              </w:rPr>
            </w:pPr>
            <w:r>
              <w:rPr>
                <w:rFonts w:hint="eastAsia" w:cs="宋体"/>
                <w:color w:val="000000"/>
              </w:rPr>
              <w:t>一般公共预算收入增速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357E7D0B">
            <w:pPr>
              <w:widowControl/>
              <w:jc w:val="center"/>
              <w:textAlignment w:val="center"/>
              <w:rPr>
                <w:color w:val="000000"/>
              </w:rPr>
            </w:pPr>
            <w:r>
              <w:rPr>
                <w:color w:val="000000"/>
              </w:rPr>
              <w:t>5%</w:t>
            </w:r>
          </w:p>
        </w:tc>
        <w:tc>
          <w:tcPr>
            <w:tcW w:w="549" w:type="pct"/>
            <w:tcBorders>
              <w:top w:val="single" w:color="000000" w:sz="4" w:space="0"/>
              <w:left w:val="single" w:color="000000" w:sz="4" w:space="0"/>
              <w:bottom w:val="single" w:color="000000" w:sz="4" w:space="0"/>
              <w:right w:val="single" w:color="000000" w:sz="4" w:space="0"/>
            </w:tcBorders>
            <w:vAlign w:val="center"/>
          </w:tcPr>
          <w:p w14:paraId="20D94E45">
            <w:pPr>
              <w:widowControl/>
              <w:jc w:val="center"/>
              <w:textAlignment w:val="center"/>
              <w:rPr>
                <w:color w:val="000000"/>
              </w:rPr>
            </w:pPr>
            <w:r>
              <w:rPr>
                <w:rFonts w:hint="eastAsia" w:cs="宋体"/>
                <w:color w:val="000000"/>
              </w:rPr>
              <w:t>预期性</w:t>
            </w:r>
          </w:p>
        </w:tc>
      </w:tr>
      <w:tr w14:paraId="5869AFF1">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741DC1D1">
            <w:pPr>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1338AA3">
            <w:pPr>
              <w:widowControl/>
              <w:jc w:val="center"/>
              <w:textAlignment w:val="center"/>
              <w:rPr>
                <w:color w:val="000000"/>
              </w:rPr>
            </w:pPr>
            <w:r>
              <w:rPr>
                <w:color w:val="000000"/>
              </w:rPr>
              <w:t>3</w:t>
            </w:r>
          </w:p>
        </w:tc>
        <w:tc>
          <w:tcPr>
            <w:tcW w:w="2309" w:type="pct"/>
            <w:tcBorders>
              <w:top w:val="single" w:color="000000" w:sz="4" w:space="0"/>
              <w:left w:val="single" w:color="000000" w:sz="4" w:space="0"/>
              <w:bottom w:val="single" w:color="000000" w:sz="4" w:space="0"/>
              <w:right w:val="single" w:color="000000" w:sz="4" w:space="0"/>
            </w:tcBorders>
            <w:vAlign w:val="center"/>
          </w:tcPr>
          <w:p w14:paraId="64C59974">
            <w:pPr>
              <w:widowControl/>
              <w:jc w:val="center"/>
              <w:textAlignment w:val="center"/>
              <w:rPr>
                <w:color w:val="000000"/>
              </w:rPr>
            </w:pPr>
            <w:r>
              <w:rPr>
                <w:rFonts w:hint="eastAsia" w:cs="宋体"/>
                <w:color w:val="000000"/>
              </w:rPr>
              <w:t>固定资产投资增速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7565CA5C">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0BF64AF4">
            <w:pPr>
              <w:widowControl/>
              <w:jc w:val="center"/>
              <w:textAlignment w:val="center"/>
              <w:rPr>
                <w:color w:val="000000"/>
              </w:rPr>
            </w:pPr>
            <w:r>
              <w:rPr>
                <w:rFonts w:hint="eastAsia" w:cs="宋体"/>
                <w:color w:val="000000"/>
              </w:rPr>
              <w:t>预期性</w:t>
            </w:r>
          </w:p>
        </w:tc>
      </w:tr>
      <w:tr w14:paraId="08D49EA4">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53223558">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CDF4653">
            <w:pPr>
              <w:widowControl/>
              <w:jc w:val="center"/>
              <w:textAlignment w:val="center"/>
              <w:rPr>
                <w:color w:val="000000"/>
              </w:rPr>
            </w:pPr>
            <w:r>
              <w:rPr>
                <w:color w:val="000000"/>
              </w:rPr>
              <w:t>4</w:t>
            </w:r>
          </w:p>
        </w:tc>
        <w:tc>
          <w:tcPr>
            <w:tcW w:w="2309" w:type="pct"/>
            <w:tcBorders>
              <w:top w:val="single" w:color="000000" w:sz="4" w:space="0"/>
              <w:left w:val="single" w:color="000000" w:sz="4" w:space="0"/>
              <w:bottom w:val="single" w:color="000000" w:sz="4" w:space="0"/>
              <w:right w:val="single" w:color="000000" w:sz="4" w:space="0"/>
            </w:tcBorders>
            <w:vAlign w:val="center"/>
          </w:tcPr>
          <w:p w14:paraId="5D39EA97">
            <w:pPr>
              <w:widowControl/>
              <w:jc w:val="center"/>
              <w:textAlignment w:val="center"/>
              <w:rPr>
                <w:color w:val="000000"/>
              </w:rPr>
            </w:pPr>
            <w:r>
              <w:rPr>
                <w:rFonts w:hint="eastAsia" w:cs="宋体"/>
                <w:color w:val="000000"/>
              </w:rPr>
              <w:t>研发经费支出占</w:t>
            </w:r>
            <w:r>
              <w:rPr>
                <w:color w:val="000000"/>
              </w:rPr>
              <w:t>GDP</w:t>
            </w:r>
            <w:r>
              <w:rPr>
                <w:rStyle w:val="26"/>
                <w:rFonts w:hint="eastAsia" w:ascii="Times New Roman" w:hAnsi="Times New Roman"/>
              </w:rPr>
              <w:t>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61CA624B">
            <w:pPr>
              <w:widowControl/>
              <w:jc w:val="center"/>
              <w:textAlignment w:val="center"/>
              <w:rPr>
                <w:color w:val="000000"/>
              </w:rPr>
            </w:pPr>
            <w:r>
              <w:rPr>
                <w:color w:val="000000"/>
              </w:rPr>
              <w:t>4%</w:t>
            </w:r>
          </w:p>
        </w:tc>
        <w:tc>
          <w:tcPr>
            <w:tcW w:w="549" w:type="pct"/>
            <w:tcBorders>
              <w:top w:val="single" w:color="000000" w:sz="4" w:space="0"/>
              <w:left w:val="single" w:color="000000" w:sz="4" w:space="0"/>
              <w:bottom w:val="single" w:color="000000" w:sz="4" w:space="0"/>
              <w:right w:val="single" w:color="000000" w:sz="4" w:space="0"/>
            </w:tcBorders>
            <w:vAlign w:val="center"/>
          </w:tcPr>
          <w:p w14:paraId="716854D0">
            <w:pPr>
              <w:widowControl/>
              <w:jc w:val="center"/>
              <w:textAlignment w:val="center"/>
              <w:rPr>
                <w:color w:val="000000"/>
              </w:rPr>
            </w:pPr>
            <w:r>
              <w:rPr>
                <w:rFonts w:hint="eastAsia" w:cs="宋体"/>
                <w:color w:val="000000"/>
              </w:rPr>
              <w:t>预期性</w:t>
            </w:r>
          </w:p>
        </w:tc>
      </w:tr>
      <w:tr w14:paraId="4F3BB51F">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6F12C9A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AC41956">
            <w:pPr>
              <w:widowControl/>
              <w:jc w:val="center"/>
              <w:textAlignment w:val="center"/>
              <w:rPr>
                <w:color w:val="000000"/>
              </w:rPr>
            </w:pPr>
            <w:r>
              <w:rPr>
                <w:color w:val="000000"/>
              </w:rPr>
              <w:t>5</w:t>
            </w:r>
          </w:p>
        </w:tc>
        <w:tc>
          <w:tcPr>
            <w:tcW w:w="2309" w:type="pct"/>
            <w:tcBorders>
              <w:top w:val="single" w:color="000000" w:sz="4" w:space="0"/>
              <w:left w:val="single" w:color="000000" w:sz="4" w:space="0"/>
              <w:bottom w:val="single" w:color="000000" w:sz="4" w:space="0"/>
              <w:right w:val="single" w:color="000000" w:sz="4" w:space="0"/>
            </w:tcBorders>
            <w:vAlign w:val="center"/>
          </w:tcPr>
          <w:p w14:paraId="171681D3">
            <w:pPr>
              <w:widowControl/>
              <w:jc w:val="center"/>
              <w:textAlignment w:val="center"/>
              <w:rPr>
                <w:color w:val="000000"/>
              </w:rPr>
            </w:pPr>
            <w:r>
              <w:rPr>
                <w:rFonts w:hint="eastAsia" w:cs="宋体"/>
                <w:color w:val="000000"/>
              </w:rPr>
              <w:t>高新技术企业数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0496C1F">
            <w:pPr>
              <w:widowControl/>
              <w:jc w:val="center"/>
              <w:textAlignment w:val="center"/>
              <w:rPr>
                <w:color w:val="000000"/>
              </w:rPr>
            </w:pPr>
            <w:r>
              <w:rPr>
                <w:color w:val="000000"/>
              </w:rPr>
              <w:t>1300</w:t>
            </w:r>
            <w:r>
              <w:rPr>
                <w:rStyle w:val="26"/>
                <w:rFonts w:hint="eastAsia" w:ascii="Times New Roman" w:hAnsi="Times New Roman"/>
              </w:rPr>
              <w:t>家</w:t>
            </w:r>
          </w:p>
        </w:tc>
        <w:tc>
          <w:tcPr>
            <w:tcW w:w="549" w:type="pct"/>
            <w:tcBorders>
              <w:top w:val="single" w:color="000000" w:sz="4" w:space="0"/>
              <w:left w:val="single" w:color="000000" w:sz="4" w:space="0"/>
              <w:bottom w:val="single" w:color="000000" w:sz="4" w:space="0"/>
              <w:right w:val="single" w:color="000000" w:sz="4" w:space="0"/>
            </w:tcBorders>
            <w:vAlign w:val="center"/>
          </w:tcPr>
          <w:p w14:paraId="01E99DE4">
            <w:pPr>
              <w:widowControl/>
              <w:jc w:val="center"/>
              <w:textAlignment w:val="center"/>
              <w:rPr>
                <w:color w:val="000000"/>
              </w:rPr>
            </w:pPr>
            <w:r>
              <w:rPr>
                <w:rFonts w:hint="eastAsia" w:cs="宋体"/>
                <w:color w:val="000000"/>
              </w:rPr>
              <w:t>预期性</w:t>
            </w:r>
          </w:p>
        </w:tc>
      </w:tr>
      <w:tr w14:paraId="3387C677">
        <w:tblPrEx>
          <w:tblCellMar>
            <w:top w:w="0" w:type="dxa"/>
            <w:left w:w="108" w:type="dxa"/>
            <w:bottom w:w="0" w:type="dxa"/>
            <w:right w:w="108" w:type="dxa"/>
          </w:tblCellMar>
        </w:tblPrEx>
        <w:trPr>
          <w:trHeight w:val="270" w:hRule="atLeast"/>
        </w:trPr>
        <w:tc>
          <w:tcPr>
            <w:tcW w:w="726" w:type="pct"/>
            <w:vMerge w:val="continue"/>
            <w:tcBorders>
              <w:left w:val="single" w:color="000000" w:sz="4" w:space="0"/>
              <w:right w:val="single" w:color="000000" w:sz="4" w:space="0"/>
            </w:tcBorders>
            <w:vAlign w:val="center"/>
          </w:tcPr>
          <w:p w14:paraId="6BBA5072">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A34BA52">
            <w:pPr>
              <w:widowControl/>
              <w:jc w:val="center"/>
              <w:textAlignment w:val="center"/>
              <w:rPr>
                <w:color w:val="000000"/>
              </w:rPr>
            </w:pPr>
            <w:r>
              <w:rPr>
                <w:color w:val="000000"/>
              </w:rPr>
              <w:t>6</w:t>
            </w:r>
          </w:p>
        </w:tc>
        <w:tc>
          <w:tcPr>
            <w:tcW w:w="2309" w:type="pct"/>
            <w:tcBorders>
              <w:top w:val="single" w:color="000000" w:sz="4" w:space="0"/>
              <w:left w:val="single" w:color="000000" w:sz="4" w:space="0"/>
              <w:bottom w:val="single" w:color="000000" w:sz="4" w:space="0"/>
              <w:right w:val="single" w:color="000000" w:sz="4" w:space="0"/>
            </w:tcBorders>
            <w:vAlign w:val="center"/>
          </w:tcPr>
          <w:p w14:paraId="6DEE1CD4">
            <w:pPr>
              <w:widowControl/>
              <w:jc w:val="center"/>
              <w:textAlignment w:val="center"/>
              <w:rPr>
                <w:color w:val="000000"/>
              </w:rPr>
            </w:pPr>
            <w:r>
              <w:rPr>
                <w:rFonts w:hint="eastAsia" w:cs="宋体"/>
                <w:color w:val="000000"/>
              </w:rPr>
              <w:t>高新技术产业产值占规上工业产值比重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32CC29C6">
            <w:pPr>
              <w:widowControl/>
              <w:jc w:val="center"/>
              <w:textAlignment w:val="center"/>
              <w:rPr>
                <w:rFonts w:eastAsia="方正书宋_GBK"/>
                <w:color w:val="000000"/>
              </w:rPr>
            </w:pPr>
            <w:r>
              <w:rPr>
                <w:rFonts w:eastAsia="方正书宋_GBK"/>
              </w:rPr>
              <w:t>54.5%</w:t>
            </w:r>
          </w:p>
        </w:tc>
        <w:tc>
          <w:tcPr>
            <w:tcW w:w="549" w:type="pct"/>
            <w:tcBorders>
              <w:top w:val="single" w:color="000000" w:sz="4" w:space="0"/>
              <w:left w:val="single" w:color="000000" w:sz="4" w:space="0"/>
              <w:bottom w:val="single" w:color="000000" w:sz="4" w:space="0"/>
              <w:right w:val="single" w:color="000000" w:sz="4" w:space="0"/>
            </w:tcBorders>
            <w:vAlign w:val="center"/>
          </w:tcPr>
          <w:p w14:paraId="01700C95">
            <w:pPr>
              <w:widowControl/>
              <w:jc w:val="center"/>
              <w:textAlignment w:val="center"/>
              <w:rPr>
                <w:color w:val="000000"/>
              </w:rPr>
            </w:pPr>
            <w:r>
              <w:rPr>
                <w:rFonts w:hint="eastAsia" w:cs="宋体"/>
                <w:color w:val="000000"/>
              </w:rPr>
              <w:t>预期性</w:t>
            </w:r>
          </w:p>
        </w:tc>
      </w:tr>
      <w:tr w14:paraId="65392CA8">
        <w:tblPrEx>
          <w:tblCellMar>
            <w:top w:w="0" w:type="dxa"/>
            <w:left w:w="108" w:type="dxa"/>
            <w:bottom w:w="0" w:type="dxa"/>
            <w:right w:w="108" w:type="dxa"/>
          </w:tblCellMar>
        </w:tblPrEx>
        <w:trPr>
          <w:trHeight w:val="335" w:hRule="atLeast"/>
        </w:trPr>
        <w:tc>
          <w:tcPr>
            <w:tcW w:w="726" w:type="pct"/>
            <w:vMerge w:val="continue"/>
            <w:tcBorders>
              <w:left w:val="single" w:color="000000" w:sz="4" w:space="0"/>
              <w:right w:val="single" w:color="000000" w:sz="4" w:space="0"/>
            </w:tcBorders>
            <w:vAlign w:val="center"/>
          </w:tcPr>
          <w:p w14:paraId="24F7318C">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3258D07">
            <w:pPr>
              <w:widowControl/>
              <w:jc w:val="center"/>
              <w:textAlignment w:val="center"/>
              <w:rPr>
                <w:color w:val="000000"/>
              </w:rPr>
            </w:pPr>
            <w:r>
              <w:rPr>
                <w:color w:val="000000"/>
              </w:rPr>
              <w:t>7</w:t>
            </w:r>
          </w:p>
        </w:tc>
        <w:tc>
          <w:tcPr>
            <w:tcW w:w="2309" w:type="pct"/>
            <w:tcBorders>
              <w:top w:val="single" w:color="000000" w:sz="4" w:space="0"/>
              <w:left w:val="single" w:color="000000" w:sz="4" w:space="0"/>
              <w:bottom w:val="single" w:color="000000" w:sz="4" w:space="0"/>
              <w:right w:val="single" w:color="000000" w:sz="4" w:space="0"/>
            </w:tcBorders>
            <w:vAlign w:val="center"/>
          </w:tcPr>
          <w:p w14:paraId="0443CF31">
            <w:pPr>
              <w:widowControl/>
              <w:jc w:val="center"/>
              <w:textAlignment w:val="center"/>
              <w:rPr>
                <w:color w:val="000000"/>
              </w:rPr>
            </w:pPr>
            <w:r>
              <w:rPr>
                <w:rFonts w:hint="eastAsia" w:cs="宋体"/>
                <w:color w:val="000000"/>
              </w:rPr>
              <w:t>数字经济核心产业增加值占</w:t>
            </w:r>
            <w:r>
              <w:rPr>
                <w:color w:val="000000"/>
              </w:rPr>
              <w:t>GDP</w:t>
            </w:r>
            <w:r>
              <w:rPr>
                <w:rStyle w:val="26"/>
                <w:rFonts w:hint="eastAsia" w:ascii="Times New Roman" w:hAnsi="Times New Roman"/>
              </w:rPr>
              <w:t>比重</w:t>
            </w:r>
          </w:p>
        </w:tc>
        <w:tc>
          <w:tcPr>
            <w:tcW w:w="1010" w:type="pct"/>
            <w:tcBorders>
              <w:top w:val="single" w:color="000000" w:sz="4" w:space="0"/>
              <w:left w:val="single" w:color="000000" w:sz="4" w:space="0"/>
              <w:bottom w:val="single" w:color="000000" w:sz="4" w:space="0"/>
              <w:right w:val="single" w:color="000000" w:sz="4" w:space="0"/>
            </w:tcBorders>
            <w:vAlign w:val="center"/>
          </w:tcPr>
          <w:p w14:paraId="5E9D5EE5">
            <w:pPr>
              <w:widowControl/>
              <w:jc w:val="center"/>
              <w:textAlignment w:val="center"/>
              <w:rPr>
                <w:color w:val="000000"/>
              </w:rPr>
            </w:pPr>
            <w:r>
              <w:rPr>
                <w:rFonts w:hint="eastAsia" w:cs="宋体"/>
                <w:color w:val="000000"/>
              </w:rPr>
              <w:t>＞</w:t>
            </w:r>
            <w:r>
              <w:rPr>
                <w:color w:val="000000"/>
              </w:rPr>
              <w:t>10%</w:t>
            </w:r>
          </w:p>
        </w:tc>
        <w:tc>
          <w:tcPr>
            <w:tcW w:w="549" w:type="pct"/>
            <w:tcBorders>
              <w:top w:val="single" w:color="000000" w:sz="4" w:space="0"/>
              <w:left w:val="single" w:color="000000" w:sz="4" w:space="0"/>
              <w:bottom w:val="single" w:color="000000" w:sz="4" w:space="0"/>
              <w:right w:val="single" w:color="000000" w:sz="4" w:space="0"/>
            </w:tcBorders>
            <w:vAlign w:val="center"/>
          </w:tcPr>
          <w:p w14:paraId="4B188874">
            <w:pPr>
              <w:widowControl/>
              <w:jc w:val="center"/>
              <w:textAlignment w:val="center"/>
              <w:rPr>
                <w:color w:val="000000"/>
              </w:rPr>
            </w:pPr>
            <w:r>
              <w:rPr>
                <w:rFonts w:hint="eastAsia" w:cs="宋体"/>
                <w:color w:val="000000"/>
              </w:rPr>
              <w:t>预期性</w:t>
            </w:r>
          </w:p>
        </w:tc>
      </w:tr>
      <w:tr w14:paraId="7704354B">
        <w:tblPrEx>
          <w:tblCellMar>
            <w:top w:w="0" w:type="dxa"/>
            <w:left w:w="108" w:type="dxa"/>
            <w:bottom w:w="0" w:type="dxa"/>
            <w:right w:w="108" w:type="dxa"/>
          </w:tblCellMar>
        </w:tblPrEx>
        <w:trPr>
          <w:trHeight w:val="335" w:hRule="atLeast"/>
        </w:trPr>
        <w:tc>
          <w:tcPr>
            <w:tcW w:w="726" w:type="pct"/>
            <w:vMerge w:val="continue"/>
            <w:tcBorders>
              <w:left w:val="single" w:color="000000" w:sz="4" w:space="0"/>
              <w:right w:val="single" w:color="000000" w:sz="4" w:space="0"/>
            </w:tcBorders>
            <w:vAlign w:val="center"/>
          </w:tcPr>
          <w:p w14:paraId="6BEA2282">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69C55F8">
            <w:pPr>
              <w:widowControl/>
              <w:jc w:val="center"/>
              <w:textAlignment w:val="center"/>
              <w:rPr>
                <w:color w:val="000000"/>
              </w:rPr>
            </w:pPr>
            <w:r>
              <w:rPr>
                <w:color w:val="000000"/>
              </w:rPr>
              <w:t>8</w:t>
            </w:r>
          </w:p>
        </w:tc>
        <w:tc>
          <w:tcPr>
            <w:tcW w:w="2309" w:type="pct"/>
            <w:tcBorders>
              <w:top w:val="single" w:color="000000" w:sz="4" w:space="0"/>
              <w:left w:val="single" w:color="000000" w:sz="4" w:space="0"/>
              <w:bottom w:val="single" w:color="000000" w:sz="4" w:space="0"/>
              <w:right w:val="single" w:color="000000" w:sz="4" w:space="0"/>
            </w:tcBorders>
            <w:vAlign w:val="center"/>
          </w:tcPr>
          <w:p w14:paraId="3EF8F431">
            <w:pPr>
              <w:widowControl/>
              <w:jc w:val="center"/>
              <w:textAlignment w:val="center"/>
              <w:rPr>
                <w:color w:val="000000"/>
              </w:rPr>
            </w:pPr>
            <w:r>
              <w:rPr>
                <w:rFonts w:hint="eastAsia" w:cs="宋体"/>
                <w:color w:val="000000"/>
              </w:rPr>
              <w:t>都市工业产值总量</w:t>
            </w:r>
          </w:p>
        </w:tc>
        <w:tc>
          <w:tcPr>
            <w:tcW w:w="1010" w:type="pct"/>
            <w:tcBorders>
              <w:top w:val="single" w:color="000000" w:sz="4" w:space="0"/>
              <w:left w:val="single" w:color="000000" w:sz="4" w:space="0"/>
              <w:bottom w:val="single" w:color="000000" w:sz="4" w:space="0"/>
              <w:right w:val="single" w:color="000000" w:sz="4" w:space="0"/>
            </w:tcBorders>
            <w:vAlign w:val="center"/>
          </w:tcPr>
          <w:p w14:paraId="30D0BFB5">
            <w:pPr>
              <w:widowControl/>
              <w:jc w:val="center"/>
              <w:textAlignment w:val="center"/>
              <w:rPr>
                <w:color w:val="000000"/>
              </w:rPr>
            </w:pPr>
            <w:r>
              <w:rPr>
                <w:color w:val="000000"/>
              </w:rPr>
              <w:t>500</w:t>
            </w:r>
            <w:r>
              <w:rPr>
                <w:rFonts w:hint="eastAsia" w:cs="宋体"/>
                <w:color w:val="000000"/>
              </w:rPr>
              <w:t>亿元</w:t>
            </w:r>
          </w:p>
        </w:tc>
        <w:tc>
          <w:tcPr>
            <w:tcW w:w="549" w:type="pct"/>
            <w:tcBorders>
              <w:top w:val="single" w:color="000000" w:sz="4" w:space="0"/>
              <w:left w:val="single" w:color="000000" w:sz="4" w:space="0"/>
              <w:bottom w:val="single" w:color="000000" w:sz="4" w:space="0"/>
              <w:right w:val="single" w:color="000000" w:sz="4" w:space="0"/>
            </w:tcBorders>
            <w:vAlign w:val="center"/>
          </w:tcPr>
          <w:p w14:paraId="613F6B01">
            <w:pPr>
              <w:widowControl/>
              <w:jc w:val="center"/>
              <w:textAlignment w:val="center"/>
              <w:rPr>
                <w:color w:val="000000"/>
              </w:rPr>
            </w:pPr>
            <w:r>
              <w:rPr>
                <w:rFonts w:hint="eastAsia" w:cs="宋体"/>
                <w:color w:val="000000"/>
              </w:rPr>
              <w:t>预期性</w:t>
            </w:r>
          </w:p>
        </w:tc>
      </w:tr>
      <w:tr w14:paraId="11F1EDA5">
        <w:tblPrEx>
          <w:tblCellMar>
            <w:top w:w="0" w:type="dxa"/>
            <w:left w:w="108" w:type="dxa"/>
            <w:bottom w:w="0" w:type="dxa"/>
            <w:right w:w="108" w:type="dxa"/>
          </w:tblCellMar>
        </w:tblPrEx>
        <w:trPr>
          <w:trHeight w:val="335" w:hRule="atLeast"/>
        </w:trPr>
        <w:tc>
          <w:tcPr>
            <w:tcW w:w="726" w:type="pct"/>
            <w:vMerge w:val="continue"/>
            <w:tcBorders>
              <w:left w:val="single" w:color="000000" w:sz="4" w:space="0"/>
              <w:bottom w:val="single" w:color="000000" w:sz="4" w:space="0"/>
              <w:right w:val="single" w:color="000000" w:sz="4" w:space="0"/>
            </w:tcBorders>
            <w:vAlign w:val="center"/>
          </w:tcPr>
          <w:p w14:paraId="0CA3C0BC">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505E1FF">
            <w:pPr>
              <w:widowControl/>
              <w:jc w:val="center"/>
              <w:textAlignment w:val="center"/>
              <w:rPr>
                <w:color w:val="000000"/>
              </w:rPr>
            </w:pPr>
            <w:r>
              <w:rPr>
                <w:color w:val="000000"/>
              </w:rPr>
              <w:t>9</w:t>
            </w:r>
          </w:p>
        </w:tc>
        <w:tc>
          <w:tcPr>
            <w:tcW w:w="2309" w:type="pct"/>
            <w:tcBorders>
              <w:top w:val="single" w:color="000000" w:sz="4" w:space="0"/>
              <w:left w:val="single" w:color="000000" w:sz="4" w:space="0"/>
              <w:bottom w:val="single" w:color="000000" w:sz="4" w:space="0"/>
              <w:right w:val="single" w:color="000000" w:sz="4" w:space="0"/>
            </w:tcBorders>
            <w:vAlign w:val="center"/>
          </w:tcPr>
          <w:p w14:paraId="78894610">
            <w:pPr>
              <w:widowControl/>
              <w:jc w:val="center"/>
              <w:textAlignment w:val="center"/>
              <w:rPr>
                <w:color w:val="000000"/>
              </w:rPr>
            </w:pPr>
            <w:r>
              <w:rPr>
                <w:rFonts w:hint="eastAsia" w:cs="宋体"/>
                <w:color w:val="000000"/>
              </w:rPr>
              <w:t>每万人拥有高价值发明专利数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71C012C6">
            <w:pPr>
              <w:widowControl/>
              <w:jc w:val="center"/>
              <w:textAlignment w:val="center"/>
              <w:rPr>
                <w:color w:val="000000"/>
              </w:rPr>
            </w:pPr>
            <w:r>
              <w:rPr>
                <w:color w:val="000000"/>
              </w:rPr>
              <w:t>45</w:t>
            </w:r>
            <w:r>
              <w:rPr>
                <w:rFonts w:hint="eastAsia" w:cs="宋体"/>
                <w:color w:val="000000"/>
              </w:rPr>
              <w:t>件</w:t>
            </w:r>
          </w:p>
        </w:tc>
        <w:tc>
          <w:tcPr>
            <w:tcW w:w="549" w:type="pct"/>
            <w:tcBorders>
              <w:top w:val="single" w:color="000000" w:sz="4" w:space="0"/>
              <w:left w:val="single" w:color="000000" w:sz="4" w:space="0"/>
              <w:bottom w:val="single" w:color="000000" w:sz="4" w:space="0"/>
              <w:right w:val="single" w:color="000000" w:sz="4" w:space="0"/>
            </w:tcBorders>
            <w:vAlign w:val="center"/>
          </w:tcPr>
          <w:p w14:paraId="75CA213A">
            <w:pPr>
              <w:widowControl/>
              <w:jc w:val="center"/>
              <w:textAlignment w:val="center"/>
              <w:rPr>
                <w:color w:val="000000"/>
              </w:rPr>
            </w:pPr>
            <w:r>
              <w:rPr>
                <w:rFonts w:hint="eastAsia" w:cs="宋体"/>
                <w:color w:val="000000"/>
              </w:rPr>
              <w:t>预期性</w:t>
            </w:r>
          </w:p>
        </w:tc>
      </w:tr>
      <w:tr w14:paraId="14282AB2">
        <w:tblPrEx>
          <w:tblCellMar>
            <w:top w:w="0" w:type="dxa"/>
            <w:left w:w="108" w:type="dxa"/>
            <w:bottom w:w="0" w:type="dxa"/>
            <w:right w:w="108" w:type="dxa"/>
          </w:tblCellMar>
        </w:tblPrEx>
        <w:trPr>
          <w:trHeight w:val="29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740A4F79">
            <w:pPr>
              <w:widowControl/>
              <w:jc w:val="center"/>
              <w:textAlignment w:val="center"/>
              <w:rPr>
                <w:color w:val="000000"/>
              </w:rPr>
            </w:pPr>
            <w:r>
              <w:rPr>
                <w:rFonts w:hint="eastAsia" w:cs="宋体"/>
                <w:color w:val="000000"/>
              </w:rPr>
              <w:t>高效能的</w:t>
            </w:r>
          </w:p>
          <w:p w14:paraId="10BF3E3D">
            <w:pPr>
              <w:widowControl/>
              <w:jc w:val="center"/>
              <w:textAlignment w:val="center"/>
              <w:rPr>
                <w:color w:val="000000"/>
              </w:rPr>
            </w:pPr>
            <w:r>
              <w:rPr>
                <w:rFonts w:hint="eastAsia" w:cs="宋体"/>
                <w:color w:val="000000"/>
              </w:rPr>
              <w:t>现代化治理</w:t>
            </w:r>
          </w:p>
          <w:p w14:paraId="291CD6E7">
            <w:pPr>
              <w:widowControl/>
              <w:jc w:val="center"/>
              <w:textAlignment w:val="center"/>
              <w:rPr>
                <w:color w:val="000000"/>
              </w:rPr>
            </w:pPr>
            <w:r>
              <w:rPr>
                <w:rFonts w:hint="eastAsia" w:cs="宋体"/>
                <w:color w:val="000000"/>
              </w:rPr>
              <w:t>先行区</w:t>
            </w:r>
          </w:p>
        </w:tc>
        <w:tc>
          <w:tcPr>
            <w:tcW w:w="406" w:type="pct"/>
            <w:tcBorders>
              <w:top w:val="single" w:color="000000" w:sz="4" w:space="0"/>
              <w:left w:val="single" w:color="000000" w:sz="4" w:space="0"/>
              <w:bottom w:val="single" w:color="000000" w:sz="4" w:space="0"/>
              <w:right w:val="single" w:color="000000" w:sz="4" w:space="0"/>
            </w:tcBorders>
            <w:vAlign w:val="center"/>
          </w:tcPr>
          <w:p w14:paraId="09DEB295">
            <w:pPr>
              <w:widowControl/>
              <w:jc w:val="center"/>
              <w:textAlignment w:val="center"/>
              <w:rPr>
                <w:color w:val="000000"/>
              </w:rPr>
            </w:pPr>
            <w:r>
              <w:rPr>
                <w:color w:val="000000"/>
              </w:rPr>
              <w:t>10</w:t>
            </w:r>
          </w:p>
        </w:tc>
        <w:tc>
          <w:tcPr>
            <w:tcW w:w="2309" w:type="pct"/>
            <w:tcBorders>
              <w:top w:val="single" w:color="000000" w:sz="4" w:space="0"/>
              <w:left w:val="single" w:color="000000" w:sz="4" w:space="0"/>
              <w:bottom w:val="single" w:color="000000" w:sz="4" w:space="0"/>
              <w:right w:val="single" w:color="000000" w:sz="4" w:space="0"/>
            </w:tcBorders>
            <w:vAlign w:val="center"/>
          </w:tcPr>
          <w:p w14:paraId="437DF351">
            <w:pPr>
              <w:widowControl/>
              <w:jc w:val="center"/>
              <w:textAlignment w:val="center"/>
              <w:rPr>
                <w:color w:val="000000"/>
              </w:rPr>
            </w:pPr>
            <w:r>
              <w:rPr>
                <w:rFonts w:hint="eastAsia" w:cs="宋体"/>
                <w:color w:val="000000"/>
              </w:rPr>
              <w:t>居民人均可支配收入</w:t>
            </w:r>
          </w:p>
        </w:tc>
        <w:tc>
          <w:tcPr>
            <w:tcW w:w="1010" w:type="pct"/>
            <w:tcBorders>
              <w:top w:val="single" w:color="000000" w:sz="4" w:space="0"/>
              <w:left w:val="single" w:color="000000" w:sz="4" w:space="0"/>
              <w:bottom w:val="single" w:color="000000" w:sz="4" w:space="0"/>
              <w:right w:val="single" w:color="000000" w:sz="4" w:space="0"/>
            </w:tcBorders>
            <w:vAlign w:val="center"/>
          </w:tcPr>
          <w:p w14:paraId="6D8A53E7">
            <w:pPr>
              <w:widowControl/>
              <w:jc w:val="center"/>
              <w:textAlignment w:val="center"/>
              <w:rPr>
                <w:color w:val="000000"/>
              </w:rPr>
            </w:pPr>
            <w:r>
              <w:rPr>
                <w:rFonts w:hint="eastAsia" w:cs="宋体"/>
                <w:color w:val="000000"/>
              </w:rPr>
              <w:t>高于</w:t>
            </w:r>
            <w:r>
              <w:rPr>
                <w:color w:val="000000"/>
              </w:rPr>
              <w:t>GDP</w:t>
            </w:r>
            <w:r>
              <w:rPr>
                <w:rStyle w:val="26"/>
                <w:rFonts w:hint="eastAsia" w:ascii="Times New Roman" w:hAnsi="Times New Roman"/>
              </w:rPr>
              <w:t>增速</w:t>
            </w:r>
          </w:p>
        </w:tc>
        <w:tc>
          <w:tcPr>
            <w:tcW w:w="549" w:type="pct"/>
            <w:tcBorders>
              <w:top w:val="single" w:color="000000" w:sz="4" w:space="0"/>
              <w:left w:val="single" w:color="000000" w:sz="4" w:space="0"/>
              <w:bottom w:val="single" w:color="000000" w:sz="4" w:space="0"/>
              <w:right w:val="single" w:color="000000" w:sz="4" w:space="0"/>
            </w:tcBorders>
            <w:vAlign w:val="center"/>
          </w:tcPr>
          <w:p w14:paraId="3056D80B">
            <w:pPr>
              <w:widowControl/>
              <w:jc w:val="center"/>
              <w:textAlignment w:val="center"/>
              <w:rPr>
                <w:color w:val="000000"/>
              </w:rPr>
            </w:pPr>
            <w:r>
              <w:rPr>
                <w:rFonts w:hint="eastAsia" w:cs="宋体"/>
                <w:color w:val="000000"/>
              </w:rPr>
              <w:t>预期性</w:t>
            </w:r>
          </w:p>
        </w:tc>
      </w:tr>
      <w:tr w14:paraId="6243E592">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4DEDD0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07AC945">
            <w:pPr>
              <w:widowControl/>
              <w:jc w:val="center"/>
              <w:textAlignment w:val="center"/>
              <w:rPr>
                <w:color w:val="000000"/>
              </w:rPr>
            </w:pPr>
            <w:r>
              <w:rPr>
                <w:color w:val="000000"/>
              </w:rPr>
              <w:t>11</w:t>
            </w:r>
          </w:p>
        </w:tc>
        <w:tc>
          <w:tcPr>
            <w:tcW w:w="2309" w:type="pct"/>
            <w:tcBorders>
              <w:top w:val="single" w:color="000000" w:sz="4" w:space="0"/>
              <w:left w:val="single" w:color="000000" w:sz="4" w:space="0"/>
              <w:bottom w:val="single" w:color="000000" w:sz="4" w:space="0"/>
              <w:right w:val="single" w:color="000000" w:sz="4" w:space="0"/>
            </w:tcBorders>
            <w:vAlign w:val="center"/>
          </w:tcPr>
          <w:p w14:paraId="5FC9CC25">
            <w:pPr>
              <w:widowControl/>
              <w:jc w:val="center"/>
              <w:textAlignment w:val="center"/>
              <w:rPr>
                <w:color w:val="000000"/>
              </w:rPr>
            </w:pPr>
            <w:r>
              <w:rPr>
                <w:rFonts w:hint="eastAsia" w:cs="宋体"/>
                <w:color w:val="000000"/>
              </w:rPr>
              <w:t>义务教育优质均衡比例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78468228">
            <w:pPr>
              <w:widowControl/>
              <w:jc w:val="center"/>
              <w:textAlignment w:val="center"/>
              <w:rPr>
                <w:color w:val="000000"/>
              </w:rPr>
            </w:pPr>
            <w:r>
              <w:rPr>
                <w:color w:val="000000"/>
              </w:rPr>
              <w:t>93.7%</w:t>
            </w:r>
            <w:r>
              <w:rPr>
                <w:rStyle w:val="16"/>
              </w:rPr>
              <w:footnoteReference w:id="3"/>
            </w:r>
          </w:p>
        </w:tc>
        <w:tc>
          <w:tcPr>
            <w:tcW w:w="549" w:type="pct"/>
            <w:tcBorders>
              <w:top w:val="single" w:color="000000" w:sz="4" w:space="0"/>
              <w:left w:val="single" w:color="000000" w:sz="4" w:space="0"/>
              <w:bottom w:val="single" w:color="000000" w:sz="4" w:space="0"/>
              <w:right w:val="single" w:color="000000" w:sz="4" w:space="0"/>
            </w:tcBorders>
            <w:vAlign w:val="center"/>
          </w:tcPr>
          <w:p w14:paraId="10C936E8">
            <w:pPr>
              <w:widowControl/>
              <w:jc w:val="center"/>
              <w:textAlignment w:val="center"/>
              <w:rPr>
                <w:color w:val="000000"/>
              </w:rPr>
            </w:pPr>
            <w:r>
              <w:rPr>
                <w:rFonts w:hint="eastAsia" w:cs="宋体"/>
                <w:color w:val="000000"/>
              </w:rPr>
              <w:t>预期性</w:t>
            </w:r>
          </w:p>
        </w:tc>
      </w:tr>
      <w:tr w14:paraId="291F3C7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5977180D">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7CB7500">
            <w:pPr>
              <w:widowControl/>
              <w:jc w:val="center"/>
              <w:textAlignment w:val="center"/>
              <w:rPr>
                <w:color w:val="000000"/>
              </w:rPr>
            </w:pPr>
            <w:r>
              <w:rPr>
                <w:color w:val="000000"/>
              </w:rPr>
              <w:t>12</w:t>
            </w:r>
          </w:p>
        </w:tc>
        <w:tc>
          <w:tcPr>
            <w:tcW w:w="2309" w:type="pct"/>
            <w:tcBorders>
              <w:top w:val="single" w:color="000000" w:sz="4" w:space="0"/>
              <w:left w:val="single" w:color="000000" w:sz="4" w:space="0"/>
              <w:bottom w:val="single" w:color="000000" w:sz="4" w:space="0"/>
              <w:right w:val="single" w:color="000000" w:sz="4" w:space="0"/>
            </w:tcBorders>
            <w:vAlign w:val="center"/>
          </w:tcPr>
          <w:p w14:paraId="02FCECFF">
            <w:pPr>
              <w:widowControl/>
              <w:jc w:val="center"/>
              <w:textAlignment w:val="center"/>
              <w:rPr>
                <w:color w:val="000000"/>
              </w:rPr>
            </w:pPr>
            <w:r>
              <w:rPr>
                <w:rFonts w:hint="eastAsia" w:cs="宋体"/>
                <w:color w:val="000000"/>
              </w:rPr>
              <w:t>城镇新增就业人数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57D82DC3">
            <w:pPr>
              <w:widowControl/>
              <w:jc w:val="center"/>
              <w:textAlignment w:val="center"/>
              <w:rPr>
                <w:color w:val="000000"/>
              </w:rPr>
            </w:pPr>
            <w:r>
              <w:rPr>
                <w:color w:val="000000"/>
              </w:rPr>
              <w:t>14</w:t>
            </w:r>
            <w:r>
              <w:rPr>
                <w:rStyle w:val="26"/>
                <w:rFonts w:hint="eastAsia" w:ascii="Times New Roman" w:hAnsi="Times New Roman"/>
              </w:rPr>
              <w:t>万</w:t>
            </w:r>
          </w:p>
        </w:tc>
        <w:tc>
          <w:tcPr>
            <w:tcW w:w="549" w:type="pct"/>
            <w:tcBorders>
              <w:top w:val="single" w:color="000000" w:sz="4" w:space="0"/>
              <w:left w:val="single" w:color="000000" w:sz="4" w:space="0"/>
              <w:bottom w:val="single" w:color="000000" w:sz="4" w:space="0"/>
              <w:right w:val="single" w:color="000000" w:sz="4" w:space="0"/>
            </w:tcBorders>
            <w:vAlign w:val="center"/>
          </w:tcPr>
          <w:p w14:paraId="6EAB9932">
            <w:pPr>
              <w:widowControl/>
              <w:jc w:val="center"/>
              <w:textAlignment w:val="center"/>
              <w:rPr>
                <w:color w:val="000000"/>
              </w:rPr>
            </w:pPr>
            <w:r>
              <w:rPr>
                <w:rFonts w:hint="eastAsia" w:cs="宋体"/>
                <w:color w:val="000000"/>
              </w:rPr>
              <w:t>预期性</w:t>
            </w:r>
          </w:p>
        </w:tc>
      </w:tr>
      <w:tr w14:paraId="1DA175BF">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3FDC00B">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AA074A3">
            <w:pPr>
              <w:widowControl/>
              <w:jc w:val="center"/>
              <w:textAlignment w:val="center"/>
              <w:rPr>
                <w:color w:val="000000"/>
              </w:rPr>
            </w:pPr>
            <w:r>
              <w:rPr>
                <w:color w:val="000000"/>
              </w:rPr>
              <w:t>13</w:t>
            </w:r>
          </w:p>
        </w:tc>
        <w:tc>
          <w:tcPr>
            <w:tcW w:w="2309" w:type="pct"/>
            <w:tcBorders>
              <w:top w:val="single" w:color="000000" w:sz="4" w:space="0"/>
              <w:left w:val="single" w:color="000000" w:sz="4" w:space="0"/>
              <w:bottom w:val="single" w:color="000000" w:sz="4" w:space="0"/>
              <w:right w:val="single" w:color="000000" w:sz="4" w:space="0"/>
            </w:tcBorders>
            <w:vAlign w:val="center"/>
          </w:tcPr>
          <w:p w14:paraId="2D1C7677">
            <w:pPr>
              <w:widowControl/>
              <w:jc w:val="center"/>
              <w:textAlignment w:val="center"/>
              <w:rPr>
                <w:color w:val="000000"/>
              </w:rPr>
            </w:pPr>
            <w:r>
              <w:rPr>
                <w:rFonts w:hint="eastAsia" w:cs="宋体"/>
                <w:color w:val="000000"/>
              </w:rPr>
              <w:t>人均预期寿命</w:t>
            </w:r>
          </w:p>
        </w:tc>
        <w:tc>
          <w:tcPr>
            <w:tcW w:w="1010" w:type="pct"/>
            <w:tcBorders>
              <w:top w:val="single" w:color="000000" w:sz="4" w:space="0"/>
              <w:left w:val="single" w:color="000000" w:sz="4" w:space="0"/>
              <w:bottom w:val="single" w:color="000000" w:sz="4" w:space="0"/>
              <w:right w:val="single" w:color="000000" w:sz="4" w:space="0"/>
            </w:tcBorders>
            <w:vAlign w:val="center"/>
          </w:tcPr>
          <w:p w14:paraId="4B151F82">
            <w:pPr>
              <w:widowControl/>
              <w:jc w:val="center"/>
              <w:textAlignment w:val="center"/>
              <w:rPr>
                <w:color w:val="000000"/>
              </w:rPr>
            </w:pPr>
            <w:r>
              <w:rPr>
                <w:rFonts w:hint="eastAsia" w:cs="宋体"/>
                <w:color w:val="000000"/>
              </w:rPr>
              <w:t>超</w:t>
            </w:r>
            <w:r>
              <w:rPr>
                <w:color w:val="000000"/>
              </w:rPr>
              <w:t>80</w:t>
            </w:r>
            <w:r>
              <w:rPr>
                <w:rStyle w:val="26"/>
                <w:rFonts w:hint="eastAsia" w:ascii="Times New Roman" w:hAnsi="Times New Roman"/>
              </w:rPr>
              <w:t>岁</w:t>
            </w:r>
          </w:p>
        </w:tc>
        <w:tc>
          <w:tcPr>
            <w:tcW w:w="549" w:type="pct"/>
            <w:tcBorders>
              <w:top w:val="single" w:color="000000" w:sz="4" w:space="0"/>
              <w:left w:val="single" w:color="000000" w:sz="4" w:space="0"/>
              <w:bottom w:val="single" w:color="000000" w:sz="4" w:space="0"/>
              <w:right w:val="single" w:color="000000" w:sz="4" w:space="0"/>
            </w:tcBorders>
            <w:vAlign w:val="center"/>
          </w:tcPr>
          <w:p w14:paraId="39AD0715">
            <w:pPr>
              <w:widowControl/>
              <w:jc w:val="center"/>
              <w:textAlignment w:val="center"/>
              <w:rPr>
                <w:color w:val="000000"/>
              </w:rPr>
            </w:pPr>
            <w:r>
              <w:rPr>
                <w:rFonts w:hint="eastAsia" w:cs="宋体"/>
                <w:color w:val="000000"/>
              </w:rPr>
              <w:t>预期性</w:t>
            </w:r>
          </w:p>
        </w:tc>
      </w:tr>
      <w:tr w14:paraId="002EA1C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F1D438D">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666EB66">
            <w:pPr>
              <w:widowControl/>
              <w:jc w:val="center"/>
              <w:textAlignment w:val="center"/>
              <w:rPr>
                <w:color w:val="000000"/>
              </w:rPr>
            </w:pPr>
            <w:r>
              <w:rPr>
                <w:color w:val="000000"/>
              </w:rPr>
              <w:t>14</w:t>
            </w:r>
          </w:p>
        </w:tc>
        <w:tc>
          <w:tcPr>
            <w:tcW w:w="2309" w:type="pct"/>
            <w:tcBorders>
              <w:top w:val="single" w:color="000000" w:sz="4" w:space="0"/>
              <w:left w:val="single" w:color="000000" w:sz="4" w:space="0"/>
              <w:bottom w:val="single" w:color="000000" w:sz="4" w:space="0"/>
              <w:right w:val="single" w:color="000000" w:sz="4" w:space="0"/>
            </w:tcBorders>
            <w:vAlign w:val="center"/>
          </w:tcPr>
          <w:p w14:paraId="38733540">
            <w:pPr>
              <w:widowControl/>
              <w:jc w:val="center"/>
              <w:textAlignment w:val="center"/>
              <w:rPr>
                <w:color w:val="000000"/>
              </w:rPr>
            </w:pPr>
            <w:r>
              <w:rPr>
                <w:rFonts w:hint="eastAsia" w:cs="宋体"/>
                <w:color w:val="000000"/>
              </w:rPr>
              <w:t>每千人口拥有执业（助理）医师数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E5ADF8B">
            <w:pPr>
              <w:widowControl/>
              <w:jc w:val="center"/>
              <w:textAlignment w:val="center"/>
              <w:rPr>
                <w:color w:val="000000"/>
              </w:rPr>
            </w:pPr>
            <w:r>
              <w:rPr>
                <w:rFonts w:eastAsia="方正书宋_GBK"/>
              </w:rPr>
              <w:t>5.5</w:t>
            </w:r>
            <w:r>
              <w:rPr>
                <w:rFonts w:hint="eastAsia" w:cs="宋体"/>
                <w:color w:val="000000"/>
              </w:rPr>
              <w:t>人</w:t>
            </w:r>
          </w:p>
        </w:tc>
        <w:tc>
          <w:tcPr>
            <w:tcW w:w="549" w:type="pct"/>
            <w:tcBorders>
              <w:top w:val="single" w:color="000000" w:sz="4" w:space="0"/>
              <w:left w:val="single" w:color="000000" w:sz="4" w:space="0"/>
              <w:bottom w:val="single" w:color="000000" w:sz="4" w:space="0"/>
              <w:right w:val="single" w:color="000000" w:sz="4" w:space="0"/>
            </w:tcBorders>
            <w:vAlign w:val="center"/>
          </w:tcPr>
          <w:p w14:paraId="3CE77B92">
            <w:pPr>
              <w:widowControl/>
              <w:jc w:val="center"/>
              <w:textAlignment w:val="center"/>
              <w:rPr>
                <w:color w:val="000000"/>
              </w:rPr>
            </w:pPr>
            <w:r>
              <w:rPr>
                <w:rFonts w:hint="eastAsia" w:cs="宋体"/>
                <w:color w:val="000000"/>
              </w:rPr>
              <w:t>预期性</w:t>
            </w:r>
          </w:p>
        </w:tc>
      </w:tr>
      <w:tr w14:paraId="5EF2F7C5">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6CCF3794">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44EB675">
            <w:pPr>
              <w:widowControl/>
              <w:jc w:val="center"/>
              <w:textAlignment w:val="center"/>
              <w:rPr>
                <w:color w:val="000000"/>
              </w:rPr>
            </w:pPr>
            <w:r>
              <w:rPr>
                <w:color w:val="000000"/>
              </w:rPr>
              <w:t>15</w:t>
            </w:r>
          </w:p>
        </w:tc>
        <w:tc>
          <w:tcPr>
            <w:tcW w:w="2309" w:type="pct"/>
            <w:tcBorders>
              <w:top w:val="single" w:color="000000" w:sz="4" w:space="0"/>
              <w:left w:val="single" w:color="000000" w:sz="4" w:space="0"/>
              <w:bottom w:val="single" w:color="000000" w:sz="4" w:space="0"/>
              <w:right w:val="single" w:color="000000" w:sz="4" w:space="0"/>
            </w:tcBorders>
            <w:vAlign w:val="center"/>
          </w:tcPr>
          <w:p w14:paraId="3C5C27FC">
            <w:pPr>
              <w:widowControl/>
              <w:jc w:val="center"/>
              <w:textAlignment w:val="center"/>
              <w:rPr>
                <w:color w:val="000000"/>
              </w:rPr>
            </w:pPr>
            <w:r>
              <w:rPr>
                <w:rFonts w:hint="eastAsia" w:cs="宋体"/>
                <w:color w:val="000000"/>
              </w:rPr>
              <w:t>城乡基本养老保险参保缴费率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7070CBFA">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0412E8ED">
            <w:pPr>
              <w:widowControl/>
              <w:jc w:val="center"/>
              <w:textAlignment w:val="center"/>
              <w:rPr>
                <w:color w:val="000000"/>
              </w:rPr>
            </w:pPr>
            <w:r>
              <w:rPr>
                <w:rFonts w:hint="eastAsia" w:cs="宋体"/>
                <w:color w:val="000000"/>
              </w:rPr>
              <w:t>预期性</w:t>
            </w:r>
          </w:p>
        </w:tc>
      </w:tr>
      <w:tr w14:paraId="0CBC899A">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49BC7F4">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050FE1E">
            <w:pPr>
              <w:widowControl/>
              <w:jc w:val="center"/>
              <w:textAlignment w:val="center"/>
              <w:rPr>
                <w:color w:val="000000"/>
              </w:rPr>
            </w:pPr>
            <w:r>
              <w:rPr>
                <w:color w:val="000000"/>
              </w:rPr>
              <w:t>16</w:t>
            </w:r>
          </w:p>
        </w:tc>
        <w:tc>
          <w:tcPr>
            <w:tcW w:w="2309" w:type="pct"/>
            <w:tcBorders>
              <w:top w:val="single" w:color="000000" w:sz="4" w:space="0"/>
              <w:left w:val="single" w:color="000000" w:sz="4" w:space="0"/>
              <w:bottom w:val="single" w:color="000000" w:sz="4" w:space="0"/>
              <w:right w:val="single" w:color="000000" w:sz="4" w:space="0"/>
            </w:tcBorders>
            <w:vAlign w:val="center"/>
          </w:tcPr>
          <w:p w14:paraId="3720F2D4">
            <w:pPr>
              <w:widowControl/>
              <w:jc w:val="center"/>
              <w:textAlignment w:val="center"/>
              <w:rPr>
                <w:color w:val="000000"/>
              </w:rPr>
            </w:pPr>
            <w:r>
              <w:rPr>
                <w:rFonts w:hint="eastAsia" w:cs="宋体"/>
                <w:color w:val="000000"/>
              </w:rPr>
              <w:t>居家社区养老服务高质量发展达标率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461BF68D">
            <w:pPr>
              <w:widowControl/>
              <w:jc w:val="center"/>
              <w:textAlignment w:val="center"/>
              <w:rPr>
                <w:color w:val="000000"/>
              </w:rPr>
            </w:pPr>
            <w:r>
              <w:rPr>
                <w:color w:val="000000"/>
              </w:rPr>
              <w:t>80%</w:t>
            </w:r>
          </w:p>
        </w:tc>
        <w:tc>
          <w:tcPr>
            <w:tcW w:w="549" w:type="pct"/>
            <w:tcBorders>
              <w:top w:val="single" w:color="000000" w:sz="4" w:space="0"/>
              <w:left w:val="single" w:color="000000" w:sz="4" w:space="0"/>
              <w:bottom w:val="single" w:color="000000" w:sz="4" w:space="0"/>
              <w:right w:val="single" w:color="000000" w:sz="4" w:space="0"/>
            </w:tcBorders>
            <w:vAlign w:val="center"/>
          </w:tcPr>
          <w:p w14:paraId="04F6AD3C">
            <w:pPr>
              <w:widowControl/>
              <w:jc w:val="center"/>
              <w:textAlignment w:val="center"/>
              <w:rPr>
                <w:color w:val="000000"/>
              </w:rPr>
            </w:pPr>
            <w:r>
              <w:rPr>
                <w:rFonts w:hint="eastAsia" w:cs="宋体"/>
                <w:color w:val="000000"/>
              </w:rPr>
              <w:t>预期性</w:t>
            </w:r>
          </w:p>
        </w:tc>
      </w:tr>
      <w:tr w14:paraId="5CE672D4">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2ED84776">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DF88EC3">
            <w:pPr>
              <w:widowControl/>
              <w:jc w:val="center"/>
              <w:textAlignment w:val="center"/>
              <w:rPr>
                <w:color w:val="000000"/>
              </w:rPr>
            </w:pPr>
            <w:r>
              <w:rPr>
                <w:color w:val="000000"/>
              </w:rPr>
              <w:t>17</w:t>
            </w:r>
          </w:p>
        </w:tc>
        <w:tc>
          <w:tcPr>
            <w:tcW w:w="2309" w:type="pct"/>
            <w:tcBorders>
              <w:top w:val="single" w:color="000000" w:sz="4" w:space="0"/>
              <w:left w:val="single" w:color="000000" w:sz="4" w:space="0"/>
              <w:bottom w:val="single" w:color="000000" w:sz="4" w:space="0"/>
              <w:right w:val="single" w:color="000000" w:sz="4" w:space="0"/>
            </w:tcBorders>
            <w:vAlign w:val="center"/>
          </w:tcPr>
          <w:p w14:paraId="2F400FC1">
            <w:pPr>
              <w:widowControl/>
              <w:jc w:val="center"/>
              <w:textAlignment w:val="center"/>
              <w:rPr>
                <w:color w:val="000000"/>
              </w:rPr>
            </w:pPr>
            <w:r>
              <w:rPr>
                <w:rFonts w:hint="eastAsia" w:cs="宋体"/>
                <w:color w:val="000000"/>
              </w:rPr>
              <w:t>人均接受文化场馆服务次数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3C33B597">
            <w:pPr>
              <w:widowControl/>
              <w:jc w:val="center"/>
              <w:textAlignment w:val="center"/>
              <w:rPr>
                <w:color w:val="000000"/>
              </w:rPr>
            </w:pPr>
            <w:r>
              <w:rPr>
                <w:color w:val="000000"/>
              </w:rPr>
              <w:t>10</w:t>
            </w:r>
          </w:p>
        </w:tc>
        <w:tc>
          <w:tcPr>
            <w:tcW w:w="549" w:type="pct"/>
            <w:tcBorders>
              <w:top w:val="single" w:color="000000" w:sz="4" w:space="0"/>
              <w:left w:val="single" w:color="000000" w:sz="4" w:space="0"/>
              <w:bottom w:val="single" w:color="000000" w:sz="4" w:space="0"/>
              <w:right w:val="single" w:color="000000" w:sz="4" w:space="0"/>
            </w:tcBorders>
            <w:vAlign w:val="center"/>
          </w:tcPr>
          <w:p w14:paraId="2EFD5B13">
            <w:pPr>
              <w:widowControl/>
              <w:jc w:val="center"/>
              <w:textAlignment w:val="center"/>
              <w:rPr>
                <w:color w:val="000000"/>
              </w:rPr>
            </w:pPr>
            <w:r>
              <w:rPr>
                <w:rFonts w:hint="eastAsia" w:cs="宋体"/>
                <w:color w:val="000000"/>
              </w:rPr>
              <w:t>预期性</w:t>
            </w:r>
          </w:p>
        </w:tc>
      </w:tr>
      <w:tr w14:paraId="33DF95F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0B03C7BE">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2E36F25">
            <w:pPr>
              <w:widowControl/>
              <w:jc w:val="center"/>
              <w:textAlignment w:val="center"/>
              <w:rPr>
                <w:color w:val="000000"/>
              </w:rPr>
            </w:pPr>
            <w:r>
              <w:rPr>
                <w:color w:val="000000"/>
              </w:rPr>
              <w:t>18</w:t>
            </w:r>
          </w:p>
        </w:tc>
        <w:tc>
          <w:tcPr>
            <w:tcW w:w="2309" w:type="pct"/>
            <w:tcBorders>
              <w:top w:val="single" w:color="000000" w:sz="4" w:space="0"/>
              <w:left w:val="single" w:color="000000" w:sz="4" w:space="0"/>
              <w:bottom w:val="single" w:color="000000" w:sz="4" w:space="0"/>
              <w:right w:val="single" w:color="000000" w:sz="4" w:space="0"/>
            </w:tcBorders>
            <w:vAlign w:val="center"/>
          </w:tcPr>
          <w:p w14:paraId="7F432E6C">
            <w:pPr>
              <w:widowControl/>
              <w:jc w:val="center"/>
              <w:textAlignment w:val="center"/>
              <w:rPr>
                <w:color w:val="000000"/>
              </w:rPr>
            </w:pPr>
            <w:r>
              <w:rPr>
                <w:rFonts w:hint="eastAsia" w:cs="宋体"/>
                <w:color w:val="000000"/>
              </w:rPr>
              <w:t>社会文明程度测评指数</w:t>
            </w:r>
          </w:p>
        </w:tc>
        <w:tc>
          <w:tcPr>
            <w:tcW w:w="1010" w:type="pct"/>
            <w:tcBorders>
              <w:top w:val="single" w:color="000000" w:sz="4" w:space="0"/>
              <w:left w:val="single" w:color="000000" w:sz="4" w:space="0"/>
              <w:bottom w:val="single" w:color="000000" w:sz="4" w:space="0"/>
              <w:right w:val="single" w:color="000000" w:sz="4" w:space="0"/>
            </w:tcBorders>
            <w:vAlign w:val="center"/>
          </w:tcPr>
          <w:p w14:paraId="6BC8449D">
            <w:pPr>
              <w:widowControl/>
              <w:jc w:val="center"/>
              <w:textAlignment w:val="center"/>
              <w:rPr>
                <w:color w:val="000000"/>
              </w:rPr>
            </w:pPr>
            <w:r>
              <w:rPr>
                <w:color w:val="000000"/>
              </w:rPr>
              <w:t>≥90%</w:t>
            </w:r>
          </w:p>
        </w:tc>
        <w:tc>
          <w:tcPr>
            <w:tcW w:w="549" w:type="pct"/>
            <w:tcBorders>
              <w:top w:val="single" w:color="000000" w:sz="4" w:space="0"/>
              <w:left w:val="single" w:color="000000" w:sz="4" w:space="0"/>
              <w:bottom w:val="single" w:color="000000" w:sz="4" w:space="0"/>
              <w:right w:val="single" w:color="000000" w:sz="4" w:space="0"/>
            </w:tcBorders>
            <w:vAlign w:val="center"/>
          </w:tcPr>
          <w:p w14:paraId="193B1651">
            <w:pPr>
              <w:widowControl/>
              <w:jc w:val="center"/>
              <w:textAlignment w:val="center"/>
              <w:rPr>
                <w:color w:val="000000"/>
              </w:rPr>
            </w:pPr>
            <w:r>
              <w:rPr>
                <w:rFonts w:hint="eastAsia" w:cs="宋体"/>
                <w:color w:val="000000"/>
              </w:rPr>
              <w:t>预期性</w:t>
            </w:r>
          </w:p>
        </w:tc>
      </w:tr>
      <w:tr w14:paraId="54FA3BDE">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92BF40A">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FBE5E6A">
            <w:pPr>
              <w:widowControl/>
              <w:jc w:val="center"/>
              <w:textAlignment w:val="center"/>
              <w:rPr>
                <w:color w:val="000000"/>
              </w:rPr>
            </w:pPr>
            <w:r>
              <w:rPr>
                <w:color w:val="000000"/>
              </w:rPr>
              <w:t>19</w:t>
            </w:r>
          </w:p>
        </w:tc>
        <w:tc>
          <w:tcPr>
            <w:tcW w:w="2309" w:type="pct"/>
            <w:tcBorders>
              <w:top w:val="single" w:color="000000" w:sz="4" w:space="0"/>
              <w:left w:val="single" w:color="000000" w:sz="4" w:space="0"/>
              <w:bottom w:val="single" w:color="000000" w:sz="4" w:space="0"/>
              <w:right w:val="single" w:color="000000" w:sz="4" w:space="0"/>
            </w:tcBorders>
            <w:vAlign w:val="center"/>
          </w:tcPr>
          <w:p w14:paraId="71346806">
            <w:pPr>
              <w:widowControl/>
              <w:jc w:val="center"/>
              <w:textAlignment w:val="center"/>
              <w:rPr>
                <w:color w:val="000000"/>
              </w:rPr>
            </w:pPr>
            <w:r>
              <w:rPr>
                <w:rFonts w:hint="eastAsia" w:cs="宋体"/>
                <w:color w:val="000000"/>
              </w:rPr>
              <w:t>法治建设满意度</w:t>
            </w:r>
          </w:p>
        </w:tc>
        <w:tc>
          <w:tcPr>
            <w:tcW w:w="1010" w:type="pct"/>
            <w:tcBorders>
              <w:top w:val="single" w:color="000000" w:sz="4" w:space="0"/>
              <w:left w:val="single" w:color="000000" w:sz="4" w:space="0"/>
              <w:bottom w:val="single" w:color="000000" w:sz="4" w:space="0"/>
              <w:right w:val="single" w:color="000000" w:sz="4" w:space="0"/>
            </w:tcBorders>
            <w:vAlign w:val="center"/>
          </w:tcPr>
          <w:p w14:paraId="04A522CF">
            <w:pPr>
              <w:widowControl/>
              <w:jc w:val="center"/>
              <w:textAlignment w:val="center"/>
              <w:rPr>
                <w:color w:val="000000"/>
              </w:rPr>
            </w:pPr>
            <w:r>
              <w:rPr>
                <w:color w:val="000000"/>
              </w:rPr>
              <w:t>≥90%</w:t>
            </w:r>
          </w:p>
        </w:tc>
        <w:tc>
          <w:tcPr>
            <w:tcW w:w="549" w:type="pct"/>
            <w:tcBorders>
              <w:top w:val="single" w:color="000000" w:sz="4" w:space="0"/>
              <w:left w:val="single" w:color="000000" w:sz="4" w:space="0"/>
              <w:bottom w:val="single" w:color="000000" w:sz="4" w:space="0"/>
              <w:right w:val="single" w:color="000000" w:sz="4" w:space="0"/>
            </w:tcBorders>
            <w:vAlign w:val="center"/>
          </w:tcPr>
          <w:p w14:paraId="321C626F">
            <w:pPr>
              <w:widowControl/>
              <w:jc w:val="center"/>
              <w:textAlignment w:val="center"/>
              <w:rPr>
                <w:color w:val="000000"/>
              </w:rPr>
            </w:pPr>
            <w:r>
              <w:rPr>
                <w:rFonts w:hint="eastAsia" w:cs="宋体"/>
                <w:color w:val="000000"/>
              </w:rPr>
              <w:t>预期性</w:t>
            </w:r>
          </w:p>
        </w:tc>
      </w:tr>
      <w:tr w14:paraId="5D0B06A9">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3AF68CA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14CC3D1D">
            <w:pPr>
              <w:widowControl/>
              <w:jc w:val="center"/>
              <w:textAlignment w:val="center"/>
              <w:rPr>
                <w:color w:val="000000"/>
              </w:rPr>
            </w:pPr>
            <w:r>
              <w:rPr>
                <w:color w:val="000000"/>
              </w:rPr>
              <w:t>20</w:t>
            </w:r>
          </w:p>
        </w:tc>
        <w:tc>
          <w:tcPr>
            <w:tcW w:w="2309" w:type="pct"/>
            <w:tcBorders>
              <w:top w:val="single" w:color="000000" w:sz="4" w:space="0"/>
              <w:left w:val="single" w:color="000000" w:sz="4" w:space="0"/>
              <w:bottom w:val="single" w:color="000000" w:sz="4" w:space="0"/>
              <w:right w:val="single" w:color="000000" w:sz="4" w:space="0"/>
            </w:tcBorders>
            <w:vAlign w:val="center"/>
          </w:tcPr>
          <w:p w14:paraId="00FC2C19">
            <w:pPr>
              <w:widowControl/>
              <w:jc w:val="center"/>
              <w:textAlignment w:val="center"/>
              <w:rPr>
                <w:color w:val="000000"/>
              </w:rPr>
            </w:pPr>
            <w:r>
              <w:rPr>
                <w:rFonts w:hint="eastAsia" w:cs="宋体"/>
                <w:color w:val="000000"/>
              </w:rPr>
              <w:t>生产安全事故发生数下降</w:t>
            </w:r>
          </w:p>
        </w:tc>
        <w:tc>
          <w:tcPr>
            <w:tcW w:w="1010" w:type="pct"/>
            <w:tcBorders>
              <w:top w:val="single" w:color="000000" w:sz="4" w:space="0"/>
              <w:left w:val="single" w:color="000000" w:sz="4" w:space="0"/>
              <w:bottom w:val="single" w:color="000000" w:sz="4" w:space="0"/>
              <w:right w:val="single" w:color="000000" w:sz="4" w:space="0"/>
            </w:tcBorders>
            <w:vAlign w:val="center"/>
          </w:tcPr>
          <w:p w14:paraId="381F4E2A">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2D681D46">
            <w:pPr>
              <w:widowControl/>
              <w:jc w:val="center"/>
              <w:textAlignment w:val="center"/>
              <w:rPr>
                <w:color w:val="000000"/>
              </w:rPr>
            </w:pPr>
            <w:r>
              <w:rPr>
                <w:rFonts w:hint="eastAsia" w:cs="宋体"/>
                <w:color w:val="000000"/>
              </w:rPr>
              <w:t>约束性</w:t>
            </w:r>
          </w:p>
        </w:tc>
      </w:tr>
      <w:tr w14:paraId="19654CD7">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42CDF6C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2253970">
            <w:pPr>
              <w:widowControl/>
              <w:jc w:val="center"/>
              <w:textAlignment w:val="center"/>
              <w:rPr>
                <w:color w:val="000000"/>
              </w:rPr>
            </w:pPr>
            <w:r>
              <w:rPr>
                <w:color w:val="000000"/>
              </w:rPr>
              <w:t>21</w:t>
            </w:r>
          </w:p>
        </w:tc>
        <w:tc>
          <w:tcPr>
            <w:tcW w:w="2309" w:type="pct"/>
            <w:tcBorders>
              <w:top w:val="single" w:color="000000" w:sz="4" w:space="0"/>
              <w:left w:val="single" w:color="000000" w:sz="4" w:space="0"/>
              <w:bottom w:val="single" w:color="000000" w:sz="4" w:space="0"/>
              <w:right w:val="single" w:color="000000" w:sz="4" w:space="0"/>
            </w:tcBorders>
            <w:vAlign w:val="center"/>
          </w:tcPr>
          <w:p w14:paraId="2558816B">
            <w:pPr>
              <w:widowControl/>
              <w:jc w:val="center"/>
              <w:textAlignment w:val="center"/>
              <w:rPr>
                <w:color w:val="000000"/>
              </w:rPr>
            </w:pPr>
            <w:r>
              <w:rPr>
                <w:rFonts w:hint="eastAsia" w:cs="宋体"/>
                <w:color w:val="000000"/>
              </w:rPr>
              <w:t>公众安全感</w:t>
            </w:r>
          </w:p>
        </w:tc>
        <w:tc>
          <w:tcPr>
            <w:tcW w:w="1010" w:type="pct"/>
            <w:tcBorders>
              <w:top w:val="single" w:color="000000" w:sz="4" w:space="0"/>
              <w:left w:val="single" w:color="000000" w:sz="4" w:space="0"/>
              <w:bottom w:val="single" w:color="000000" w:sz="4" w:space="0"/>
              <w:right w:val="single" w:color="000000" w:sz="4" w:space="0"/>
            </w:tcBorders>
            <w:vAlign w:val="center"/>
          </w:tcPr>
          <w:p w14:paraId="29121EBC">
            <w:pPr>
              <w:widowControl/>
              <w:jc w:val="center"/>
              <w:textAlignment w:val="center"/>
              <w:rPr>
                <w:color w:val="000000"/>
              </w:rPr>
            </w:pPr>
            <w:r>
              <w:rPr>
                <w:color w:val="000000"/>
              </w:rPr>
              <w:t>95%</w:t>
            </w:r>
          </w:p>
        </w:tc>
        <w:tc>
          <w:tcPr>
            <w:tcW w:w="549" w:type="pct"/>
            <w:tcBorders>
              <w:top w:val="single" w:color="000000" w:sz="4" w:space="0"/>
              <w:left w:val="single" w:color="000000" w:sz="4" w:space="0"/>
              <w:bottom w:val="single" w:color="000000" w:sz="4" w:space="0"/>
              <w:right w:val="single" w:color="000000" w:sz="4" w:space="0"/>
            </w:tcBorders>
            <w:vAlign w:val="center"/>
          </w:tcPr>
          <w:p w14:paraId="520ED601">
            <w:pPr>
              <w:widowControl/>
              <w:jc w:val="center"/>
              <w:textAlignment w:val="center"/>
              <w:rPr>
                <w:color w:val="000000"/>
              </w:rPr>
            </w:pPr>
            <w:r>
              <w:rPr>
                <w:rFonts w:hint="eastAsia" w:cs="宋体"/>
                <w:color w:val="000000"/>
              </w:rPr>
              <w:t>预期性</w:t>
            </w:r>
          </w:p>
        </w:tc>
      </w:tr>
      <w:tr w14:paraId="19A4F210">
        <w:tblPrEx>
          <w:tblCellMar>
            <w:top w:w="0" w:type="dxa"/>
            <w:left w:w="108" w:type="dxa"/>
            <w:bottom w:w="0" w:type="dxa"/>
            <w:right w:w="108" w:type="dxa"/>
          </w:tblCellMar>
        </w:tblPrEx>
        <w:trPr>
          <w:trHeight w:val="27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30CF9DEC">
            <w:pPr>
              <w:widowControl/>
              <w:jc w:val="center"/>
              <w:textAlignment w:val="center"/>
              <w:rPr>
                <w:color w:val="000000"/>
              </w:rPr>
            </w:pPr>
            <w:r>
              <w:rPr>
                <w:rFonts w:hint="eastAsia" w:cs="宋体"/>
                <w:color w:val="000000"/>
              </w:rPr>
              <w:t>最文化的</w:t>
            </w:r>
          </w:p>
          <w:p w14:paraId="3FE292F1">
            <w:pPr>
              <w:widowControl/>
              <w:jc w:val="center"/>
              <w:textAlignment w:val="center"/>
              <w:rPr>
                <w:color w:val="000000"/>
              </w:rPr>
            </w:pPr>
            <w:r>
              <w:rPr>
                <w:rFonts w:hint="eastAsia" w:cs="宋体"/>
                <w:color w:val="000000"/>
              </w:rPr>
              <w:t>美丽古都</w:t>
            </w:r>
          </w:p>
          <w:p w14:paraId="1D114DB0">
            <w:pPr>
              <w:widowControl/>
              <w:jc w:val="center"/>
              <w:textAlignment w:val="center"/>
              <w:rPr>
                <w:color w:val="000000"/>
              </w:rPr>
            </w:pPr>
            <w:r>
              <w:rPr>
                <w:rFonts w:hint="eastAsia" w:cs="宋体"/>
                <w:color w:val="000000"/>
              </w:rPr>
              <w:t>核心区</w:t>
            </w:r>
          </w:p>
        </w:tc>
        <w:tc>
          <w:tcPr>
            <w:tcW w:w="406" w:type="pct"/>
            <w:tcBorders>
              <w:top w:val="single" w:color="000000" w:sz="4" w:space="0"/>
              <w:left w:val="single" w:color="000000" w:sz="4" w:space="0"/>
              <w:bottom w:val="single" w:color="000000" w:sz="4" w:space="0"/>
              <w:right w:val="single" w:color="000000" w:sz="4" w:space="0"/>
            </w:tcBorders>
            <w:vAlign w:val="center"/>
          </w:tcPr>
          <w:p w14:paraId="43FF9C13">
            <w:pPr>
              <w:widowControl/>
              <w:jc w:val="center"/>
              <w:textAlignment w:val="center"/>
              <w:rPr>
                <w:color w:val="000000"/>
              </w:rPr>
            </w:pPr>
            <w:r>
              <w:rPr>
                <w:color w:val="000000"/>
              </w:rPr>
              <w:t>22</w:t>
            </w:r>
          </w:p>
        </w:tc>
        <w:tc>
          <w:tcPr>
            <w:tcW w:w="2309" w:type="pct"/>
            <w:tcBorders>
              <w:top w:val="single" w:color="000000" w:sz="4" w:space="0"/>
              <w:left w:val="single" w:color="000000" w:sz="4" w:space="0"/>
              <w:bottom w:val="single" w:color="000000" w:sz="4" w:space="0"/>
              <w:right w:val="single" w:color="000000" w:sz="4" w:space="0"/>
            </w:tcBorders>
            <w:vAlign w:val="center"/>
          </w:tcPr>
          <w:p w14:paraId="77C8980E">
            <w:pPr>
              <w:widowControl/>
              <w:jc w:val="center"/>
              <w:textAlignment w:val="center"/>
              <w:rPr>
                <w:color w:val="000000"/>
              </w:rPr>
            </w:pPr>
            <w:r>
              <w:rPr>
                <w:rFonts w:hint="eastAsia" w:cs="宋体"/>
                <w:color w:val="000000"/>
              </w:rPr>
              <w:t>美丽社区覆盖率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4C78718F">
            <w:pPr>
              <w:widowControl/>
              <w:jc w:val="center"/>
              <w:textAlignment w:val="center"/>
              <w:rPr>
                <w:color w:val="000000"/>
              </w:rPr>
            </w:pPr>
            <w:r>
              <w:rPr>
                <w:color w:val="000000"/>
              </w:rPr>
              <w:t>92%</w:t>
            </w:r>
          </w:p>
        </w:tc>
        <w:tc>
          <w:tcPr>
            <w:tcW w:w="549" w:type="pct"/>
            <w:tcBorders>
              <w:top w:val="single" w:color="000000" w:sz="4" w:space="0"/>
              <w:left w:val="single" w:color="000000" w:sz="4" w:space="0"/>
              <w:bottom w:val="single" w:color="000000" w:sz="4" w:space="0"/>
              <w:right w:val="single" w:color="000000" w:sz="4" w:space="0"/>
            </w:tcBorders>
            <w:vAlign w:val="center"/>
          </w:tcPr>
          <w:p w14:paraId="1A027F51">
            <w:pPr>
              <w:widowControl/>
              <w:jc w:val="center"/>
              <w:textAlignment w:val="center"/>
              <w:rPr>
                <w:color w:val="000000"/>
              </w:rPr>
            </w:pPr>
            <w:r>
              <w:rPr>
                <w:rFonts w:hint="eastAsia" w:cs="宋体"/>
                <w:color w:val="000000"/>
              </w:rPr>
              <w:t>预期性</w:t>
            </w:r>
          </w:p>
        </w:tc>
      </w:tr>
      <w:tr w14:paraId="140DE19C">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646FC053">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F1B13C6">
            <w:pPr>
              <w:widowControl/>
              <w:jc w:val="center"/>
              <w:textAlignment w:val="center"/>
              <w:rPr>
                <w:color w:val="000000"/>
              </w:rPr>
            </w:pPr>
            <w:r>
              <w:rPr>
                <w:color w:val="000000"/>
              </w:rPr>
              <w:t>23</w:t>
            </w:r>
          </w:p>
        </w:tc>
        <w:tc>
          <w:tcPr>
            <w:tcW w:w="2309" w:type="pct"/>
            <w:tcBorders>
              <w:top w:val="single" w:color="000000" w:sz="4" w:space="0"/>
              <w:left w:val="single" w:color="000000" w:sz="4" w:space="0"/>
              <w:bottom w:val="single" w:color="000000" w:sz="4" w:space="0"/>
              <w:right w:val="single" w:color="000000" w:sz="4" w:space="0"/>
            </w:tcBorders>
            <w:vAlign w:val="center"/>
          </w:tcPr>
          <w:p w14:paraId="0C1C0392">
            <w:pPr>
              <w:widowControl/>
              <w:jc w:val="center"/>
              <w:textAlignment w:val="center"/>
              <w:rPr>
                <w:color w:val="000000"/>
              </w:rPr>
            </w:pPr>
            <w:r>
              <w:rPr>
                <w:color w:val="000000"/>
              </w:rPr>
              <w:t>PM2.5</w:t>
            </w:r>
            <w:r>
              <w:rPr>
                <w:rFonts w:hint="eastAsia" w:cs="宋体"/>
                <w:color w:val="000000"/>
              </w:rPr>
              <w:t>浓度年均值</w:t>
            </w:r>
          </w:p>
        </w:tc>
        <w:tc>
          <w:tcPr>
            <w:tcW w:w="1010" w:type="pct"/>
            <w:tcBorders>
              <w:top w:val="single" w:color="000000" w:sz="4" w:space="0"/>
              <w:left w:val="single" w:color="000000" w:sz="4" w:space="0"/>
              <w:bottom w:val="single" w:color="000000" w:sz="4" w:space="0"/>
              <w:right w:val="single" w:color="000000" w:sz="4" w:space="0"/>
            </w:tcBorders>
            <w:vAlign w:val="center"/>
          </w:tcPr>
          <w:p w14:paraId="20C722B8">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134CE79B">
            <w:pPr>
              <w:widowControl/>
              <w:jc w:val="center"/>
              <w:textAlignment w:val="center"/>
              <w:rPr>
                <w:color w:val="000000"/>
              </w:rPr>
            </w:pPr>
            <w:r>
              <w:rPr>
                <w:rFonts w:hint="eastAsia" w:cs="宋体"/>
                <w:color w:val="000000"/>
              </w:rPr>
              <w:t>约束性</w:t>
            </w:r>
          </w:p>
        </w:tc>
      </w:tr>
      <w:tr w14:paraId="1B2FC90B">
        <w:tblPrEx>
          <w:tblCellMar>
            <w:top w:w="0" w:type="dxa"/>
            <w:left w:w="108" w:type="dxa"/>
            <w:bottom w:w="0" w:type="dxa"/>
            <w:right w:w="108" w:type="dxa"/>
          </w:tblCellMar>
        </w:tblPrEx>
        <w:trPr>
          <w:trHeight w:val="32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E757E9A">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8B7C2C9">
            <w:pPr>
              <w:widowControl/>
              <w:jc w:val="center"/>
              <w:textAlignment w:val="center"/>
              <w:rPr>
                <w:color w:val="000000"/>
              </w:rPr>
            </w:pPr>
            <w:r>
              <w:rPr>
                <w:color w:val="000000"/>
              </w:rPr>
              <w:t>24</w:t>
            </w:r>
          </w:p>
        </w:tc>
        <w:tc>
          <w:tcPr>
            <w:tcW w:w="2309" w:type="pct"/>
            <w:tcBorders>
              <w:top w:val="single" w:color="000000" w:sz="4" w:space="0"/>
              <w:left w:val="single" w:color="000000" w:sz="4" w:space="0"/>
              <w:bottom w:val="single" w:color="000000" w:sz="4" w:space="0"/>
              <w:right w:val="single" w:color="000000" w:sz="4" w:space="0"/>
            </w:tcBorders>
            <w:vAlign w:val="center"/>
          </w:tcPr>
          <w:p w14:paraId="2799FF03">
            <w:pPr>
              <w:widowControl/>
              <w:jc w:val="center"/>
              <w:textAlignment w:val="center"/>
              <w:rPr>
                <w:color w:val="000000"/>
              </w:rPr>
            </w:pPr>
            <w:r>
              <w:rPr>
                <w:rFonts w:hint="eastAsia" w:cs="宋体"/>
                <w:color w:val="000000"/>
              </w:rPr>
              <w:t>空气质量达到优良天数比例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70222276">
            <w:pPr>
              <w:widowControl/>
              <w:jc w:val="center"/>
              <w:textAlignment w:val="center"/>
              <w:rPr>
                <w:color w:val="000000"/>
              </w:rPr>
            </w:pPr>
            <w:r>
              <w:rPr>
                <w:color w:val="000000"/>
              </w:rPr>
              <w:t>80%</w:t>
            </w:r>
          </w:p>
        </w:tc>
        <w:tc>
          <w:tcPr>
            <w:tcW w:w="549" w:type="pct"/>
            <w:tcBorders>
              <w:top w:val="single" w:color="000000" w:sz="4" w:space="0"/>
              <w:left w:val="single" w:color="000000" w:sz="4" w:space="0"/>
              <w:bottom w:val="single" w:color="000000" w:sz="4" w:space="0"/>
              <w:right w:val="single" w:color="000000" w:sz="4" w:space="0"/>
            </w:tcBorders>
            <w:vAlign w:val="center"/>
          </w:tcPr>
          <w:p w14:paraId="5978FACA">
            <w:pPr>
              <w:widowControl/>
              <w:jc w:val="center"/>
              <w:textAlignment w:val="center"/>
              <w:rPr>
                <w:color w:val="000000"/>
              </w:rPr>
            </w:pPr>
            <w:r>
              <w:rPr>
                <w:rFonts w:hint="eastAsia" w:cs="宋体"/>
                <w:color w:val="000000"/>
              </w:rPr>
              <w:t>约束性</w:t>
            </w:r>
          </w:p>
        </w:tc>
      </w:tr>
      <w:tr w14:paraId="1800D774">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5CE6AEE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3D820738">
            <w:pPr>
              <w:widowControl/>
              <w:jc w:val="center"/>
              <w:textAlignment w:val="center"/>
              <w:rPr>
                <w:color w:val="000000"/>
              </w:rPr>
            </w:pPr>
            <w:r>
              <w:rPr>
                <w:color w:val="000000"/>
              </w:rPr>
              <w:t>25</w:t>
            </w:r>
          </w:p>
        </w:tc>
        <w:tc>
          <w:tcPr>
            <w:tcW w:w="2309" w:type="pct"/>
            <w:tcBorders>
              <w:top w:val="single" w:color="000000" w:sz="4" w:space="0"/>
              <w:left w:val="single" w:color="000000" w:sz="4" w:space="0"/>
              <w:bottom w:val="single" w:color="000000" w:sz="4" w:space="0"/>
              <w:right w:val="single" w:color="000000" w:sz="4" w:space="0"/>
            </w:tcBorders>
            <w:vAlign w:val="center"/>
          </w:tcPr>
          <w:p w14:paraId="5E55114E">
            <w:pPr>
              <w:widowControl/>
              <w:jc w:val="center"/>
              <w:textAlignment w:val="center"/>
              <w:rPr>
                <w:color w:val="000000"/>
              </w:rPr>
            </w:pPr>
            <w:r>
              <w:rPr>
                <w:rFonts w:hint="eastAsia" w:cs="宋体"/>
                <w:color w:val="000000"/>
              </w:rPr>
              <w:t>地表水国省考断面水质达到或优于Ⅲ类水体比例</w:t>
            </w:r>
          </w:p>
        </w:tc>
        <w:tc>
          <w:tcPr>
            <w:tcW w:w="1010" w:type="pct"/>
            <w:tcBorders>
              <w:top w:val="single" w:color="000000" w:sz="4" w:space="0"/>
              <w:left w:val="single" w:color="000000" w:sz="4" w:space="0"/>
              <w:bottom w:val="single" w:color="000000" w:sz="4" w:space="0"/>
              <w:right w:val="single" w:color="000000" w:sz="4" w:space="0"/>
            </w:tcBorders>
            <w:vAlign w:val="center"/>
          </w:tcPr>
          <w:p w14:paraId="08FB183F">
            <w:pPr>
              <w:widowControl/>
              <w:jc w:val="center"/>
              <w:textAlignment w:val="center"/>
              <w:rPr>
                <w:color w:val="000000"/>
              </w:rPr>
            </w:pPr>
            <w:r>
              <w:rPr>
                <w:rFonts w:hint="eastAsia" w:cs="宋体"/>
                <w:color w:val="000000"/>
              </w:rPr>
              <w:t>达市要求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52812BDA">
            <w:pPr>
              <w:widowControl/>
              <w:jc w:val="center"/>
              <w:textAlignment w:val="center"/>
              <w:rPr>
                <w:color w:val="000000"/>
              </w:rPr>
            </w:pPr>
            <w:r>
              <w:rPr>
                <w:rFonts w:hint="eastAsia" w:cs="宋体"/>
                <w:color w:val="000000"/>
              </w:rPr>
              <w:t>约束性</w:t>
            </w:r>
          </w:p>
        </w:tc>
      </w:tr>
      <w:tr w14:paraId="7D763B55">
        <w:tblPrEx>
          <w:tblCellMar>
            <w:top w:w="0" w:type="dxa"/>
            <w:left w:w="108" w:type="dxa"/>
            <w:bottom w:w="0" w:type="dxa"/>
            <w:right w:w="108" w:type="dxa"/>
          </w:tblCellMar>
        </w:tblPrEx>
        <w:trPr>
          <w:trHeight w:val="365"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9C5D8E3">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5E788941">
            <w:pPr>
              <w:widowControl/>
              <w:jc w:val="center"/>
              <w:textAlignment w:val="center"/>
              <w:rPr>
                <w:color w:val="000000"/>
              </w:rPr>
            </w:pPr>
            <w:r>
              <w:rPr>
                <w:color w:val="000000"/>
              </w:rPr>
              <w:t>26</w:t>
            </w:r>
          </w:p>
        </w:tc>
        <w:tc>
          <w:tcPr>
            <w:tcW w:w="2309" w:type="pct"/>
            <w:tcBorders>
              <w:top w:val="single" w:color="000000" w:sz="4" w:space="0"/>
              <w:left w:val="single" w:color="000000" w:sz="4" w:space="0"/>
              <w:bottom w:val="single" w:color="000000" w:sz="4" w:space="0"/>
              <w:right w:val="single" w:color="000000" w:sz="4" w:space="0"/>
            </w:tcBorders>
            <w:vAlign w:val="center"/>
          </w:tcPr>
          <w:p w14:paraId="1413C0FF">
            <w:pPr>
              <w:widowControl/>
              <w:jc w:val="center"/>
              <w:textAlignment w:val="center"/>
              <w:rPr>
                <w:color w:val="000000"/>
              </w:rPr>
            </w:pPr>
            <w:r>
              <w:rPr>
                <w:rFonts w:hint="eastAsia" w:cs="宋体"/>
                <w:color w:val="000000"/>
              </w:rPr>
              <w:t>居民小区生活垃圾分类达标率</w:t>
            </w:r>
          </w:p>
        </w:tc>
        <w:tc>
          <w:tcPr>
            <w:tcW w:w="1010" w:type="pct"/>
            <w:tcBorders>
              <w:top w:val="single" w:color="000000" w:sz="4" w:space="0"/>
              <w:left w:val="single" w:color="000000" w:sz="4" w:space="0"/>
              <w:bottom w:val="single" w:color="000000" w:sz="4" w:space="0"/>
              <w:right w:val="single" w:color="000000" w:sz="4" w:space="0"/>
            </w:tcBorders>
            <w:vAlign w:val="center"/>
          </w:tcPr>
          <w:p w14:paraId="64FB75B6">
            <w:pPr>
              <w:widowControl/>
              <w:jc w:val="center"/>
              <w:textAlignment w:val="center"/>
              <w:rPr>
                <w:color w:val="000000"/>
              </w:rPr>
            </w:pPr>
            <w:r>
              <w:rPr>
                <w:color w:val="000000"/>
              </w:rPr>
              <w:t>100%</w:t>
            </w:r>
          </w:p>
        </w:tc>
        <w:tc>
          <w:tcPr>
            <w:tcW w:w="549" w:type="pct"/>
            <w:tcBorders>
              <w:top w:val="single" w:color="000000" w:sz="4" w:space="0"/>
              <w:left w:val="single" w:color="000000" w:sz="4" w:space="0"/>
              <w:bottom w:val="single" w:color="000000" w:sz="4" w:space="0"/>
              <w:right w:val="single" w:color="000000" w:sz="4" w:space="0"/>
            </w:tcBorders>
            <w:vAlign w:val="center"/>
          </w:tcPr>
          <w:p w14:paraId="03628367">
            <w:pPr>
              <w:widowControl/>
              <w:jc w:val="center"/>
              <w:textAlignment w:val="center"/>
              <w:rPr>
                <w:color w:val="000000"/>
              </w:rPr>
            </w:pPr>
            <w:r>
              <w:rPr>
                <w:rFonts w:hint="eastAsia" w:cs="宋体"/>
                <w:color w:val="000000"/>
              </w:rPr>
              <w:t>约束性</w:t>
            </w:r>
          </w:p>
        </w:tc>
      </w:tr>
      <w:tr w14:paraId="165EC0C2">
        <w:tblPrEx>
          <w:tblCellMar>
            <w:top w:w="0" w:type="dxa"/>
            <w:left w:w="108" w:type="dxa"/>
            <w:bottom w:w="0" w:type="dxa"/>
            <w:right w:w="108" w:type="dxa"/>
          </w:tblCellMar>
        </w:tblPrEx>
        <w:trPr>
          <w:trHeight w:val="340" w:hRule="atLeast"/>
        </w:trPr>
        <w:tc>
          <w:tcPr>
            <w:tcW w:w="726" w:type="pct"/>
            <w:vMerge w:val="restart"/>
            <w:tcBorders>
              <w:top w:val="single" w:color="000000" w:sz="4" w:space="0"/>
              <w:left w:val="single" w:color="000000" w:sz="4" w:space="0"/>
              <w:bottom w:val="single" w:color="000000" w:sz="4" w:space="0"/>
              <w:right w:val="single" w:color="000000" w:sz="4" w:space="0"/>
            </w:tcBorders>
            <w:vAlign w:val="center"/>
          </w:tcPr>
          <w:p w14:paraId="4B4F3D19">
            <w:pPr>
              <w:widowControl/>
              <w:jc w:val="center"/>
              <w:textAlignment w:val="center"/>
              <w:rPr>
                <w:color w:val="000000"/>
              </w:rPr>
            </w:pPr>
            <w:r>
              <w:rPr>
                <w:rFonts w:hint="eastAsia" w:cs="宋体"/>
                <w:color w:val="000000"/>
              </w:rPr>
              <w:t>最南京的</w:t>
            </w:r>
          </w:p>
          <w:p w14:paraId="6542765D">
            <w:pPr>
              <w:widowControl/>
              <w:jc w:val="center"/>
              <w:textAlignment w:val="center"/>
              <w:rPr>
                <w:color w:val="000000"/>
              </w:rPr>
            </w:pPr>
            <w:r>
              <w:rPr>
                <w:rFonts w:hint="eastAsia" w:cs="宋体"/>
                <w:color w:val="000000"/>
              </w:rPr>
              <w:t>综合消费</w:t>
            </w:r>
          </w:p>
          <w:p w14:paraId="6E975BB8">
            <w:pPr>
              <w:widowControl/>
              <w:jc w:val="center"/>
              <w:textAlignment w:val="center"/>
              <w:rPr>
                <w:color w:val="000000"/>
              </w:rPr>
            </w:pPr>
            <w:r>
              <w:rPr>
                <w:rFonts w:hint="eastAsia" w:cs="宋体"/>
                <w:color w:val="000000"/>
              </w:rPr>
              <w:t>集聚区</w:t>
            </w:r>
          </w:p>
        </w:tc>
        <w:tc>
          <w:tcPr>
            <w:tcW w:w="406" w:type="pct"/>
            <w:tcBorders>
              <w:top w:val="single" w:color="000000" w:sz="4" w:space="0"/>
              <w:left w:val="single" w:color="000000" w:sz="4" w:space="0"/>
              <w:bottom w:val="single" w:color="000000" w:sz="4" w:space="0"/>
              <w:right w:val="single" w:color="000000" w:sz="4" w:space="0"/>
            </w:tcBorders>
            <w:vAlign w:val="center"/>
          </w:tcPr>
          <w:p w14:paraId="2222C6D0">
            <w:pPr>
              <w:widowControl/>
              <w:jc w:val="center"/>
              <w:textAlignment w:val="center"/>
              <w:rPr>
                <w:color w:val="000000"/>
              </w:rPr>
            </w:pPr>
            <w:r>
              <w:rPr>
                <w:color w:val="000000"/>
              </w:rPr>
              <w:t>27</w:t>
            </w:r>
          </w:p>
        </w:tc>
        <w:tc>
          <w:tcPr>
            <w:tcW w:w="2309" w:type="pct"/>
            <w:tcBorders>
              <w:top w:val="single" w:color="000000" w:sz="4" w:space="0"/>
              <w:left w:val="single" w:color="000000" w:sz="4" w:space="0"/>
              <w:bottom w:val="single" w:color="000000" w:sz="4" w:space="0"/>
              <w:right w:val="single" w:color="000000" w:sz="4" w:space="0"/>
            </w:tcBorders>
            <w:vAlign w:val="center"/>
          </w:tcPr>
          <w:p w14:paraId="0CCDA684">
            <w:pPr>
              <w:widowControl/>
              <w:jc w:val="center"/>
              <w:textAlignment w:val="center"/>
              <w:rPr>
                <w:color w:val="000000"/>
              </w:rPr>
            </w:pPr>
            <w:r>
              <w:rPr>
                <w:rFonts w:hint="eastAsia" w:cs="宋体"/>
                <w:color w:val="000000"/>
              </w:rPr>
              <w:t>社会消费品零售总额</w:t>
            </w:r>
            <w:r>
              <w:rPr>
                <w:rStyle w:val="26"/>
                <w:rFonts w:hint="eastAsia" w:ascii="Times New Roman" w:hAnsi="Times New Roman"/>
              </w:rPr>
              <w:t>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1C053BD5">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59F04AD6">
            <w:pPr>
              <w:widowControl/>
              <w:jc w:val="center"/>
              <w:textAlignment w:val="center"/>
              <w:rPr>
                <w:color w:val="000000"/>
              </w:rPr>
            </w:pPr>
            <w:r>
              <w:rPr>
                <w:rFonts w:hint="eastAsia" w:cs="宋体"/>
                <w:color w:val="000000"/>
              </w:rPr>
              <w:t>预期性</w:t>
            </w:r>
          </w:p>
        </w:tc>
      </w:tr>
      <w:tr w14:paraId="08B77B66">
        <w:tblPrEx>
          <w:tblCellMar>
            <w:top w:w="0" w:type="dxa"/>
            <w:left w:w="108" w:type="dxa"/>
            <w:bottom w:w="0" w:type="dxa"/>
            <w:right w:w="108" w:type="dxa"/>
          </w:tblCellMar>
        </w:tblPrEx>
        <w:trPr>
          <w:trHeight w:val="34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173AABF2">
            <w:pPr>
              <w:widowControl/>
              <w:jc w:val="center"/>
              <w:textAlignment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4DB78A0A">
            <w:pPr>
              <w:widowControl/>
              <w:jc w:val="center"/>
              <w:textAlignment w:val="center"/>
              <w:rPr>
                <w:color w:val="000000"/>
              </w:rPr>
            </w:pPr>
            <w:r>
              <w:rPr>
                <w:color w:val="000000"/>
              </w:rPr>
              <w:t>28</w:t>
            </w:r>
          </w:p>
        </w:tc>
        <w:tc>
          <w:tcPr>
            <w:tcW w:w="2309" w:type="pct"/>
            <w:tcBorders>
              <w:top w:val="single" w:color="000000" w:sz="4" w:space="0"/>
              <w:left w:val="single" w:color="000000" w:sz="4" w:space="0"/>
              <w:bottom w:val="single" w:color="000000" w:sz="4" w:space="0"/>
              <w:right w:val="single" w:color="000000" w:sz="4" w:space="0"/>
            </w:tcBorders>
            <w:vAlign w:val="center"/>
          </w:tcPr>
          <w:p w14:paraId="6DA79272">
            <w:pPr>
              <w:widowControl/>
              <w:jc w:val="center"/>
              <w:textAlignment w:val="center"/>
              <w:rPr>
                <w:color w:val="000000"/>
              </w:rPr>
            </w:pPr>
            <w:r>
              <w:rPr>
                <w:rFonts w:hint="eastAsia" w:cs="宋体"/>
                <w:color w:val="000000"/>
              </w:rPr>
              <w:t>外贸进出口总额增速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32B14B07">
            <w:pPr>
              <w:widowControl/>
              <w:jc w:val="center"/>
              <w:textAlignment w:val="center"/>
              <w:rPr>
                <w:color w:val="000000"/>
              </w:rPr>
            </w:pPr>
            <w:r>
              <w:rPr>
                <w:color w:val="000000"/>
              </w:rPr>
              <w:t>8%</w:t>
            </w:r>
          </w:p>
        </w:tc>
        <w:tc>
          <w:tcPr>
            <w:tcW w:w="549" w:type="pct"/>
            <w:tcBorders>
              <w:top w:val="single" w:color="000000" w:sz="4" w:space="0"/>
              <w:left w:val="single" w:color="000000" w:sz="4" w:space="0"/>
              <w:bottom w:val="single" w:color="000000" w:sz="4" w:space="0"/>
              <w:right w:val="single" w:color="000000" w:sz="4" w:space="0"/>
            </w:tcBorders>
            <w:vAlign w:val="center"/>
          </w:tcPr>
          <w:p w14:paraId="6904E286">
            <w:pPr>
              <w:widowControl/>
              <w:jc w:val="center"/>
              <w:textAlignment w:val="center"/>
              <w:rPr>
                <w:color w:val="000000"/>
              </w:rPr>
            </w:pPr>
            <w:r>
              <w:rPr>
                <w:rFonts w:hint="eastAsia" w:cs="宋体"/>
                <w:color w:val="000000"/>
              </w:rPr>
              <w:t>预期性</w:t>
            </w:r>
          </w:p>
        </w:tc>
      </w:tr>
      <w:tr w14:paraId="7E3400B5">
        <w:tblPrEx>
          <w:tblCellMar>
            <w:top w:w="0" w:type="dxa"/>
            <w:left w:w="108" w:type="dxa"/>
            <w:bottom w:w="0" w:type="dxa"/>
            <w:right w:w="108" w:type="dxa"/>
          </w:tblCellMar>
        </w:tblPrEx>
        <w:trPr>
          <w:trHeight w:val="27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77C74DDF">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706D6AF0">
            <w:pPr>
              <w:widowControl/>
              <w:jc w:val="center"/>
              <w:textAlignment w:val="center"/>
              <w:rPr>
                <w:color w:val="000000"/>
              </w:rPr>
            </w:pPr>
            <w:r>
              <w:rPr>
                <w:color w:val="000000"/>
              </w:rPr>
              <w:t>29</w:t>
            </w:r>
          </w:p>
        </w:tc>
        <w:tc>
          <w:tcPr>
            <w:tcW w:w="2309" w:type="pct"/>
            <w:tcBorders>
              <w:top w:val="single" w:color="000000" w:sz="4" w:space="0"/>
              <w:left w:val="single" w:color="000000" w:sz="4" w:space="0"/>
              <w:bottom w:val="single" w:color="000000" w:sz="4" w:space="0"/>
              <w:right w:val="single" w:color="000000" w:sz="4" w:space="0"/>
            </w:tcBorders>
            <w:vAlign w:val="center"/>
          </w:tcPr>
          <w:p w14:paraId="360C777E">
            <w:pPr>
              <w:widowControl/>
              <w:jc w:val="center"/>
              <w:textAlignment w:val="center"/>
              <w:rPr>
                <w:color w:val="000000"/>
              </w:rPr>
            </w:pPr>
            <w:r>
              <w:rPr>
                <w:rFonts w:hint="eastAsia" w:cs="宋体"/>
                <w:color w:val="000000"/>
              </w:rPr>
              <w:t>实际利用外资增速</w:t>
            </w:r>
          </w:p>
        </w:tc>
        <w:tc>
          <w:tcPr>
            <w:tcW w:w="1010" w:type="pct"/>
            <w:tcBorders>
              <w:top w:val="single" w:color="000000" w:sz="4" w:space="0"/>
              <w:left w:val="single" w:color="000000" w:sz="4" w:space="0"/>
              <w:bottom w:val="single" w:color="000000" w:sz="4" w:space="0"/>
              <w:right w:val="single" w:color="000000" w:sz="4" w:space="0"/>
            </w:tcBorders>
            <w:vAlign w:val="center"/>
          </w:tcPr>
          <w:p w14:paraId="2FB535F7">
            <w:pPr>
              <w:widowControl/>
              <w:jc w:val="center"/>
              <w:textAlignment w:val="center"/>
              <w:rPr>
                <w:color w:val="000000"/>
              </w:rPr>
            </w:pPr>
            <w:r>
              <w:rPr>
                <w:color w:val="000000"/>
              </w:rPr>
              <w:t>11%</w:t>
            </w:r>
          </w:p>
        </w:tc>
        <w:tc>
          <w:tcPr>
            <w:tcW w:w="549" w:type="pct"/>
            <w:tcBorders>
              <w:top w:val="single" w:color="000000" w:sz="4" w:space="0"/>
              <w:left w:val="single" w:color="000000" w:sz="4" w:space="0"/>
              <w:bottom w:val="single" w:color="000000" w:sz="4" w:space="0"/>
              <w:right w:val="single" w:color="000000" w:sz="4" w:space="0"/>
            </w:tcBorders>
            <w:vAlign w:val="center"/>
          </w:tcPr>
          <w:p w14:paraId="5B19F56C">
            <w:pPr>
              <w:widowControl/>
              <w:jc w:val="center"/>
              <w:textAlignment w:val="center"/>
              <w:rPr>
                <w:color w:val="000000"/>
              </w:rPr>
            </w:pPr>
            <w:r>
              <w:rPr>
                <w:rFonts w:hint="eastAsia" w:cs="宋体"/>
                <w:color w:val="000000"/>
              </w:rPr>
              <w:t>预期性</w:t>
            </w:r>
          </w:p>
        </w:tc>
      </w:tr>
      <w:tr w14:paraId="38E102AE">
        <w:tblPrEx>
          <w:tblCellMar>
            <w:top w:w="0" w:type="dxa"/>
            <w:left w:w="108" w:type="dxa"/>
            <w:bottom w:w="0" w:type="dxa"/>
            <w:right w:w="108" w:type="dxa"/>
          </w:tblCellMar>
        </w:tblPrEx>
        <w:trPr>
          <w:trHeight w:val="34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46C9F0A5">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6330DB5B">
            <w:pPr>
              <w:widowControl/>
              <w:jc w:val="center"/>
              <w:textAlignment w:val="center"/>
              <w:rPr>
                <w:color w:val="000000"/>
              </w:rPr>
            </w:pPr>
            <w:r>
              <w:rPr>
                <w:color w:val="000000"/>
              </w:rPr>
              <w:t>30</w:t>
            </w:r>
          </w:p>
        </w:tc>
        <w:tc>
          <w:tcPr>
            <w:tcW w:w="2309" w:type="pct"/>
            <w:tcBorders>
              <w:top w:val="single" w:color="000000" w:sz="4" w:space="0"/>
              <w:left w:val="single" w:color="000000" w:sz="4" w:space="0"/>
              <w:bottom w:val="single" w:color="000000" w:sz="4" w:space="0"/>
              <w:right w:val="single" w:color="000000" w:sz="4" w:space="0"/>
            </w:tcBorders>
            <w:vAlign w:val="center"/>
          </w:tcPr>
          <w:p w14:paraId="49F77BC5">
            <w:pPr>
              <w:widowControl/>
              <w:jc w:val="center"/>
              <w:textAlignment w:val="center"/>
              <w:rPr>
                <w:color w:val="000000"/>
              </w:rPr>
            </w:pPr>
            <w:r>
              <w:rPr>
                <w:rFonts w:hint="eastAsia" w:cs="宋体"/>
                <w:color w:val="000000"/>
              </w:rPr>
              <w:t>旅游总收入</w:t>
            </w:r>
          </w:p>
        </w:tc>
        <w:tc>
          <w:tcPr>
            <w:tcW w:w="1010" w:type="pct"/>
            <w:tcBorders>
              <w:top w:val="single" w:color="000000" w:sz="4" w:space="0"/>
              <w:left w:val="single" w:color="000000" w:sz="4" w:space="0"/>
              <w:bottom w:val="single" w:color="000000" w:sz="4" w:space="0"/>
              <w:right w:val="single" w:color="000000" w:sz="4" w:space="0"/>
            </w:tcBorders>
            <w:vAlign w:val="center"/>
          </w:tcPr>
          <w:p w14:paraId="636F3F20">
            <w:pPr>
              <w:widowControl/>
              <w:jc w:val="center"/>
              <w:textAlignment w:val="center"/>
              <w:rPr>
                <w:color w:val="000000"/>
              </w:rPr>
            </w:pPr>
            <w:r>
              <w:rPr>
                <w:color w:val="000000"/>
              </w:rPr>
              <w:t>1500</w:t>
            </w:r>
            <w:r>
              <w:rPr>
                <w:rFonts w:hint="eastAsia" w:cs="宋体"/>
                <w:color w:val="000000"/>
              </w:rPr>
              <w:t>亿元</w:t>
            </w:r>
          </w:p>
        </w:tc>
        <w:tc>
          <w:tcPr>
            <w:tcW w:w="549" w:type="pct"/>
            <w:tcBorders>
              <w:top w:val="single" w:color="000000" w:sz="4" w:space="0"/>
              <w:left w:val="single" w:color="000000" w:sz="4" w:space="0"/>
              <w:bottom w:val="single" w:color="000000" w:sz="4" w:space="0"/>
              <w:right w:val="single" w:color="000000" w:sz="4" w:space="0"/>
            </w:tcBorders>
            <w:vAlign w:val="center"/>
          </w:tcPr>
          <w:p w14:paraId="2DA4F7D1">
            <w:pPr>
              <w:widowControl/>
              <w:jc w:val="center"/>
              <w:textAlignment w:val="center"/>
              <w:rPr>
                <w:color w:val="000000"/>
              </w:rPr>
            </w:pPr>
            <w:r>
              <w:rPr>
                <w:rFonts w:hint="eastAsia" w:cs="宋体"/>
                <w:color w:val="000000"/>
              </w:rPr>
              <w:t>预期性</w:t>
            </w:r>
          </w:p>
        </w:tc>
      </w:tr>
      <w:tr w14:paraId="15B44DB2">
        <w:tblPrEx>
          <w:tblCellMar>
            <w:top w:w="0" w:type="dxa"/>
            <w:left w:w="108" w:type="dxa"/>
            <w:bottom w:w="0" w:type="dxa"/>
            <w:right w:w="108" w:type="dxa"/>
          </w:tblCellMar>
        </w:tblPrEx>
        <w:trPr>
          <w:trHeight w:val="350" w:hRule="atLeast"/>
        </w:trPr>
        <w:tc>
          <w:tcPr>
            <w:tcW w:w="726" w:type="pct"/>
            <w:vMerge w:val="continue"/>
            <w:tcBorders>
              <w:top w:val="single" w:color="000000" w:sz="4" w:space="0"/>
              <w:left w:val="single" w:color="000000" w:sz="4" w:space="0"/>
              <w:bottom w:val="single" w:color="000000" w:sz="4" w:space="0"/>
              <w:right w:val="single" w:color="000000" w:sz="4" w:space="0"/>
            </w:tcBorders>
            <w:vAlign w:val="center"/>
          </w:tcPr>
          <w:p w14:paraId="331540B9">
            <w:pPr>
              <w:jc w:val="center"/>
              <w:rPr>
                <w:color w:val="000000"/>
              </w:rPr>
            </w:pPr>
          </w:p>
        </w:tc>
        <w:tc>
          <w:tcPr>
            <w:tcW w:w="406" w:type="pct"/>
            <w:tcBorders>
              <w:top w:val="single" w:color="000000" w:sz="4" w:space="0"/>
              <w:left w:val="single" w:color="000000" w:sz="4" w:space="0"/>
              <w:bottom w:val="single" w:color="000000" w:sz="4" w:space="0"/>
              <w:right w:val="single" w:color="000000" w:sz="4" w:space="0"/>
            </w:tcBorders>
            <w:vAlign w:val="center"/>
          </w:tcPr>
          <w:p w14:paraId="27A459BB">
            <w:pPr>
              <w:widowControl/>
              <w:jc w:val="center"/>
              <w:textAlignment w:val="center"/>
              <w:rPr>
                <w:color w:val="000000"/>
              </w:rPr>
            </w:pPr>
            <w:r>
              <w:rPr>
                <w:color w:val="000000"/>
              </w:rPr>
              <w:t>31</w:t>
            </w:r>
          </w:p>
        </w:tc>
        <w:tc>
          <w:tcPr>
            <w:tcW w:w="2309" w:type="pct"/>
            <w:tcBorders>
              <w:top w:val="single" w:color="000000" w:sz="4" w:space="0"/>
              <w:left w:val="single" w:color="000000" w:sz="4" w:space="0"/>
              <w:bottom w:val="single" w:color="000000" w:sz="4" w:space="0"/>
              <w:right w:val="single" w:color="000000" w:sz="4" w:space="0"/>
            </w:tcBorders>
            <w:vAlign w:val="center"/>
          </w:tcPr>
          <w:p w14:paraId="37BDF98B">
            <w:pPr>
              <w:widowControl/>
              <w:jc w:val="center"/>
              <w:textAlignment w:val="center"/>
              <w:rPr>
                <w:color w:val="000000"/>
              </w:rPr>
            </w:pPr>
            <w:r>
              <w:rPr>
                <w:rFonts w:hint="eastAsia" w:cs="宋体"/>
                <w:color w:val="000000"/>
              </w:rPr>
              <w:t>文化产业增加值占比</w:t>
            </w:r>
          </w:p>
        </w:tc>
        <w:tc>
          <w:tcPr>
            <w:tcW w:w="1010" w:type="pct"/>
            <w:tcBorders>
              <w:top w:val="single" w:color="000000" w:sz="4" w:space="0"/>
              <w:left w:val="single" w:color="000000" w:sz="4" w:space="0"/>
              <w:bottom w:val="single" w:color="000000" w:sz="4" w:space="0"/>
              <w:right w:val="single" w:color="000000" w:sz="4" w:space="0"/>
            </w:tcBorders>
            <w:vAlign w:val="center"/>
          </w:tcPr>
          <w:p w14:paraId="7FFC4EFF">
            <w:pPr>
              <w:widowControl/>
              <w:jc w:val="center"/>
              <w:textAlignment w:val="center"/>
              <w:rPr>
                <w:color w:val="000000"/>
              </w:rPr>
            </w:pPr>
            <w:r>
              <w:rPr>
                <w:color w:val="000000"/>
              </w:rPr>
              <w:t>9%</w:t>
            </w:r>
          </w:p>
        </w:tc>
        <w:tc>
          <w:tcPr>
            <w:tcW w:w="549" w:type="pct"/>
            <w:tcBorders>
              <w:top w:val="single" w:color="000000" w:sz="4" w:space="0"/>
              <w:left w:val="single" w:color="000000" w:sz="4" w:space="0"/>
              <w:bottom w:val="single" w:color="000000" w:sz="4" w:space="0"/>
              <w:right w:val="single" w:color="000000" w:sz="4" w:space="0"/>
            </w:tcBorders>
            <w:vAlign w:val="center"/>
          </w:tcPr>
          <w:p w14:paraId="1060E647">
            <w:pPr>
              <w:widowControl/>
              <w:jc w:val="center"/>
              <w:textAlignment w:val="center"/>
              <w:rPr>
                <w:color w:val="000000"/>
              </w:rPr>
            </w:pPr>
            <w:r>
              <w:rPr>
                <w:rFonts w:hint="eastAsia" w:cs="宋体"/>
                <w:color w:val="000000"/>
              </w:rPr>
              <w:t>预期性</w:t>
            </w:r>
          </w:p>
        </w:tc>
      </w:tr>
    </w:tbl>
    <w:p w14:paraId="353DD604">
      <w:pPr>
        <w:pStyle w:val="3"/>
        <w:keepNext w:val="0"/>
        <w:keepLines w:val="0"/>
        <w:spacing w:before="0" w:after="0" w:line="700" w:lineRule="exact"/>
        <w:jc w:val="center"/>
        <w:rPr>
          <w:rFonts w:ascii="方正小标宋_GBK" w:eastAsia="方正小标宋_GBK"/>
          <w:b w:val="0"/>
          <w:bCs w:val="0"/>
        </w:rPr>
      </w:pPr>
      <w:bookmarkStart w:id="57" w:name="_Toc60466212"/>
    </w:p>
    <w:p w14:paraId="17A76D9A">
      <w:pPr>
        <w:pStyle w:val="3"/>
        <w:keepNext w:val="0"/>
        <w:keepLines w:val="0"/>
        <w:spacing w:before="0" w:after="0" w:line="700" w:lineRule="exact"/>
        <w:jc w:val="center"/>
        <w:rPr>
          <w:rFonts w:ascii="方正小标宋_GBK" w:eastAsia="方正小标宋_GBK"/>
          <w:b w:val="0"/>
          <w:bCs w:val="0"/>
        </w:rPr>
      </w:pPr>
      <w:r>
        <w:rPr>
          <w:rFonts w:hint="eastAsia" w:ascii="方正小标宋_GBK" w:eastAsia="方正小标宋_GBK" w:cs="方正小标宋_GBK"/>
          <w:b w:val="0"/>
          <w:bCs w:val="0"/>
        </w:rPr>
        <w:t>第二篇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硅巷高新双轮驱动，率先突破全域创新，激发秦淮科创活力新能量</w:t>
      </w:r>
      <w:bookmarkEnd w:id="57"/>
    </w:p>
    <w:p w14:paraId="376FFC07">
      <w:pPr>
        <w:spacing w:line="520" w:lineRule="exact"/>
        <w:ind w:firstLine="601"/>
        <w:rPr>
          <w:rFonts w:eastAsia="华文仿宋"/>
          <w:sz w:val="32"/>
          <w:szCs w:val="32"/>
        </w:rPr>
      </w:pPr>
    </w:p>
    <w:p w14:paraId="59C5CEFB">
      <w:pPr>
        <w:spacing w:line="590" w:lineRule="exact"/>
        <w:ind w:firstLine="629"/>
        <w:rPr>
          <w:rFonts w:eastAsia="方正仿宋_GBK"/>
          <w:sz w:val="32"/>
          <w:szCs w:val="32"/>
        </w:rPr>
      </w:pPr>
      <w:r>
        <w:rPr>
          <w:rFonts w:hint="eastAsia" w:eastAsia="方正仿宋_GBK" w:cs="方正仿宋_GBK"/>
          <w:sz w:val="32"/>
          <w:szCs w:val="32"/>
        </w:rPr>
        <w:t>以秦淮硅巷、白下高新为创新驱动主战场、主阵地，依托秦淮大院、大所、名校、名企集聚特点，放大产品研发、模式探索、场景应用等方面的潜在优势，通过推动创新主体跨域协同、创新资源高效集聚、创新要素集约配置、创新人才加速汇聚、创新生态全域营造以及创新服务全链条保障，凸显示范带动作用，打造南京市全域创新生态样板和国际化创新名城示范区。</w:t>
      </w:r>
    </w:p>
    <w:p w14:paraId="17C1D75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58" w:name="_Toc60466213"/>
      <w:r>
        <w:rPr>
          <w:rFonts w:hint="eastAsia" w:ascii="方正黑体_GBK" w:hAnsi="方正黑体_GBK" w:eastAsia="方正黑体_GBK" w:cs="方正黑体_GBK"/>
          <w:b w:val="0"/>
          <w:bCs w:val="0"/>
        </w:rPr>
        <w:t>第四章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率先实现创新驱动发展</w:t>
      </w:r>
      <w:bookmarkEnd w:id="58"/>
    </w:p>
    <w:p w14:paraId="7CA10CF1">
      <w:pPr>
        <w:pStyle w:val="5"/>
        <w:spacing w:after="200"/>
        <w:jc w:val="center"/>
        <w:rPr>
          <w:rFonts w:ascii="方正楷体_GBK" w:hAnsi="方正楷体_GBK" w:eastAsia="方正楷体_GBK"/>
          <w:b w:val="0"/>
          <w:bCs w:val="0"/>
        </w:rPr>
      </w:pPr>
      <w:bookmarkStart w:id="59" w:name="_Toc6046621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提升秦淮硅巷质效</w:t>
      </w:r>
      <w:bookmarkEnd w:id="59"/>
    </w:p>
    <w:p w14:paraId="75855E6A">
      <w:pPr>
        <w:spacing w:line="590" w:lineRule="exact"/>
        <w:ind w:firstLine="629"/>
        <w:rPr>
          <w:rFonts w:eastAsia="方正仿宋_GBK"/>
          <w:sz w:val="32"/>
          <w:szCs w:val="32"/>
        </w:rPr>
      </w:pPr>
      <w:r>
        <w:rPr>
          <w:rFonts w:hint="eastAsia" w:eastAsia="方正仿宋_GBK" w:cs="方正仿宋_GBK"/>
          <w:sz w:val="32"/>
          <w:szCs w:val="32"/>
        </w:rPr>
        <w:t>实施秦淮硅巷质效提升行动，高标准建设南航秦淮创新湾区、南航秦淮硅巷大学科技园，提档升级创意东八区等一批低效园区。发布秦淮硅巷活力指数，与南航、</w:t>
      </w:r>
      <w:r>
        <w:rPr>
          <w:rFonts w:eastAsia="方正仿宋_GBK"/>
          <w:sz w:val="32"/>
          <w:szCs w:val="32"/>
        </w:rPr>
        <w:t xml:space="preserve">55 </w:t>
      </w:r>
      <w:r>
        <w:rPr>
          <w:rFonts w:hint="eastAsia" w:eastAsia="方正仿宋_GBK" w:cs="方正仿宋_GBK"/>
          <w:sz w:val="32"/>
          <w:szCs w:val="32"/>
        </w:rPr>
        <w:t>所、金城集团等大院大所大企深度合作，推动干部双向交流，全力服务院士、大师领衔的专家团队落地生根、成长壮大。在科技成果确权等机制改革上积极先行先试，加快设立“硅巷人才卡”，为企业、人才提供更加高效优质的定制化服务。积极融入长三角区域创新共同体，争取更多国际高端论坛、科创顶尖赛事在硅巷举办，打响秦淮硅巷品牌。推进科技园区、大学校区、城市街区、公共社区“四区融合、联动发展”，将秦淮硅巷打造成为南航大和高新区加大研发投入、促进成果转化的高品质运行平台，打造产学研融通创新高地。</w:t>
      </w:r>
    </w:p>
    <w:p w14:paraId="2CA4E337">
      <w:pPr>
        <w:pStyle w:val="5"/>
        <w:spacing w:after="200"/>
        <w:jc w:val="center"/>
        <w:rPr>
          <w:rFonts w:eastAsia="华文中宋"/>
          <w:b w:val="0"/>
          <w:bCs w:val="0"/>
        </w:rPr>
      </w:pPr>
      <w:bookmarkStart w:id="60" w:name="_Toc6046621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发挥高新区主阵地作用</w:t>
      </w:r>
      <w:bookmarkEnd w:id="60"/>
    </w:p>
    <w:p w14:paraId="1FDADDFF">
      <w:pPr>
        <w:spacing w:line="590" w:lineRule="exact"/>
        <w:ind w:firstLine="629"/>
        <w:rPr>
          <w:rFonts w:eastAsia="方正仿宋_GBK"/>
          <w:sz w:val="32"/>
          <w:szCs w:val="32"/>
        </w:rPr>
      </w:pPr>
      <w:r>
        <w:rPr>
          <w:rFonts w:hint="eastAsia" w:eastAsia="方正仿宋_GBK" w:cs="方正仿宋_GBK"/>
          <w:sz w:val="32"/>
          <w:szCs w:val="32"/>
        </w:rPr>
        <w:t>突出高新区主阵地作用，深化白下高新区综合改革，探索更多市场化运行机制，实施更精准的</w:t>
      </w:r>
      <w:r>
        <w:rPr>
          <w:rFonts w:eastAsia="方正仿宋_GBK"/>
          <w:sz w:val="32"/>
          <w:szCs w:val="32"/>
        </w:rPr>
        <w:t>KPI</w:t>
      </w:r>
      <w:r>
        <w:rPr>
          <w:rFonts w:hint="eastAsia" w:eastAsia="方正仿宋_GBK" w:cs="方正仿宋_GBK"/>
          <w:sz w:val="32"/>
          <w:szCs w:val="32"/>
        </w:rPr>
        <w:t>考核，深化人事和薪酬制度改革，项目化运行、扁平化管理，拉开拉大薪酬差距，切实形成以实绩论英雄、以质效论成效的鲜明导向。开展“五好团队”创建活动，锤练意志顽强、干事创业的干部队伍。突出党建引领，进一步厘清高新区行政审批行权能级，依法精简投资项目准入手续。深化智慧园区建设，培育提升一站式数字化管理平台，打造</w:t>
      </w:r>
      <w:r>
        <w:rPr>
          <w:rFonts w:eastAsia="方正仿宋_GBK"/>
          <w:sz w:val="32"/>
          <w:szCs w:val="32"/>
        </w:rPr>
        <w:t xml:space="preserve"> </w:t>
      </w:r>
      <w:r>
        <w:rPr>
          <w:rFonts w:hint="eastAsia" w:eastAsia="方正仿宋_GBK" w:cs="方正仿宋_GBK"/>
          <w:sz w:val="32"/>
          <w:szCs w:val="32"/>
        </w:rPr>
        <w:t>“智慧小白”服务新品牌，为高新区企业提供精准高效、全面覆盖的“</w:t>
      </w:r>
      <w:r>
        <w:rPr>
          <w:rFonts w:eastAsia="方正仿宋_GBK"/>
          <w:sz w:val="32"/>
          <w:szCs w:val="32"/>
        </w:rPr>
        <w:t>1+X</w:t>
      </w:r>
      <w:r>
        <w:rPr>
          <w:rFonts w:hint="eastAsia" w:eastAsia="方正仿宋_GBK" w:cs="方正仿宋_GBK"/>
          <w:sz w:val="32"/>
          <w:szCs w:val="32"/>
        </w:rPr>
        <w:t>”科技服务。加强“一区多园”一体化统筹管理和运营能力，探索建立高新区经济直管区与统筹服务区，做大做强资源总量，在新研机构培育、高新技术企业申报等创新指标完成，在智能车联网、认知物联网等产业发展上进一步提升贡献度占比。确保白下高新区位列省级高新区第一方阵。</w:t>
      </w:r>
    </w:p>
    <w:p w14:paraId="10D88BCC">
      <w:pPr>
        <w:pStyle w:val="2"/>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6213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3D24D68C">
            <w:pPr>
              <w:spacing w:line="520" w:lineRule="exact"/>
              <w:jc w:val="center"/>
              <w:rPr>
                <w:rFonts w:eastAsia="方正黑体简体"/>
                <w:sz w:val="24"/>
                <w:szCs w:val="24"/>
              </w:rPr>
            </w:pPr>
            <w:r>
              <w:rPr>
                <w:rFonts w:hint="eastAsia" w:eastAsia="方正黑体简体" w:cs="方正黑体简体"/>
                <w:sz w:val="24"/>
                <w:szCs w:val="24"/>
              </w:rPr>
              <w:t>专栏一：创新载体打造工程</w:t>
            </w:r>
          </w:p>
        </w:tc>
      </w:tr>
      <w:tr w14:paraId="0377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5000" w:type="pct"/>
          </w:tcPr>
          <w:p w14:paraId="6379B6D6">
            <w:pPr>
              <w:spacing w:line="460" w:lineRule="exact"/>
              <w:jc w:val="left"/>
              <w:rPr>
                <w:sz w:val="22"/>
                <w:szCs w:val="22"/>
              </w:rPr>
            </w:pPr>
            <w:r>
              <w:rPr>
                <w:sz w:val="22"/>
                <w:szCs w:val="22"/>
              </w:rPr>
              <w:t>1</w:t>
            </w:r>
            <w:r>
              <w:rPr>
                <w:rFonts w:hint="eastAsia" w:cs="宋体"/>
                <w:sz w:val="22"/>
                <w:szCs w:val="22"/>
              </w:rPr>
              <w:t>、白下高新区：开工建设白下高新新型都市工业园、高新开发区数字经济大厦；建成智能交通产业园、白下高新数据产业园、人工智能产业大厦、天安数码城二期、中日合作创新园、新化原总部等载体</w:t>
            </w:r>
          </w:p>
          <w:p w14:paraId="775BD93F">
            <w:pPr>
              <w:spacing w:line="460" w:lineRule="exact"/>
              <w:jc w:val="left"/>
              <w:rPr>
                <w:rFonts w:eastAsia="方正小标宋_GBK"/>
                <w:sz w:val="24"/>
                <w:szCs w:val="24"/>
              </w:rPr>
            </w:pPr>
            <w:r>
              <w:rPr>
                <w:sz w:val="22"/>
                <w:szCs w:val="22"/>
              </w:rPr>
              <w:t>2</w:t>
            </w:r>
            <w:r>
              <w:rPr>
                <w:rFonts w:hint="eastAsia" w:cs="宋体"/>
                <w:sz w:val="22"/>
                <w:szCs w:val="22"/>
              </w:rPr>
              <w:t>、秦淮硅巷：支持江苏无线电厂综合电子产品研发基地、宏光科技大厦、至美科技广场等社会主体自建科创载体建设；加快创意东八区等科创园区更新改造；启动门西数字生活街区、秦淮智慧产业孵化园建设；完成航空发展大楼、金陵智造研究院、普天</w:t>
            </w:r>
            <w:r>
              <w:rPr>
                <w:sz w:val="22"/>
                <w:szCs w:val="22"/>
              </w:rPr>
              <w:t>1</w:t>
            </w:r>
            <w:r>
              <w:rPr>
                <w:rFonts w:hint="eastAsia" w:cs="宋体"/>
                <w:sz w:val="22"/>
                <w:szCs w:val="22"/>
              </w:rPr>
              <w:t>号</w:t>
            </w:r>
            <w:r>
              <w:rPr>
                <w:sz w:val="22"/>
                <w:szCs w:val="22"/>
              </w:rPr>
              <w:t>518</w:t>
            </w:r>
            <w:r>
              <w:rPr>
                <w:rFonts w:hint="eastAsia" w:cs="宋体"/>
                <w:sz w:val="22"/>
                <w:szCs w:val="22"/>
              </w:rPr>
              <w:t>街区建设</w:t>
            </w:r>
          </w:p>
        </w:tc>
      </w:tr>
    </w:tbl>
    <w:p w14:paraId="1106DC76">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61" w:name="_Toc60466216"/>
      <w:r>
        <w:rPr>
          <w:rFonts w:hint="eastAsia" w:ascii="方正黑体_GBK" w:hAnsi="方正黑体_GBK" w:eastAsia="方正黑体_GBK" w:cs="方正黑体_GBK"/>
          <w:b w:val="0"/>
          <w:bCs w:val="0"/>
        </w:rPr>
        <w:t>第五章</w:t>
      </w:r>
      <w:bookmarkStart w:id="62" w:name="_Toc26635"/>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培育高能级科创森林</w:t>
      </w:r>
      <w:bookmarkEnd w:id="61"/>
    </w:p>
    <w:p w14:paraId="33E91307">
      <w:pPr>
        <w:pStyle w:val="5"/>
        <w:spacing w:after="200"/>
        <w:jc w:val="center"/>
        <w:rPr>
          <w:rFonts w:eastAsia="华文中宋"/>
          <w:b w:val="0"/>
          <w:bCs w:val="0"/>
        </w:rPr>
      </w:pPr>
      <w:bookmarkStart w:id="63" w:name="_Toc6046621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做强新型研发机构</w:t>
      </w:r>
      <w:bookmarkEnd w:id="63"/>
    </w:p>
    <w:p w14:paraId="7D5BEDD2">
      <w:pPr>
        <w:spacing w:line="590" w:lineRule="exact"/>
        <w:ind w:firstLine="629"/>
        <w:rPr>
          <w:rFonts w:eastAsia="方正仿宋_GBK"/>
          <w:sz w:val="32"/>
          <w:szCs w:val="32"/>
        </w:rPr>
      </w:pPr>
      <w:r>
        <w:rPr>
          <w:rFonts w:hint="eastAsia" w:eastAsia="方正仿宋_GBK" w:cs="方正仿宋_GBK"/>
          <w:sz w:val="32"/>
          <w:szCs w:val="32"/>
        </w:rPr>
        <w:t>实施新型研发机构质态提升计划，助力提升新研机构转化科技成果能力、孵化科技企业能力和管理运营能力。</w:t>
      </w:r>
      <w:bookmarkEnd w:id="62"/>
      <w:r>
        <w:rPr>
          <w:rFonts w:hint="eastAsia" w:eastAsia="方正仿宋_GBK" w:cs="方正仿宋_GBK"/>
          <w:sz w:val="32"/>
          <w:szCs w:val="32"/>
        </w:rPr>
        <w:t>探索模式创新，积极构建省市协同发展的产业技术研究院体系，加快推进智仁景行、六季光电等新研项目运营达效。支持龙头企业联合共建新型研发机构，加大核心企业、关键技术、潜力项目的支持力度，加大创新型中小企业孵化工作力度，实现“传帮带”。优化考核评价，完善指标体系，强化跟踪辅导，重点关注研发投入、高企孵化等关联性强、影响力大的创新指标，切实以创新发展论英雄。强化科学管理。支持新型研发机构引进职业经理人，推动社会资本介入，探索科技项目“揭榜挂帅”、项目经费“包干”等模式和制度探索，提升市场化运作效率。到</w:t>
      </w:r>
      <w:r>
        <w:rPr>
          <w:rFonts w:eastAsia="方正仿宋_GBK"/>
          <w:sz w:val="32"/>
          <w:szCs w:val="32"/>
        </w:rPr>
        <w:t>2025</w:t>
      </w:r>
      <w:r>
        <w:rPr>
          <w:rFonts w:hint="eastAsia" w:eastAsia="方正仿宋_GBK" w:cs="方正仿宋_GBK"/>
          <w:sz w:val="32"/>
          <w:szCs w:val="32"/>
        </w:rPr>
        <w:t>年，累计在孵企业数量</w:t>
      </w:r>
      <w:r>
        <w:rPr>
          <w:rFonts w:eastAsia="方正仿宋_GBK"/>
          <w:sz w:val="32"/>
          <w:szCs w:val="32"/>
        </w:rPr>
        <w:t>3000</w:t>
      </w:r>
      <w:r>
        <w:rPr>
          <w:rFonts w:hint="eastAsia" w:eastAsia="方正仿宋_GBK" w:cs="方正仿宋_GBK"/>
          <w:sz w:val="32"/>
          <w:szCs w:val="32"/>
        </w:rPr>
        <w:t>家，市级以上孵化器</w:t>
      </w:r>
      <w:r>
        <w:rPr>
          <w:rFonts w:eastAsia="方正仿宋_GBK"/>
          <w:sz w:val="32"/>
          <w:szCs w:val="32"/>
        </w:rPr>
        <w:t>25</w:t>
      </w:r>
      <w:r>
        <w:rPr>
          <w:rFonts w:hint="eastAsia" w:eastAsia="方正仿宋_GBK" w:cs="方正仿宋_GBK"/>
          <w:sz w:val="32"/>
          <w:szCs w:val="32"/>
        </w:rPr>
        <w:t>家，市级以上众创空间</w:t>
      </w:r>
      <w:r>
        <w:rPr>
          <w:rFonts w:eastAsia="方正仿宋_GBK"/>
          <w:sz w:val="32"/>
          <w:szCs w:val="32"/>
        </w:rPr>
        <w:t>33</w:t>
      </w:r>
      <w:r>
        <w:rPr>
          <w:rFonts w:hint="eastAsia" w:eastAsia="方正仿宋_GBK" w:cs="方正仿宋_GBK"/>
          <w:sz w:val="32"/>
          <w:szCs w:val="32"/>
        </w:rPr>
        <w:t>家，培育国际一流新型研发机构</w:t>
      </w:r>
      <w:r>
        <w:rPr>
          <w:rFonts w:eastAsia="方正仿宋_GBK"/>
          <w:sz w:val="32"/>
          <w:szCs w:val="32"/>
        </w:rPr>
        <w:t>2-3</w:t>
      </w:r>
      <w:r>
        <w:rPr>
          <w:rFonts w:hint="eastAsia" w:eastAsia="方正仿宋_GBK" w:cs="方正仿宋_GBK"/>
          <w:sz w:val="32"/>
          <w:szCs w:val="32"/>
        </w:rPr>
        <w:t>家。</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D2A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2FCD8F1F">
            <w:pPr>
              <w:spacing w:line="520" w:lineRule="exact"/>
              <w:jc w:val="center"/>
              <w:rPr>
                <w:rFonts w:eastAsia="方正黑体_GBK"/>
                <w:sz w:val="24"/>
                <w:szCs w:val="24"/>
              </w:rPr>
            </w:pPr>
            <w:r>
              <w:rPr>
                <w:rFonts w:hint="eastAsia" w:eastAsia="方正黑体简体" w:cs="方正黑体简体"/>
                <w:sz w:val="24"/>
                <w:szCs w:val="24"/>
              </w:rPr>
              <w:t>专栏二：新型研发机构重点项目</w:t>
            </w:r>
          </w:p>
        </w:tc>
      </w:tr>
      <w:tr w14:paraId="1C01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5000" w:type="pct"/>
          </w:tcPr>
          <w:p w14:paraId="42FC9D6E">
            <w:pPr>
              <w:spacing w:line="440" w:lineRule="exact"/>
              <w:jc w:val="left"/>
              <w:rPr>
                <w:sz w:val="22"/>
                <w:szCs w:val="22"/>
              </w:rPr>
            </w:pPr>
            <w:r>
              <w:rPr>
                <w:sz w:val="22"/>
                <w:szCs w:val="22"/>
              </w:rPr>
              <w:t>1</w:t>
            </w:r>
            <w:r>
              <w:rPr>
                <w:rFonts w:hint="eastAsia" w:cs="宋体"/>
                <w:sz w:val="22"/>
                <w:szCs w:val="22"/>
              </w:rPr>
              <w:t>、江苏智仁景行新材料研究院：通过关键技术开发、成果转化与孵化、创新创业团队的引育，建成国家重大成果转化、南京理工大学双创、校企联合研发等示范基地</w:t>
            </w:r>
          </w:p>
          <w:p w14:paraId="789CE196">
            <w:pPr>
              <w:spacing w:line="440" w:lineRule="exact"/>
              <w:jc w:val="left"/>
              <w:rPr>
                <w:sz w:val="22"/>
                <w:szCs w:val="22"/>
              </w:rPr>
            </w:pPr>
            <w:r>
              <w:rPr>
                <w:sz w:val="22"/>
                <w:szCs w:val="22"/>
              </w:rPr>
              <w:t>2</w:t>
            </w:r>
            <w:r>
              <w:rPr>
                <w:rFonts w:hint="eastAsia" w:cs="宋体"/>
                <w:sz w:val="22"/>
                <w:szCs w:val="22"/>
              </w:rPr>
              <w:t>、南京中电芯谷高频器件产业技术研究院：依托微波毫米波单片集成电路与模块国家级重点实验室、中国电科五十五所，聚焦高频电子器件领域，建成国内一流的高频器件产业孵化平台，推进高频器件产业化进程</w:t>
            </w:r>
          </w:p>
          <w:p w14:paraId="0D73A42C">
            <w:pPr>
              <w:spacing w:line="440" w:lineRule="exact"/>
              <w:jc w:val="left"/>
              <w:rPr>
                <w:sz w:val="22"/>
                <w:szCs w:val="22"/>
              </w:rPr>
            </w:pPr>
            <w:r>
              <w:rPr>
                <w:sz w:val="22"/>
                <w:szCs w:val="22"/>
              </w:rPr>
              <w:t>3</w:t>
            </w:r>
            <w:r>
              <w:rPr>
                <w:rFonts w:hint="eastAsia" w:cs="宋体"/>
                <w:sz w:val="22"/>
                <w:szCs w:val="22"/>
              </w:rPr>
              <w:t>、南京莱斯网信技术研究院：通过与政府、科研院所以及相关高科技企业开展市场化的研发合作，促进技术转移转化和新业务培育，打造“国内唯一、国际一流”的以网信技术为核心的军民用信息系统产业生态</w:t>
            </w:r>
          </w:p>
          <w:p w14:paraId="0E485F83">
            <w:pPr>
              <w:spacing w:line="440" w:lineRule="exact"/>
              <w:jc w:val="left"/>
              <w:rPr>
                <w:sz w:val="22"/>
                <w:szCs w:val="22"/>
              </w:rPr>
            </w:pPr>
            <w:r>
              <w:rPr>
                <w:sz w:val="22"/>
                <w:szCs w:val="22"/>
              </w:rPr>
              <w:t>4</w:t>
            </w:r>
            <w:r>
              <w:rPr>
                <w:rFonts w:hint="eastAsia" w:cs="宋体"/>
                <w:sz w:val="22"/>
                <w:szCs w:val="22"/>
              </w:rPr>
              <w:t>、南京钟山虚拟现实技术研究院：通过与南京理工大学国家技术转移示范中心合作，依托两个国家级虚拟仿真实验教学中心以及教育部重点实验室、江苏省重点实验室，引入最新的虚拟现实技术装备和算法成果，围绕军事训练仿真和医药教育仿真展开核心技术开发和研究，并推动产学研成果高效转化</w:t>
            </w:r>
          </w:p>
          <w:p w14:paraId="3264580D">
            <w:pPr>
              <w:spacing w:line="440" w:lineRule="exact"/>
              <w:jc w:val="left"/>
              <w:rPr>
                <w:sz w:val="22"/>
                <w:szCs w:val="22"/>
              </w:rPr>
            </w:pPr>
            <w:r>
              <w:rPr>
                <w:sz w:val="22"/>
                <w:szCs w:val="22"/>
              </w:rPr>
              <w:t>5</w:t>
            </w:r>
            <w:r>
              <w:rPr>
                <w:rFonts w:hint="eastAsia" w:cs="宋体"/>
                <w:sz w:val="22"/>
                <w:szCs w:val="22"/>
              </w:rPr>
              <w:t>、江苏江航智飞机发动机部件研究院：通过与中国航发集团航空工业材料院、南京航空航天大学合作，共建院士工作站、研究生工作站和工程技术中心，重点研发飞机发动机整体构件制造和飞机发动机零部件再生制造新技术</w:t>
            </w:r>
          </w:p>
          <w:p w14:paraId="59C9AA3F">
            <w:pPr>
              <w:spacing w:line="440" w:lineRule="exact"/>
              <w:jc w:val="left"/>
              <w:rPr>
                <w:rFonts w:eastAsia="方正仿宋_GBK"/>
                <w:sz w:val="24"/>
                <w:szCs w:val="24"/>
              </w:rPr>
            </w:pPr>
            <w:r>
              <w:rPr>
                <w:sz w:val="22"/>
                <w:szCs w:val="22"/>
              </w:rPr>
              <w:t>6</w:t>
            </w:r>
            <w:r>
              <w:rPr>
                <w:rFonts w:hint="eastAsia" w:cs="宋体"/>
                <w:sz w:val="22"/>
                <w:szCs w:val="22"/>
              </w:rPr>
              <w:t>、南京六季光电技术研究院：打造产业研究与产业转化为一体的高科技平台，力求将高校的研究成果与实际应用进行结合，立足需求不断进行研发迭代；同时培养行业顶尖人才团队，对接各企业产业转化需求，带动经济增长新动力，达成高效、共赢的合作模式</w:t>
            </w:r>
          </w:p>
        </w:tc>
      </w:tr>
    </w:tbl>
    <w:p w14:paraId="43888D37">
      <w:pPr>
        <w:pStyle w:val="5"/>
        <w:spacing w:after="200"/>
        <w:jc w:val="center"/>
        <w:rPr>
          <w:rFonts w:ascii="方正楷体_GBK" w:hAnsi="方正楷体_GBK" w:eastAsia="方正楷体_GBK"/>
          <w:b w:val="0"/>
          <w:bCs w:val="0"/>
        </w:rPr>
      </w:pPr>
      <w:bookmarkStart w:id="64" w:name="_Toc6046621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释放企业创新动能</w:t>
      </w:r>
      <w:bookmarkEnd w:id="64"/>
    </w:p>
    <w:p w14:paraId="7C19BCAB">
      <w:pPr>
        <w:spacing w:line="590" w:lineRule="exact"/>
        <w:ind w:firstLine="629"/>
        <w:rPr>
          <w:rFonts w:eastAsia="方正仿宋_GBK"/>
          <w:sz w:val="32"/>
          <w:szCs w:val="32"/>
        </w:rPr>
      </w:pPr>
      <w:r>
        <w:rPr>
          <w:rFonts w:hint="eastAsia" w:eastAsia="方正仿宋_GBK" w:cs="方正仿宋_GBK"/>
          <w:sz w:val="32"/>
          <w:szCs w:val="32"/>
        </w:rPr>
        <w:t>强化企业创新主体地位，建立完善创新型企业梯度发展推进机制，实施科技型企业培育计划，促进创新要素向企业集聚，打造一批创新能力强、发展速度快、专业领域新、市场潜力大的高成长性企业。聚焦云计算、大数据、工业互联网、共享经济、</w:t>
      </w:r>
      <w:r>
        <w:rPr>
          <w:rFonts w:eastAsia="方正仿宋_GBK"/>
          <w:sz w:val="32"/>
          <w:szCs w:val="32"/>
        </w:rPr>
        <w:t>5G</w:t>
      </w:r>
      <w:r>
        <w:rPr>
          <w:rFonts w:hint="eastAsia" w:eastAsia="方正仿宋_GBK" w:cs="方正仿宋_GBK"/>
          <w:sz w:val="32"/>
          <w:szCs w:val="32"/>
        </w:rPr>
        <w:t>应用等领域，引进培育一批数字经济龙头企业，加速龙头企业云端化、平台化、服务化转型，支持本地骨干企业培育自主品牌，带动本地供应链企业协同发展，支持鼓励企业在境内外、多层次资本市场挂牌上市。鼓励数字经济企业开展跨界产业资源并购和重组，“一企一策”重点扶持。支持企业建设开源开放平台，围绕产业价值网络构建生态体系。把握企业成长主线，实施梯度培育，构建“科技创新小微企业</w:t>
      </w:r>
      <w:r>
        <w:rPr>
          <w:rFonts w:eastAsia="方正仿宋_GBK"/>
          <w:sz w:val="32"/>
          <w:szCs w:val="32"/>
        </w:rPr>
        <w:t>—</w:t>
      </w:r>
      <w:r>
        <w:rPr>
          <w:rFonts w:hint="eastAsia" w:eastAsia="方正仿宋_GBK" w:cs="方正仿宋_GBK"/>
          <w:sz w:val="32"/>
          <w:szCs w:val="32"/>
        </w:rPr>
        <w:t>高新技术企业</w:t>
      </w:r>
      <w:r>
        <w:rPr>
          <w:rFonts w:eastAsia="方正仿宋_GBK"/>
          <w:sz w:val="32"/>
          <w:szCs w:val="32"/>
        </w:rPr>
        <w:t>—</w:t>
      </w:r>
      <w:r>
        <w:rPr>
          <w:rFonts w:hint="eastAsia" w:eastAsia="方正仿宋_GBK" w:cs="方正仿宋_GBK"/>
          <w:sz w:val="32"/>
          <w:szCs w:val="32"/>
        </w:rPr>
        <w:t>行业创新标杆企业”全链条、集群化培育体系，建设重点实验室、工程（技术）研究中心、企业技术中心等研发机构，推动规模以上高新技术企业研发机构全覆盖。实施高技术高成长企业分类支持，建立完善高新技术、独角兽、瞪羚企业培育库，实施“专精特新”、“单项冠军”等企业培育计划，将企业按推荐期、成长期、初创期和种子期进行分类，开展分类引导和重点培训。到</w:t>
      </w:r>
      <w:r>
        <w:rPr>
          <w:rFonts w:eastAsia="方正仿宋_GBK"/>
          <w:sz w:val="32"/>
          <w:szCs w:val="32"/>
        </w:rPr>
        <w:t>2025</w:t>
      </w:r>
      <w:r>
        <w:rPr>
          <w:rFonts w:hint="eastAsia" w:eastAsia="方正仿宋_GBK" w:cs="方正仿宋_GBK"/>
          <w:sz w:val="32"/>
          <w:szCs w:val="32"/>
        </w:rPr>
        <w:t>年，瞪羚、培育独角兽、独角兽等高成长企业达</w:t>
      </w:r>
      <w:r>
        <w:rPr>
          <w:rFonts w:eastAsia="方正仿宋_GBK"/>
          <w:sz w:val="32"/>
          <w:szCs w:val="32"/>
        </w:rPr>
        <w:t>100</w:t>
      </w:r>
      <w:r>
        <w:rPr>
          <w:rFonts w:hint="eastAsia" w:eastAsia="方正仿宋_GBK" w:cs="方正仿宋_GBK"/>
          <w:sz w:val="32"/>
          <w:szCs w:val="32"/>
        </w:rPr>
        <w:t>家，高企数量达</w:t>
      </w:r>
      <w:r>
        <w:rPr>
          <w:rFonts w:eastAsia="方正仿宋_GBK"/>
          <w:sz w:val="32"/>
          <w:szCs w:val="32"/>
        </w:rPr>
        <w:t>1300</w:t>
      </w:r>
      <w:r>
        <w:rPr>
          <w:rFonts w:hint="eastAsia" w:eastAsia="方正仿宋_GBK" w:cs="方正仿宋_GBK"/>
          <w:sz w:val="32"/>
          <w:szCs w:val="32"/>
        </w:rPr>
        <w:t>家。</w:t>
      </w:r>
    </w:p>
    <w:p w14:paraId="357A3873">
      <w:pPr>
        <w:pStyle w:val="2"/>
        <w:rPr>
          <w:rFonts w:eastAsia="方正仿宋_GBK"/>
          <w:sz w:val="32"/>
          <w:szCs w:val="32"/>
        </w:rPr>
      </w:pPr>
    </w:p>
    <w:p w14:paraId="69035237">
      <w:pPr>
        <w:pStyle w:val="2"/>
        <w:rPr>
          <w:rFonts w:eastAsia="方正仿宋_GBK"/>
          <w:sz w:val="32"/>
          <w:szCs w:val="32"/>
        </w:rPr>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33B7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62DDEEC">
            <w:pPr>
              <w:spacing w:line="520" w:lineRule="exact"/>
              <w:jc w:val="center"/>
              <w:rPr>
                <w:rFonts w:eastAsia="方正黑体_GBK"/>
                <w:sz w:val="24"/>
                <w:szCs w:val="24"/>
              </w:rPr>
            </w:pPr>
            <w:r>
              <w:rPr>
                <w:rFonts w:hint="eastAsia" w:eastAsia="方正黑体简体" w:cs="方正黑体简体"/>
                <w:sz w:val="24"/>
                <w:szCs w:val="24"/>
              </w:rPr>
              <w:t>专栏三：创新平台与示范应用</w:t>
            </w:r>
          </w:p>
        </w:tc>
      </w:tr>
      <w:tr w14:paraId="4CEC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000" w:type="pct"/>
          </w:tcPr>
          <w:p w14:paraId="1530E065">
            <w:pPr>
              <w:spacing w:line="440" w:lineRule="exact"/>
              <w:jc w:val="left"/>
              <w:rPr>
                <w:sz w:val="22"/>
                <w:szCs w:val="22"/>
              </w:rPr>
            </w:pPr>
            <w:r>
              <w:rPr>
                <w:rFonts w:hint="eastAsia" w:cs="宋体"/>
                <w:sz w:val="22"/>
                <w:szCs w:val="22"/>
              </w:rPr>
              <w:t>（一）智慧秦淮平台</w:t>
            </w:r>
          </w:p>
          <w:p w14:paraId="5CB63034">
            <w:pPr>
              <w:spacing w:line="440" w:lineRule="exact"/>
              <w:jc w:val="left"/>
              <w:rPr>
                <w:sz w:val="22"/>
                <w:szCs w:val="22"/>
              </w:rPr>
            </w:pPr>
            <w:r>
              <w:rPr>
                <w:sz w:val="22"/>
                <w:szCs w:val="22"/>
              </w:rPr>
              <w:t>1</w:t>
            </w:r>
            <w:r>
              <w:rPr>
                <w:rFonts w:hint="eastAsia" w:cs="宋体"/>
                <w:sz w:val="22"/>
                <w:szCs w:val="22"/>
              </w:rPr>
              <w:t>、新一代信息基础设施：建设物联网接入平台，有效实现传感赋能、连接赋能和平台赋能；整合接入已有物联感知设备数据，与区级视频资源共享平台实现互联互通；实现秦淮区</w:t>
            </w:r>
            <w:r>
              <w:rPr>
                <w:sz w:val="22"/>
                <w:szCs w:val="22"/>
              </w:rPr>
              <w:t>5G</w:t>
            </w:r>
            <w:r>
              <w:rPr>
                <w:rFonts w:hint="eastAsia" w:cs="宋体"/>
                <w:sz w:val="22"/>
                <w:szCs w:val="22"/>
              </w:rPr>
              <w:t>网络全覆盖</w:t>
            </w:r>
          </w:p>
          <w:p w14:paraId="69F70180">
            <w:pPr>
              <w:spacing w:line="440" w:lineRule="exact"/>
              <w:jc w:val="left"/>
              <w:rPr>
                <w:sz w:val="22"/>
                <w:szCs w:val="22"/>
              </w:rPr>
            </w:pPr>
            <w:r>
              <w:rPr>
                <w:sz w:val="22"/>
                <w:szCs w:val="22"/>
              </w:rPr>
              <w:t>2</w:t>
            </w:r>
            <w:r>
              <w:rPr>
                <w:rFonts w:hint="eastAsia" w:cs="宋体"/>
                <w:sz w:val="22"/>
                <w:szCs w:val="22"/>
              </w:rPr>
              <w:t>、城市大脑：加快建设城市运行管理中心建设，推进数据共享交换平台、共性支撑平台、城市运行管理平台建设，开展数据治理与服务</w:t>
            </w:r>
          </w:p>
          <w:p w14:paraId="18B0E302">
            <w:pPr>
              <w:spacing w:line="440" w:lineRule="exact"/>
              <w:jc w:val="left"/>
              <w:rPr>
                <w:sz w:val="22"/>
                <w:szCs w:val="22"/>
              </w:rPr>
            </w:pPr>
            <w:r>
              <w:rPr>
                <w:rFonts w:hint="eastAsia" w:cs="宋体"/>
                <w:sz w:val="22"/>
                <w:szCs w:val="22"/>
              </w:rPr>
              <w:t>（二）产业技术创新平台</w:t>
            </w:r>
          </w:p>
          <w:p w14:paraId="0D068FC7">
            <w:pPr>
              <w:spacing w:line="440" w:lineRule="exact"/>
              <w:jc w:val="left"/>
              <w:rPr>
                <w:sz w:val="22"/>
                <w:szCs w:val="22"/>
              </w:rPr>
            </w:pPr>
            <w:r>
              <w:rPr>
                <w:sz w:val="22"/>
                <w:szCs w:val="22"/>
              </w:rPr>
              <w:t>1</w:t>
            </w:r>
            <w:r>
              <w:rPr>
                <w:rFonts w:hint="eastAsia" w:cs="宋体"/>
                <w:sz w:val="22"/>
                <w:szCs w:val="22"/>
              </w:rPr>
              <w:t>、数据资源中心：以新一代信息技术与制造业深度融合发展为主线，加快推进工业互联网创新发展，加大企业内网改造、工业互联网平台、企业上云等支持力度，推动科技企业数字化、网络化和智能化转型</w:t>
            </w:r>
          </w:p>
          <w:p w14:paraId="15091D76">
            <w:pPr>
              <w:spacing w:line="440" w:lineRule="exact"/>
              <w:jc w:val="left"/>
              <w:rPr>
                <w:sz w:val="22"/>
                <w:szCs w:val="22"/>
              </w:rPr>
            </w:pPr>
            <w:r>
              <w:rPr>
                <w:sz w:val="22"/>
                <w:szCs w:val="22"/>
              </w:rPr>
              <w:t>2</w:t>
            </w:r>
            <w:r>
              <w:rPr>
                <w:rFonts w:hint="eastAsia" w:cs="宋体"/>
                <w:sz w:val="22"/>
                <w:szCs w:val="22"/>
              </w:rPr>
              <w:t>、科技创新平台：新增院士工作站、重点实验室、市级以上工程技术研究中心等企业研发</w:t>
            </w:r>
          </w:p>
          <w:p w14:paraId="1EB0288D">
            <w:pPr>
              <w:spacing w:line="440" w:lineRule="exact"/>
              <w:jc w:val="left"/>
              <w:rPr>
                <w:sz w:val="22"/>
                <w:szCs w:val="22"/>
              </w:rPr>
            </w:pPr>
            <w:r>
              <w:rPr>
                <w:rFonts w:hint="eastAsia" w:cs="宋体"/>
                <w:sz w:val="22"/>
                <w:szCs w:val="22"/>
              </w:rPr>
              <w:t>机构</w:t>
            </w:r>
            <w:r>
              <w:rPr>
                <w:sz w:val="22"/>
                <w:szCs w:val="22"/>
              </w:rPr>
              <w:t>20</w:t>
            </w:r>
            <w:r>
              <w:rPr>
                <w:rFonts w:hint="eastAsia" w:cs="宋体"/>
                <w:sz w:val="22"/>
                <w:szCs w:val="22"/>
              </w:rPr>
              <w:t>家</w:t>
            </w:r>
          </w:p>
          <w:p w14:paraId="6DF42E8C">
            <w:pPr>
              <w:spacing w:line="440" w:lineRule="exact"/>
              <w:jc w:val="left"/>
              <w:rPr>
                <w:sz w:val="22"/>
                <w:szCs w:val="22"/>
              </w:rPr>
            </w:pPr>
            <w:r>
              <w:rPr>
                <w:sz w:val="22"/>
                <w:szCs w:val="22"/>
              </w:rPr>
              <w:t>3</w:t>
            </w:r>
            <w:r>
              <w:rPr>
                <w:rFonts w:hint="eastAsia" w:cs="宋体"/>
                <w:sz w:val="22"/>
                <w:szCs w:val="22"/>
              </w:rPr>
              <w:t>、升级版创新热图：嫁接人才、中介服务、载体以及资本等创新资源，构建以人才为核心的创新链，以企业为核心的产业链、以金融为核心的资本链，以及以中介机构、载体等要素为支撑的服务链等“四链融合”的创新热图</w:t>
            </w:r>
          </w:p>
          <w:p w14:paraId="63B6B738">
            <w:pPr>
              <w:spacing w:line="440" w:lineRule="exact"/>
              <w:jc w:val="left"/>
              <w:rPr>
                <w:sz w:val="22"/>
                <w:szCs w:val="22"/>
              </w:rPr>
            </w:pPr>
            <w:r>
              <w:rPr>
                <w:rFonts w:hint="eastAsia" w:cs="宋体"/>
                <w:sz w:val="22"/>
                <w:szCs w:val="22"/>
              </w:rPr>
              <w:t>（三）示范应用</w:t>
            </w:r>
          </w:p>
          <w:p w14:paraId="502A7A22">
            <w:pPr>
              <w:spacing w:line="440" w:lineRule="exact"/>
              <w:jc w:val="left"/>
              <w:rPr>
                <w:sz w:val="22"/>
                <w:szCs w:val="22"/>
              </w:rPr>
            </w:pPr>
            <w:r>
              <w:rPr>
                <w:sz w:val="22"/>
                <w:szCs w:val="22"/>
              </w:rPr>
              <w:t>1</w:t>
            </w:r>
            <w:r>
              <w:rPr>
                <w:rFonts w:hint="eastAsia" w:cs="宋体"/>
                <w:sz w:val="22"/>
                <w:szCs w:val="22"/>
              </w:rPr>
              <w:t>、拓展车联网、智慧医疗、智慧教育、智慧文旅、智慧社区等场景应用，形成示范</w:t>
            </w:r>
          </w:p>
          <w:p w14:paraId="76199A5E">
            <w:pPr>
              <w:spacing w:line="440" w:lineRule="exact"/>
              <w:jc w:val="left"/>
              <w:rPr>
                <w:sz w:val="22"/>
                <w:szCs w:val="22"/>
              </w:rPr>
            </w:pPr>
            <w:r>
              <w:rPr>
                <w:sz w:val="22"/>
                <w:szCs w:val="22"/>
              </w:rPr>
              <w:t>2</w:t>
            </w:r>
            <w:r>
              <w:rPr>
                <w:rFonts w:hint="eastAsia" w:cs="宋体"/>
                <w:sz w:val="22"/>
                <w:szCs w:val="22"/>
              </w:rPr>
              <w:t>、构建“统一灵活、安全可靠、集约前瞻”的政务服务支撑网络，逐步完善网络安全防护体系，加快构建关键信息基础设施安全保障体系，提升区政务网络安全防护能力</w:t>
            </w:r>
          </w:p>
        </w:tc>
      </w:tr>
    </w:tbl>
    <w:p w14:paraId="11EC047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65" w:name="_Toc60466220"/>
      <w:r>
        <w:rPr>
          <w:rFonts w:hint="eastAsia" w:ascii="方正黑体_GBK" w:hAnsi="方正黑体_GBK" w:eastAsia="方正黑体_GBK" w:cs="方正黑体_GBK"/>
          <w:b w:val="0"/>
          <w:bCs w:val="0"/>
        </w:rPr>
        <w:t>第六章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吸纳高层次创新创业人才</w:t>
      </w:r>
      <w:bookmarkEnd w:id="65"/>
    </w:p>
    <w:p w14:paraId="50ED668C">
      <w:pPr>
        <w:pStyle w:val="5"/>
        <w:spacing w:before="200" w:after="160"/>
        <w:jc w:val="center"/>
        <w:rPr>
          <w:rFonts w:ascii="方正楷体_GBK" w:hAnsi="方正楷体_GBK" w:eastAsia="方正楷体_GBK"/>
          <w:b w:val="0"/>
          <w:bCs w:val="0"/>
        </w:rPr>
      </w:pPr>
      <w:bookmarkStart w:id="66" w:name="_Toc6046622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打造区域产才融合高地</w:t>
      </w:r>
      <w:bookmarkEnd w:id="66"/>
    </w:p>
    <w:p w14:paraId="0D2A5CE6">
      <w:pPr>
        <w:spacing w:line="590" w:lineRule="exact"/>
        <w:ind w:firstLine="629"/>
        <w:rPr>
          <w:rFonts w:eastAsia="方正仿宋_GBK"/>
          <w:sz w:val="32"/>
          <w:szCs w:val="32"/>
        </w:rPr>
      </w:pPr>
      <w:r>
        <w:rPr>
          <w:rFonts w:hint="eastAsia" w:eastAsia="方正仿宋_GBK" w:cs="方正仿宋_GBK"/>
          <w:sz w:val="32"/>
          <w:szCs w:val="32"/>
        </w:rPr>
        <w:t>围绕八大产业链和“</w:t>
      </w:r>
      <w:r>
        <w:rPr>
          <w:rFonts w:eastAsia="方正仿宋_GBK"/>
          <w:sz w:val="32"/>
          <w:szCs w:val="32"/>
        </w:rPr>
        <w:t>4+4</w:t>
      </w:r>
      <w:r>
        <w:rPr>
          <w:rFonts w:hint="eastAsia" w:eastAsia="方正仿宋_GBK" w:cs="方正仿宋_GBK"/>
          <w:sz w:val="32"/>
          <w:szCs w:val="32"/>
        </w:rPr>
        <w:t>”产业体系精准引才，创建分产业、分行业、分产业链的创新人才数据库，构建车联网、物联网、人工智能等重点产业人才链。围绕重点产业领域建设科技创新专家智库，定期开展人才论坛、圆桌峰会等活动，汇聚各领域高端人才建言献策，促进前瞻性、战略性、创新性研究，形成“小中心、大外围”的智库外脑支撑。打造众创平台。依托科技园区、高校院所、重点实验室、工程技术研究中心等科技创新平台，积极发展创业园、创业基地、创业社区、创客空间等各类众创空间，培育和孵化具有前沿技术和全新商业模式的创客企业，构建一批省级以上高品质的众创平台。支持企业建立人才集聚培养平台，引进产业紧缺急需的创新创业领军人才、专业技术人才和经营管理人才，为产业发展提供强有力的人才支撑。</w:t>
      </w:r>
    </w:p>
    <w:p w14:paraId="70955ABB">
      <w:pPr>
        <w:pStyle w:val="5"/>
        <w:spacing w:before="200" w:after="160"/>
        <w:jc w:val="center"/>
        <w:rPr>
          <w:rFonts w:ascii="方正楷体_GBK" w:hAnsi="方正楷体_GBK" w:eastAsia="方正楷体_GBK"/>
          <w:b w:val="0"/>
          <w:bCs w:val="0"/>
        </w:rPr>
      </w:pPr>
      <w:bookmarkStart w:id="67" w:name="_Toc60466222"/>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集聚全球创新智力资源</w:t>
      </w:r>
      <w:bookmarkEnd w:id="67"/>
    </w:p>
    <w:p w14:paraId="7831C4B5">
      <w:pPr>
        <w:spacing w:line="590" w:lineRule="exact"/>
        <w:ind w:firstLine="629"/>
        <w:rPr>
          <w:rFonts w:eastAsia="方正仿宋_GBK"/>
          <w:sz w:val="32"/>
          <w:szCs w:val="32"/>
        </w:rPr>
      </w:pPr>
      <w:r>
        <w:rPr>
          <w:rFonts w:hint="eastAsia" w:eastAsia="方正仿宋_GBK" w:cs="方正仿宋_GBK"/>
          <w:sz w:val="32"/>
          <w:szCs w:val="32"/>
        </w:rPr>
        <w:t>对接“海智湾”创新平台，巩固拓展“生根出访”活动，加快海外协同创新中心实体化运行，依托海外人才联络站、欧美同学会、高校校友会等第三方合作机构，畅通高新区中日芬国际创新园、秦淮硅巷国际创新园、南部新城中芬合作交流中心等外向型载体对外交流渠道，构建更高效的求贤觅才信息网络和工作体系。建设“全球人才云”大数据平台，动态掌握全球认知物联网、人工智能、车联网、航空航天等领域人才的地域分布和流动趋势，进一步打通人才供给对接通道，引进一批国际一流的战略科技人才、科技领军人才和高水平创新团队。深入推进“百校对接”，持续开展市、区两级科技人才专员派驻，着力发展校友经济、菁英经济、海归经济。融入长三角区域创新共同体，加强创新型、应用型、技能型人才培养，壮大高水平工程师、高技能人才和青年技能人才队伍。支持鼓励本土规模企业通过技术入股、项目攻关等渠道，与国内外高端人才开展嫁接式合作，探索柔性引才模式，增强企业自身“造血”创新能力。</w:t>
      </w:r>
    </w:p>
    <w:p w14:paraId="0E2257A0">
      <w:pPr>
        <w:pStyle w:val="5"/>
        <w:spacing w:before="200" w:after="160"/>
        <w:jc w:val="center"/>
        <w:rPr>
          <w:rFonts w:ascii="方正楷体_GBK" w:hAnsi="方正楷体_GBK" w:eastAsia="方正楷体_GBK"/>
          <w:b w:val="0"/>
          <w:bCs w:val="0"/>
        </w:rPr>
      </w:pPr>
      <w:bookmarkStart w:id="68" w:name="_Toc60466223"/>
      <w:bookmarkStart w:id="69" w:name="_Toc6046622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提供全域高标人才服务</w:t>
      </w:r>
      <w:bookmarkEnd w:id="68"/>
    </w:p>
    <w:p w14:paraId="4A88368B">
      <w:pPr>
        <w:spacing w:line="590" w:lineRule="exact"/>
        <w:ind w:firstLine="629"/>
        <w:rPr>
          <w:rFonts w:eastAsia="方正仿宋_GBK"/>
          <w:sz w:val="32"/>
          <w:szCs w:val="32"/>
        </w:rPr>
      </w:pPr>
      <w:r>
        <w:rPr>
          <w:rFonts w:hint="eastAsia" w:eastAsia="方正仿宋_GBK" w:cs="方正仿宋_GBK"/>
          <w:sz w:val="32"/>
          <w:szCs w:val="32"/>
        </w:rPr>
        <w:t>实现人才政策精准配套和延续，以精细化服务充分满足人才的高层次需求，营造良性循环的人才生态，促进人才发展“有高原更有高峰”。健全党管人才工作机制，推动党委联系服务专家工作制度化、科学化、常态化，完善各领域专家人才库，建立多层级的挂包联系服务体系。建立完善人才服务网格，强化精准服务程度。引进社会化人才服务资源，加强与创业服务机构互动合作，为人才企业提供专业化、精准性的创业服务。建立银企政对接合作长效机制，指导人才企业用好用足“人才贷”等扶持政策。建立对天使投资、创投机构的投资奖励和风险补偿机制，吸引各类社会资本加入，形成市场化运作的科技创新基金。制定标准化的人才效益评估和常态化的跟踪服务机制，对区域贡献突出的核心人才团队提供安居、医疗、子女教育等服务保障绿色通道。到</w:t>
      </w:r>
      <w:r>
        <w:rPr>
          <w:rFonts w:eastAsia="方正仿宋_GBK"/>
          <w:sz w:val="32"/>
          <w:szCs w:val="32"/>
        </w:rPr>
        <w:t>2025</w:t>
      </w:r>
      <w:r>
        <w:rPr>
          <w:rFonts w:hint="eastAsia" w:eastAsia="方正仿宋_GBK" w:cs="方正仿宋_GBK"/>
          <w:sz w:val="32"/>
          <w:szCs w:val="32"/>
        </w:rPr>
        <w:t>年，全区累计集聚紫金山英才高峰计划人才</w:t>
      </w:r>
      <w:r>
        <w:rPr>
          <w:rFonts w:eastAsia="方正仿宋_GBK"/>
          <w:sz w:val="32"/>
          <w:szCs w:val="32"/>
        </w:rPr>
        <w:t>7</w:t>
      </w:r>
      <w:r>
        <w:rPr>
          <w:rFonts w:hint="eastAsia" w:eastAsia="方正仿宋_GBK" w:cs="方正仿宋_GBK"/>
          <w:sz w:val="32"/>
          <w:szCs w:val="32"/>
        </w:rPr>
        <w:t>人，先锋计划创新型企业家</w:t>
      </w:r>
      <w:r>
        <w:rPr>
          <w:rFonts w:eastAsia="方正仿宋_GBK"/>
          <w:sz w:val="32"/>
          <w:szCs w:val="32"/>
        </w:rPr>
        <w:t>75</w:t>
      </w:r>
      <w:r>
        <w:rPr>
          <w:rFonts w:hint="eastAsia" w:eastAsia="方正仿宋_GBK" w:cs="方正仿宋_GBK"/>
          <w:sz w:val="32"/>
          <w:szCs w:val="32"/>
        </w:rPr>
        <w:t>人，先锋计划高层次创新创业人才</w:t>
      </w:r>
      <w:r>
        <w:rPr>
          <w:rFonts w:eastAsia="方正仿宋_GBK"/>
          <w:sz w:val="32"/>
          <w:szCs w:val="32"/>
        </w:rPr>
        <w:t>250</w:t>
      </w:r>
      <w:r>
        <w:rPr>
          <w:rFonts w:hint="eastAsia" w:eastAsia="方正仿宋_GBK" w:cs="方正仿宋_GBK"/>
          <w:sz w:val="32"/>
          <w:szCs w:val="32"/>
        </w:rPr>
        <w:t>人。</w:t>
      </w:r>
    </w:p>
    <w:p w14:paraId="78C45671">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涵养高品质创新生态</w:t>
      </w:r>
      <w:bookmarkEnd w:id="69"/>
    </w:p>
    <w:p w14:paraId="63530AF7">
      <w:pPr>
        <w:pStyle w:val="5"/>
        <w:spacing w:before="120" w:after="120"/>
        <w:jc w:val="center"/>
        <w:rPr>
          <w:rFonts w:ascii="方正楷体_GBK" w:hAnsi="方正楷体_GBK" w:eastAsia="方正楷体_GBK"/>
          <w:b w:val="0"/>
          <w:bCs w:val="0"/>
        </w:rPr>
      </w:pPr>
      <w:bookmarkStart w:id="70" w:name="_Toc6046622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提升创新服务能力</w:t>
      </w:r>
      <w:bookmarkEnd w:id="70"/>
    </w:p>
    <w:p w14:paraId="108B550D">
      <w:pPr>
        <w:spacing w:line="590" w:lineRule="exact"/>
        <w:ind w:firstLine="629"/>
        <w:rPr>
          <w:rFonts w:eastAsia="方正仿宋_GBK"/>
          <w:spacing w:val="-11"/>
          <w:sz w:val="32"/>
          <w:szCs w:val="32"/>
        </w:rPr>
      </w:pPr>
      <w:r>
        <w:rPr>
          <w:rFonts w:hint="eastAsia" w:eastAsia="方正仿宋_GBK" w:cs="方正仿宋_GBK"/>
          <w:sz w:val="32"/>
          <w:szCs w:val="32"/>
        </w:rPr>
        <w:t>发挥好政府“金牌店小二”服务功能，做好产业引导和营商环境保障提升。发挥创新委职能，创新制度顶层设计，强化区域“</w:t>
      </w:r>
      <w:r>
        <w:rPr>
          <w:rFonts w:eastAsia="方正仿宋_GBK"/>
          <w:sz w:val="32"/>
          <w:szCs w:val="32"/>
        </w:rPr>
        <w:t>1+X</w:t>
      </w:r>
      <w:r>
        <w:rPr>
          <w:rFonts w:hint="eastAsia" w:eastAsia="方正仿宋_GBK" w:cs="方正仿宋_GBK"/>
          <w:sz w:val="32"/>
          <w:szCs w:val="32"/>
        </w:rPr>
        <w:t>”公共服务平台功能，围绕科技金融、技术转移、科技咨询、知识产权等领域，强化组织推进，实现多方协同，为全区科技创新企业提供发展全周期服务。打造“创新港湾”生态，聚焦成果转化，探索创新保险机制，实现创新风险共担。构建“楼上楼下创新创业综合体”，缩短从技术到产品的转化研究周期，立足高校、科研院所等主体的原始创新优势，构筑创新生态港湾，</w:t>
      </w:r>
      <w:r>
        <w:rPr>
          <w:rFonts w:hint="eastAsia" w:eastAsia="方正仿宋_GBK" w:cs="方正仿宋_GBK"/>
          <w:spacing w:val="-11"/>
          <w:sz w:val="32"/>
          <w:szCs w:val="32"/>
        </w:rPr>
        <w:t>承载要素溢出价值，辐射带动秦淮全域发展，提升科创主体服务质效。</w:t>
      </w:r>
    </w:p>
    <w:p w14:paraId="6451E977">
      <w:pPr>
        <w:pStyle w:val="5"/>
        <w:spacing w:before="120" w:after="120"/>
        <w:jc w:val="center"/>
        <w:rPr>
          <w:rFonts w:ascii="方正楷体_GBK" w:hAnsi="方正楷体_GBK" w:eastAsia="方正楷体_GBK"/>
          <w:b w:val="0"/>
          <w:bCs w:val="0"/>
        </w:rPr>
      </w:pPr>
      <w:bookmarkStart w:id="71" w:name="_Toc6046622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强化知识产权保护</w:t>
      </w:r>
      <w:bookmarkEnd w:id="71"/>
    </w:p>
    <w:p w14:paraId="36FD0F9C">
      <w:pPr>
        <w:spacing w:line="590" w:lineRule="exact"/>
        <w:ind w:firstLine="629"/>
        <w:rPr>
          <w:rFonts w:eastAsia="方正仿宋_GBK"/>
          <w:sz w:val="32"/>
          <w:szCs w:val="32"/>
        </w:rPr>
      </w:pPr>
      <w:r>
        <w:rPr>
          <w:rFonts w:hint="eastAsia" w:eastAsia="方正仿宋_GBK" w:cs="方正仿宋_GBK"/>
          <w:sz w:val="32"/>
          <w:szCs w:val="32"/>
        </w:rPr>
        <w:t>健全知识产权保护，提升知识产权创造、运用、保护、管理和服务能力，营造公平公正、开放透明的知识产权法治和市场环境。强化知识产权创造激励，资助和奖励政策向高质量、高价值专利倾斜，鼓励激发高价值知识产权创造。完善知识产权服务，联动白下高新区、产业科技园、高校院所等知识产权保障主体，建设知识产权服务业、专利导航产业和战略性新兴产业知识产权集群管理试点。支持高新园先行先试，推动白下高新园区开展江苏省知识产权示范园区建设。鼓励社会资本进入知识产权交易和产业领域，建立市场化创新方向选择机制和鼓励创新的风险分担、利益共享机制，依托现有知识产权交易服务平台，打通技术转移、产品中试和推广应用环节。创新知识产权管理，建设职责清晰、管理统一、运行高效的知识产权管理服务机构，形成重大问题专家咨询、部门会商、集体决策机制，提升管理效能，打造知识产权保护全链条体系，切实发挥知识产权保护对经济社会发展的助推作用。</w:t>
      </w:r>
    </w:p>
    <w:p w14:paraId="5C5B770E">
      <w:pPr>
        <w:pStyle w:val="5"/>
        <w:spacing w:before="120" w:after="120"/>
        <w:jc w:val="center"/>
        <w:rPr>
          <w:rFonts w:ascii="方正楷体_GBK" w:hAnsi="方正楷体_GBK" w:eastAsia="方正楷体_GBK"/>
          <w:b w:val="0"/>
          <w:bCs w:val="0"/>
        </w:rPr>
      </w:pPr>
      <w:bookmarkStart w:id="72" w:name="_Toc6046622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增强科创金融支撑</w:t>
      </w:r>
      <w:bookmarkEnd w:id="72"/>
    </w:p>
    <w:p w14:paraId="0E3CDD4C">
      <w:pPr>
        <w:spacing w:line="550" w:lineRule="exact"/>
        <w:ind w:firstLine="629"/>
        <w:rPr>
          <w:rFonts w:eastAsia="方正仿宋_GBK"/>
          <w:sz w:val="32"/>
          <w:szCs w:val="32"/>
        </w:rPr>
      </w:pPr>
      <w:r>
        <w:rPr>
          <w:rFonts w:hint="eastAsia" w:eastAsia="方正仿宋_GBK" w:cs="方正仿宋_GBK"/>
          <w:sz w:val="32"/>
          <w:szCs w:val="32"/>
        </w:rPr>
        <w:t>提高科技金融供给精准度，加大股权投资资金有效支持，提升科技金融服务对科技创新的支撑力度。推广应用创新券，将委托开发、科技评估、检验检测、知识产权服务、高新技术企业认定服务等纳入创新券使用范围，覆盖企业科技创新活动全过程。依托南京市中小企业服务中心、秦淮区创新生态平台等服务媒介，建立创新券运行系统，为创新创业提供低成本、便利化、全要素的开放式综合服务。整合各级各类财政专项，设立科技专项基金，吸纳国有资本和社会资本，采用母子基金运作方式，通过市区联动、政企联动，形成产业基金体系。出台投资基金管理办法，重点支持战略性新兴产业及科技创新平台载体快速发展。探索运用投贷联动模式，鼓励银行在风险投资机构评估和股权投资的基础上，对科技型企业提供融资支持。重点引进培育新型科技类金融机构，建设集创投、贷款、担保、保险、基金募集等主体和业务于一体的科技金融体系，开展创客发展专项融资试点。</w:t>
      </w:r>
    </w:p>
    <w:p w14:paraId="74D6DF32">
      <w:pPr>
        <w:pStyle w:val="5"/>
        <w:spacing w:before="120" w:after="120"/>
        <w:jc w:val="center"/>
        <w:rPr>
          <w:rFonts w:ascii="方正楷体_GBK" w:hAnsi="方正楷体_GBK" w:eastAsia="方正楷体_GBK"/>
          <w:b w:val="0"/>
          <w:bCs w:val="0"/>
        </w:rPr>
      </w:pPr>
      <w:bookmarkStart w:id="73" w:name="_Toc60466228"/>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促进成果转化应用</w:t>
      </w:r>
      <w:bookmarkEnd w:id="73"/>
    </w:p>
    <w:p w14:paraId="6710F5E3">
      <w:pPr>
        <w:spacing w:line="550" w:lineRule="exact"/>
        <w:ind w:firstLine="629"/>
        <w:rPr>
          <w:rFonts w:eastAsia="方正仿宋_GBK"/>
          <w:sz w:val="32"/>
          <w:szCs w:val="32"/>
        </w:rPr>
      </w:pPr>
      <w:r>
        <w:rPr>
          <w:rFonts w:hint="eastAsia" w:eastAsia="方正仿宋_GBK" w:cs="方正仿宋_GBK"/>
          <w:sz w:val="32"/>
          <w:szCs w:val="32"/>
        </w:rPr>
        <w:t>鼓励和支持区内龙头企业与高校院所，围绕科技成果转化的中后端环节，组建以人才团队持大股、市场化运作、职业经理人管理为特征的新型研发机构，发动企业实施“金桥工程”、“海智计划”，聚力打通成果转化“最后一公里”。探索建立全区科技成果超市，采用线上线下同步运作模式，在文旅商融合、车联网、老城有机更新、新城开发建设等领域开发应用场景，提供示范运用。完善创新产品“首购首用”风险补偿和新产品使用行政免责等机制，实现创新产品目录动态发布，定期召开产品应用推介会，帮助企业解决“第一单”问题。落实支持采购创新产品和服务的政策，加强对创新产品研制企业和用户方的双向支持，通过实施新技术、新产品示范应用工程，促进产业、技术与应用协同发展。</w:t>
      </w:r>
    </w:p>
    <w:p w14:paraId="0E66D050">
      <w:pPr>
        <w:pStyle w:val="2"/>
        <w:rPr>
          <w:rFonts w:eastAsia="方正仿宋_GBK"/>
          <w:sz w:val="32"/>
          <w:szCs w:val="32"/>
        </w:rPr>
      </w:pPr>
    </w:p>
    <w:p w14:paraId="6BBE639E">
      <w:pPr>
        <w:pStyle w:val="2"/>
        <w:rPr>
          <w:rFonts w:eastAsia="方正仿宋_GBK"/>
          <w:sz w:val="32"/>
          <w:szCs w:val="32"/>
        </w:rPr>
      </w:pPr>
    </w:p>
    <w:p w14:paraId="525DAC2E">
      <w:pPr>
        <w:pStyle w:val="3"/>
        <w:keepNext w:val="0"/>
        <w:keepLines w:val="0"/>
        <w:spacing w:before="0" w:after="0" w:line="700" w:lineRule="exact"/>
        <w:jc w:val="center"/>
        <w:rPr>
          <w:rFonts w:ascii="方正小标宋_GBK" w:eastAsia="方正小标宋_GBK"/>
          <w:b w:val="0"/>
          <w:bCs w:val="0"/>
        </w:rPr>
      </w:pPr>
      <w:bookmarkStart w:id="74" w:name="_Toc60466229"/>
      <w:r>
        <w:rPr>
          <w:rFonts w:hint="eastAsia" w:ascii="方正小标宋_GBK" w:eastAsia="方正小标宋_GBK" w:cs="方正小标宋_GBK"/>
          <w:b w:val="0"/>
          <w:bCs w:val="0"/>
        </w:rPr>
        <w:t>第三篇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南部新城发展起飞，主导产业质效双增，增强秦淮经济活力新动能</w:t>
      </w:r>
      <w:bookmarkEnd w:id="74"/>
    </w:p>
    <w:p w14:paraId="39E8AA11">
      <w:pPr>
        <w:spacing w:line="520" w:lineRule="exact"/>
        <w:ind w:firstLine="601"/>
        <w:rPr>
          <w:rFonts w:eastAsia="方正仿宋_GBK"/>
          <w:sz w:val="32"/>
          <w:szCs w:val="32"/>
        </w:rPr>
      </w:pPr>
    </w:p>
    <w:p w14:paraId="3C955080">
      <w:pPr>
        <w:spacing w:line="590" w:lineRule="exact"/>
        <w:ind w:firstLine="629"/>
        <w:rPr>
          <w:rFonts w:eastAsia="方正仿宋_GBK"/>
          <w:sz w:val="32"/>
          <w:szCs w:val="32"/>
        </w:rPr>
      </w:pPr>
      <w:r>
        <w:rPr>
          <w:rFonts w:hint="eastAsia" w:eastAsia="方正仿宋_GBK" w:cs="方正仿宋_GBK"/>
          <w:sz w:val="32"/>
          <w:szCs w:val="32"/>
        </w:rPr>
        <w:t>构建南部新城“</w:t>
      </w:r>
      <w:r>
        <w:rPr>
          <w:rFonts w:eastAsia="方正仿宋_GBK"/>
          <w:sz w:val="32"/>
          <w:szCs w:val="32"/>
        </w:rPr>
        <w:t>1+2</w:t>
      </w:r>
      <w:r>
        <w:rPr>
          <w:rFonts w:hint="eastAsia" w:eastAsia="方正仿宋_GBK" w:cs="方正仿宋_GBK"/>
          <w:sz w:val="32"/>
          <w:szCs w:val="32"/>
        </w:rPr>
        <w:t>”主导产业体系，优化行政区“</w:t>
      </w:r>
      <w:r>
        <w:rPr>
          <w:rFonts w:eastAsia="方正仿宋_GBK"/>
          <w:sz w:val="32"/>
          <w:szCs w:val="32"/>
        </w:rPr>
        <w:t>4+4</w:t>
      </w:r>
      <w:r>
        <w:rPr>
          <w:rFonts w:hint="eastAsia" w:eastAsia="方正仿宋_GBK" w:cs="方正仿宋_GBK"/>
          <w:sz w:val="32"/>
          <w:szCs w:val="32"/>
        </w:rPr>
        <w:t>”主导产业结构，实施产业项目攻坚提质、主导产业加速集聚、综合消费提振升级和企业服务优化提升“四项行动”，促进传统产业高端化转型和结构化升级，布局并激发新兴产业发展潜能，提升都市工业数字化、信息化水平，构建产值结构更均衡、财力贡献更协调的现代产业体系。</w:t>
      </w:r>
    </w:p>
    <w:p w14:paraId="790BE27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75" w:name="_Toc60466230"/>
      <w:bookmarkStart w:id="76" w:name="_Toc439776017"/>
      <w:r>
        <w:rPr>
          <w:rFonts w:hint="eastAsia" w:ascii="方正黑体_GBK" w:hAnsi="方正黑体_GBK" w:eastAsia="方正黑体_GBK" w:cs="方正黑体_GBK"/>
          <w:b w:val="0"/>
          <w:bCs w:val="0"/>
        </w:rPr>
        <w:t>第八章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释放南部新城主导产业动能</w:t>
      </w:r>
      <w:bookmarkEnd w:id="75"/>
    </w:p>
    <w:p w14:paraId="3D95A816">
      <w:pPr>
        <w:pStyle w:val="5"/>
        <w:spacing w:after="200" w:line="520" w:lineRule="exact"/>
        <w:jc w:val="center"/>
        <w:rPr>
          <w:rFonts w:ascii="方正楷体_GBK" w:hAnsi="方正楷体_GBK" w:eastAsia="方正楷体_GBK"/>
          <w:b w:val="0"/>
          <w:bCs w:val="0"/>
        </w:rPr>
      </w:pPr>
      <w:bookmarkStart w:id="77" w:name="_Toc6046623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构建都市圈超级总部集聚区</w:t>
      </w:r>
      <w:bookmarkEnd w:id="77"/>
    </w:p>
    <w:p w14:paraId="1853752E">
      <w:pPr>
        <w:spacing w:line="590" w:lineRule="exact"/>
        <w:ind w:firstLine="629"/>
        <w:rPr>
          <w:rFonts w:eastAsia="方正仿宋_GBK"/>
          <w:sz w:val="32"/>
          <w:szCs w:val="32"/>
        </w:rPr>
      </w:pPr>
      <w:r>
        <w:rPr>
          <w:rFonts w:hint="eastAsia" w:eastAsia="方正仿宋_GBK" w:cs="方正仿宋_GBK"/>
          <w:sz w:val="32"/>
          <w:szCs w:val="32"/>
        </w:rPr>
        <w:t>发展商务总部经济，建设枢纽经济特色超级总部基地。依托城市轨道交通、高速公路、高铁等交通集聚和便利的优势，打造时间半径为“</w:t>
      </w:r>
      <w:r>
        <w:rPr>
          <w:rFonts w:eastAsia="方正仿宋_GBK"/>
          <w:sz w:val="32"/>
          <w:szCs w:val="32"/>
        </w:rPr>
        <w:t>1</w:t>
      </w:r>
      <w:r>
        <w:rPr>
          <w:rFonts w:hint="eastAsia" w:eastAsia="方正仿宋_GBK" w:cs="方正仿宋_GBK"/>
          <w:sz w:val="32"/>
          <w:szCs w:val="32"/>
        </w:rPr>
        <w:t>小时”的枢纽经济商务圈。积极吸引世界</w:t>
      </w:r>
      <w:r>
        <w:rPr>
          <w:rFonts w:eastAsia="方正仿宋_GBK"/>
          <w:sz w:val="32"/>
          <w:szCs w:val="32"/>
        </w:rPr>
        <w:t>500</w:t>
      </w:r>
      <w:r>
        <w:rPr>
          <w:rFonts w:hint="eastAsia" w:eastAsia="方正仿宋_GBK" w:cs="方正仿宋_GBK"/>
          <w:sz w:val="32"/>
          <w:szCs w:val="32"/>
        </w:rPr>
        <w:t>强和中国百强、大型跨国公司、行业领军、独角兽企业、瞪羚企业、拟上市企业的综合型、区域型总部，全力打造南京第一、江苏领先、国内一流的超级总部基地。打造功能型总部、数字经济总部集聚新高地，统筹推进大数据、物联网、人工智能、区块链等新技术产业的发展，加快</w:t>
      </w:r>
      <w:r>
        <w:rPr>
          <w:rFonts w:eastAsia="方正仿宋_GBK"/>
          <w:sz w:val="32"/>
          <w:szCs w:val="32"/>
        </w:rPr>
        <w:t>5G</w:t>
      </w:r>
      <w:r>
        <w:rPr>
          <w:rFonts w:hint="eastAsia" w:eastAsia="方正仿宋_GBK" w:cs="方正仿宋_GBK"/>
          <w:sz w:val="32"/>
          <w:szCs w:val="32"/>
        </w:rPr>
        <w:t>技术应用。加快总部载体建设，打造亿元总部楼宇。实施差别化土地供应路径和多样化产业导入策略，为优质企业预留高价值载体，打造最优质的营商环境。建立总部企业储备库和重点招商目标库，搭建总部企业跨界交流平台，通过成立产业联盟、企业业主委员会、设立产业引导基金等形式，为企业搭建跨界交流平台，形成“共创、共赢、共享”的产业生态。深化低碳理念，加快南部新城中芬低碳生态创新园区建设，以点带面，打造南部新城零碳未来城。</w:t>
      </w:r>
    </w:p>
    <w:p w14:paraId="6C1E7D0A">
      <w:pPr>
        <w:pStyle w:val="5"/>
        <w:spacing w:after="200" w:line="520" w:lineRule="exact"/>
        <w:jc w:val="center"/>
        <w:rPr>
          <w:rFonts w:ascii="方正楷体_GBK" w:hAnsi="方正楷体_GBK" w:eastAsia="方正楷体_GBK"/>
          <w:b w:val="0"/>
          <w:bCs w:val="0"/>
        </w:rPr>
      </w:pPr>
      <w:bookmarkStart w:id="78" w:name="_Toc56079774"/>
      <w:bookmarkStart w:id="79" w:name="_Toc56615492"/>
      <w:bookmarkStart w:id="80" w:name="_Toc60466232"/>
      <w:bookmarkStart w:id="81" w:name="_Toc5980930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打造现代时尚文化</w:t>
      </w:r>
      <w:bookmarkEnd w:id="78"/>
      <w:bookmarkEnd w:id="79"/>
      <w:r>
        <w:rPr>
          <w:rFonts w:hint="eastAsia" w:ascii="方正楷体_GBK" w:hAnsi="方正楷体_GBK" w:eastAsia="方正楷体_GBK" w:cs="方正楷体_GBK"/>
          <w:b w:val="0"/>
          <w:bCs w:val="0"/>
        </w:rPr>
        <w:t>矽谷</w:t>
      </w:r>
      <w:bookmarkEnd w:id="80"/>
      <w:bookmarkEnd w:id="81"/>
    </w:p>
    <w:p w14:paraId="085B379F">
      <w:pPr>
        <w:spacing w:line="590" w:lineRule="exact"/>
        <w:ind w:firstLine="629"/>
        <w:rPr>
          <w:rFonts w:eastAsia="方正仿宋_GBK"/>
          <w:sz w:val="32"/>
          <w:szCs w:val="32"/>
        </w:rPr>
      </w:pPr>
      <w:r>
        <w:rPr>
          <w:rFonts w:hint="eastAsia" w:eastAsia="方正仿宋_GBK" w:cs="方正仿宋_GBK"/>
          <w:sz w:val="32"/>
          <w:szCs w:val="32"/>
        </w:rPr>
        <w:t>发展高端文化创意产业，融入南京“世界文学之都”</w:t>
      </w:r>
      <w:r>
        <w:rPr>
          <w:rFonts w:eastAsia="方正仿宋_GBK"/>
          <w:sz w:val="32"/>
          <w:szCs w:val="32"/>
        </w:rPr>
        <w:t xml:space="preserve"> </w:t>
      </w:r>
      <w:r>
        <w:rPr>
          <w:rFonts w:hint="eastAsia" w:eastAsia="方正仿宋_GBK" w:cs="方正仿宋_GBK"/>
          <w:sz w:val="32"/>
          <w:szCs w:val="32"/>
        </w:rPr>
        <w:t>建设，打造国际时尚文化地标。依托中国第二历史档案馆、南京博物院故宫馆新馆、中芬合作交流中心和全球规模最大、保护最完整、最具活力的机场跑道公园等重量级、国际化文化设施，实现文化事业和文化产业高质量发展。推进文化创意产业与相关产业深度融合，打造文化矽谷。坚持文创产业化、产业文创化“两化”并进，坚持“文化创意”与“科技创新”两轮驱动，建设数字化、网络化、智能化文化消费平台，推出云音乐会、云展览、云观影、云录制等文化生产与消费的新场景、新模式、新业态，引领文化产业实现发展突破，沉浸式、互动式、个性定制化的文化产品和服务不断丰富居民文化消费选择，促进线上文化产业快速发展，将南部新城打造南京乃至全国的文化矽谷。</w:t>
      </w:r>
    </w:p>
    <w:p w14:paraId="66EBE318">
      <w:pPr>
        <w:pStyle w:val="5"/>
        <w:spacing w:after="200" w:line="520" w:lineRule="exact"/>
        <w:jc w:val="center"/>
        <w:rPr>
          <w:rFonts w:ascii="方正楷体_GBK" w:hAnsi="方正楷体_GBK" w:eastAsia="方正楷体_GBK"/>
          <w:b w:val="0"/>
          <w:bCs w:val="0"/>
        </w:rPr>
      </w:pPr>
      <w:bookmarkStart w:id="82" w:name="_Toc56079775"/>
      <w:bookmarkStart w:id="83" w:name="_Toc56615493"/>
      <w:bookmarkStart w:id="84" w:name="_Toc59809305"/>
      <w:bookmarkStart w:id="85" w:name="_Toc60466233"/>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打造健康休闲产业集群</w:t>
      </w:r>
      <w:bookmarkEnd w:id="82"/>
      <w:bookmarkEnd w:id="83"/>
      <w:bookmarkEnd w:id="84"/>
      <w:bookmarkEnd w:id="85"/>
    </w:p>
    <w:p w14:paraId="2DA063C3">
      <w:pPr>
        <w:spacing w:line="590" w:lineRule="exact"/>
        <w:ind w:firstLine="629"/>
        <w:rPr>
          <w:rFonts w:eastAsia="方正仿宋_GBK"/>
          <w:sz w:val="32"/>
          <w:szCs w:val="32"/>
        </w:rPr>
      </w:pPr>
      <w:r>
        <w:rPr>
          <w:rFonts w:hint="eastAsia" w:eastAsia="方正仿宋_GBK" w:cs="方正仿宋_GBK"/>
          <w:sz w:val="32"/>
          <w:szCs w:val="32"/>
        </w:rPr>
        <w:t>发展健康休闲产业，打造高精尖健康休闲总部集聚区，充分发挥医疗健康产业的协同效应，落户一批国际国内顶尖水平的健康休闲企业，深度打造高、精、尖健康休闲总部集聚区。打造智慧健康医疗产业新高地。发展智慧医疗，鼓励国际医疗服务外包、医疗旅游、康复疗养等高端医疗健康服务业发展。引进国际知名医疗健康服务资源，鼓励物联网、云计算、移动互联网、智能终端、健康信息等技术在医疗健康领域应用，实现健康产业总部经济集群式发展。推动健康体育发展。加速建设全民健身中心，结合机场跑道、河头公园，引进高水平并具有持续性的国际赛事，形成行业配套、产业联动、运行高效的健康产业运营体系。</w:t>
      </w:r>
    </w:p>
    <w:p w14:paraId="410DA2AB">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86" w:name="_Toc60466234"/>
      <w:r>
        <w:rPr>
          <w:rFonts w:hint="eastAsia" w:ascii="方正黑体_GBK" w:hAnsi="方正黑体_GBK" w:eastAsia="方正黑体_GBK" w:cs="方正黑体_GBK"/>
          <w:b w:val="0"/>
          <w:bCs w:val="0"/>
        </w:rPr>
        <w:t>第九章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促进传统产业优化升级</w:t>
      </w:r>
      <w:bookmarkEnd w:id="86"/>
    </w:p>
    <w:p w14:paraId="6EF6C3CB">
      <w:pPr>
        <w:pStyle w:val="5"/>
        <w:spacing w:after="200" w:line="520" w:lineRule="exact"/>
        <w:jc w:val="center"/>
        <w:rPr>
          <w:rFonts w:ascii="方正楷体_GBK" w:hAnsi="方正楷体_GBK" w:eastAsia="方正楷体_GBK"/>
          <w:b w:val="0"/>
          <w:bCs w:val="0"/>
        </w:rPr>
      </w:pPr>
      <w:bookmarkStart w:id="87" w:name="_Toc6046623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促进商贸商务转型</w:t>
      </w:r>
      <w:bookmarkEnd w:id="87"/>
    </w:p>
    <w:p w14:paraId="2321821F">
      <w:pPr>
        <w:spacing w:line="590" w:lineRule="exact"/>
        <w:ind w:firstLine="629"/>
        <w:rPr>
          <w:rFonts w:eastAsia="方正仿宋_GBK"/>
          <w:sz w:val="32"/>
          <w:szCs w:val="32"/>
        </w:rPr>
      </w:pPr>
      <w:r>
        <w:rPr>
          <w:rFonts w:hint="eastAsia" w:eastAsia="方正仿宋_GBK" w:cs="方正仿宋_GBK"/>
          <w:sz w:val="32"/>
          <w:szCs w:val="32"/>
        </w:rPr>
        <w:t>推动商贸业由传统向现代转型，加快高端化、时尚化、体验化发展，鼓励数字化、智能化升级。重点发展体验消费、品牌经济、时尚消费和智慧商业，引进培育一批高端商贸、商务总部。鼓励新街口商圈商贸业态创新突破，加速布局沉浸式、乐园式商贸体验综合体，引进潮牌首店和高端品牌，引进培育高端商务总部；推进夫子庙、老门东片区引进业内领先的文旅商体验企业和项目，建设文化内涵丰厚、展示层次丰富的文旅商体验消费特色空间；突出南部新城国际化商业业态、元素的注入呈现，结合未来社区打造，布局智慧商业和高端商务总部。社会消费品零售总额增速达</w:t>
      </w:r>
      <w:r>
        <w:rPr>
          <w:rFonts w:eastAsia="方正仿宋_GBK"/>
          <w:sz w:val="32"/>
          <w:szCs w:val="32"/>
        </w:rPr>
        <w:t>8%</w:t>
      </w:r>
      <w:r>
        <w:rPr>
          <w:rFonts w:hint="eastAsia" w:eastAsia="方正仿宋_GBK" w:cs="方正仿宋_GBK"/>
          <w:sz w:val="32"/>
          <w:szCs w:val="32"/>
        </w:rPr>
        <w:t>。</w:t>
      </w:r>
    </w:p>
    <w:p w14:paraId="3BCDCAAA">
      <w:pPr>
        <w:pStyle w:val="5"/>
        <w:spacing w:after="200" w:line="520" w:lineRule="exact"/>
        <w:jc w:val="center"/>
        <w:rPr>
          <w:rFonts w:ascii="方正楷体_GBK" w:hAnsi="方正楷体_GBK" w:eastAsia="方正楷体_GBK"/>
          <w:b w:val="0"/>
          <w:bCs w:val="0"/>
        </w:rPr>
      </w:pPr>
      <w:bookmarkStart w:id="88" w:name="_Toc6046623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突出现代金融特色</w:t>
      </w:r>
      <w:bookmarkEnd w:id="88"/>
    </w:p>
    <w:p w14:paraId="37A215A6">
      <w:pPr>
        <w:spacing w:line="590" w:lineRule="exact"/>
        <w:ind w:firstLine="629"/>
        <w:rPr>
          <w:rFonts w:eastAsia="方正仿宋_GBK"/>
          <w:sz w:val="32"/>
          <w:szCs w:val="32"/>
        </w:rPr>
      </w:pPr>
      <w:r>
        <w:rPr>
          <w:rFonts w:hint="eastAsia" w:eastAsia="方正仿宋_GBK" w:cs="方正仿宋_GBK"/>
          <w:sz w:val="32"/>
          <w:szCs w:val="32"/>
        </w:rPr>
        <w:t>坚持传统金融与新兴金融并重，发力消费金融、科技金融、文化金融、普惠金融等金融服务细分领域，构建新街口金融核心区和周延地带、南部新城商务区、高新园区及创新湾区等重点空间分布格局。推动金融服务切入教育、医疗、科技、文化等细分领域，构建更具秦淮特色的金融消费和服务场景。发挥产业引导基金作用，支持区内创新创业类企业发展，引进培育天使投资、</w:t>
      </w:r>
      <w:r>
        <w:rPr>
          <w:rFonts w:eastAsia="方正仿宋_GBK"/>
          <w:sz w:val="32"/>
          <w:szCs w:val="32"/>
        </w:rPr>
        <w:t>VC</w:t>
      </w:r>
      <w:r>
        <w:rPr>
          <w:rFonts w:hint="eastAsia" w:eastAsia="方正仿宋_GBK" w:cs="方正仿宋_GBK"/>
          <w:sz w:val="32"/>
          <w:szCs w:val="32"/>
        </w:rPr>
        <w:t>投资、</w:t>
      </w:r>
      <w:r>
        <w:rPr>
          <w:rFonts w:eastAsia="方正仿宋_GBK"/>
          <w:sz w:val="32"/>
          <w:szCs w:val="32"/>
        </w:rPr>
        <w:t>PE</w:t>
      </w:r>
      <w:r>
        <w:rPr>
          <w:rFonts w:hint="eastAsia" w:eastAsia="方正仿宋_GBK" w:cs="方正仿宋_GBK"/>
          <w:sz w:val="32"/>
          <w:szCs w:val="32"/>
        </w:rPr>
        <w:t>投资、产业投资、并购投资等机构，形成覆盖企业不同成长阶段的基金投资体系，营造良性金融发展生态，加快发展资产配置管理等高质量的资产管理产业，构建机构多元、业态丰富、特色彰显的现代金融格局。依托平安国际金融中心等项目建设，重塑新街口板块现代金融集聚的高品质形象。到</w:t>
      </w:r>
      <w:r>
        <w:rPr>
          <w:rFonts w:eastAsia="方正仿宋_GBK"/>
          <w:sz w:val="32"/>
          <w:szCs w:val="32"/>
        </w:rPr>
        <w:t>2025</w:t>
      </w:r>
      <w:r>
        <w:rPr>
          <w:rFonts w:hint="eastAsia" w:eastAsia="方正仿宋_GBK" w:cs="方正仿宋_GBK"/>
          <w:sz w:val="32"/>
          <w:szCs w:val="32"/>
        </w:rPr>
        <w:t>年，金融业增加值达到</w:t>
      </w:r>
      <w:r>
        <w:rPr>
          <w:rFonts w:eastAsia="方正仿宋_GBK"/>
          <w:sz w:val="32"/>
          <w:szCs w:val="32"/>
        </w:rPr>
        <w:t>600</w:t>
      </w:r>
      <w:r>
        <w:rPr>
          <w:rFonts w:hint="eastAsia" w:eastAsia="方正仿宋_GBK" w:cs="方正仿宋_GBK"/>
          <w:sz w:val="32"/>
          <w:szCs w:val="32"/>
        </w:rPr>
        <w:t>亿，新增挂牌、上市企业</w:t>
      </w:r>
      <w:r>
        <w:rPr>
          <w:rFonts w:eastAsia="方正仿宋_GBK"/>
          <w:sz w:val="32"/>
          <w:szCs w:val="32"/>
        </w:rPr>
        <w:t>20</w:t>
      </w:r>
      <w:r>
        <w:rPr>
          <w:rFonts w:hint="eastAsia" w:eastAsia="方正仿宋_GBK" w:cs="方正仿宋_GBK"/>
          <w:sz w:val="32"/>
          <w:szCs w:val="32"/>
        </w:rPr>
        <w:t>家。</w:t>
      </w:r>
    </w:p>
    <w:p w14:paraId="5C9EA428">
      <w:pPr>
        <w:pStyle w:val="5"/>
        <w:spacing w:after="200" w:line="520" w:lineRule="exact"/>
        <w:jc w:val="center"/>
        <w:rPr>
          <w:rFonts w:ascii="方正楷体_GBK" w:hAnsi="方正楷体_GBK" w:eastAsia="方正楷体_GBK"/>
          <w:b w:val="0"/>
          <w:bCs w:val="0"/>
        </w:rPr>
      </w:pPr>
      <w:bookmarkStart w:id="89" w:name="_Toc6046623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推进文旅商融合发展</w:t>
      </w:r>
      <w:bookmarkEnd w:id="89"/>
    </w:p>
    <w:p w14:paraId="14C40BB1">
      <w:pPr>
        <w:spacing w:line="590" w:lineRule="exact"/>
        <w:ind w:firstLine="629"/>
        <w:rPr>
          <w:rFonts w:eastAsia="方正仿宋_GBK"/>
          <w:sz w:val="32"/>
          <w:szCs w:val="32"/>
        </w:rPr>
      </w:pPr>
      <w:r>
        <w:rPr>
          <w:rFonts w:hint="eastAsia" w:eastAsia="方正仿宋_GBK" w:cs="方正仿宋_GBK"/>
          <w:sz w:val="32"/>
          <w:szCs w:val="32"/>
        </w:rPr>
        <w:t>推动文旅商跨界融合发展，打造国际文化休闲旅游目的地，建成</w:t>
      </w:r>
      <w:r>
        <w:rPr>
          <w:rFonts w:eastAsia="方正仿宋_GBK"/>
          <w:sz w:val="32"/>
          <w:szCs w:val="32"/>
        </w:rPr>
        <w:t>2-3</w:t>
      </w:r>
      <w:r>
        <w:rPr>
          <w:rFonts w:hint="eastAsia" w:eastAsia="方正仿宋_GBK" w:cs="方正仿宋_GBK"/>
          <w:sz w:val="32"/>
          <w:szCs w:val="32"/>
        </w:rPr>
        <w:t>个国内领先、世界知名的文旅商融合发展商圈和步行街。在夫子庙、老门东等区域引入国内知名</w:t>
      </w:r>
      <w:r>
        <w:rPr>
          <w:rFonts w:eastAsia="方正仿宋_GBK"/>
          <w:sz w:val="32"/>
          <w:szCs w:val="32"/>
        </w:rPr>
        <w:t>MCN</w:t>
      </w:r>
      <w:r>
        <w:rPr>
          <w:rFonts w:hint="eastAsia" w:eastAsia="方正仿宋_GBK" w:cs="方正仿宋_GBK"/>
          <w:sz w:val="32"/>
          <w:szCs w:val="32"/>
        </w:rPr>
        <w:t>机构及网红，引进文旅消费的“首店”、“总店”，打造</w:t>
      </w:r>
      <w:r>
        <w:rPr>
          <w:rFonts w:eastAsia="方正仿宋_GBK"/>
          <w:sz w:val="32"/>
          <w:szCs w:val="32"/>
        </w:rPr>
        <w:t>3-5</w:t>
      </w:r>
      <w:r>
        <w:rPr>
          <w:rFonts w:hint="eastAsia" w:eastAsia="方正仿宋_GBK" w:cs="方正仿宋_GBK"/>
          <w:sz w:val="32"/>
          <w:szCs w:val="32"/>
        </w:rPr>
        <w:t>条具有独特体验感的文化廊道，布局演艺、展览等沉浸式体验项目、创意产品和时尚活动。打造短视频产业园，集聚</w:t>
      </w:r>
      <w:r>
        <w:rPr>
          <w:rFonts w:eastAsia="方正仿宋_GBK"/>
          <w:sz w:val="32"/>
          <w:szCs w:val="32"/>
        </w:rPr>
        <w:t>MCN</w:t>
      </w:r>
      <w:r>
        <w:rPr>
          <w:rFonts w:hint="eastAsia" w:eastAsia="方正仿宋_GBK" w:cs="方正仿宋_GBK"/>
          <w:sz w:val="32"/>
          <w:szCs w:val="32"/>
        </w:rPr>
        <w:t>机构以及直播培训、媒体融合、云视频平台、智能剪辑上下游产业链企业。做大“网文谷”传播流量，发展网络文学的影视化转化和版权交易产业。推动全域旅游数据中心改造提升，构建“吃、住、行、游、购、娱”智慧旅游体系。到</w:t>
      </w:r>
      <w:r>
        <w:rPr>
          <w:rFonts w:eastAsia="方正仿宋_GBK"/>
          <w:sz w:val="32"/>
          <w:szCs w:val="32"/>
        </w:rPr>
        <w:t>2025</w:t>
      </w:r>
      <w:r>
        <w:rPr>
          <w:rFonts w:hint="eastAsia" w:eastAsia="方正仿宋_GBK" w:cs="方正仿宋_GBK"/>
          <w:sz w:val="32"/>
          <w:szCs w:val="32"/>
        </w:rPr>
        <w:t>年，旅游总收入达</w:t>
      </w:r>
      <w:r>
        <w:rPr>
          <w:rFonts w:eastAsia="方正仿宋_GBK"/>
          <w:sz w:val="32"/>
          <w:szCs w:val="32"/>
        </w:rPr>
        <w:t>1500</w:t>
      </w:r>
      <w:r>
        <w:rPr>
          <w:rFonts w:hint="eastAsia" w:eastAsia="方正仿宋_GBK" w:cs="方正仿宋_GBK"/>
          <w:sz w:val="32"/>
          <w:szCs w:val="32"/>
        </w:rPr>
        <w:t>亿，文化产业增加值占</w:t>
      </w:r>
      <w:r>
        <w:rPr>
          <w:rFonts w:eastAsia="方正仿宋_GBK"/>
          <w:sz w:val="32"/>
          <w:szCs w:val="32"/>
        </w:rPr>
        <w:t>GDP</w:t>
      </w:r>
      <w:r>
        <w:rPr>
          <w:rFonts w:hint="eastAsia" w:eastAsia="方正仿宋_GBK" w:cs="方正仿宋_GBK"/>
          <w:sz w:val="32"/>
          <w:szCs w:val="32"/>
        </w:rPr>
        <w:t>比重达</w:t>
      </w:r>
      <w:r>
        <w:rPr>
          <w:rFonts w:eastAsia="方正仿宋_GBK"/>
          <w:sz w:val="32"/>
          <w:szCs w:val="32"/>
        </w:rPr>
        <w:t>9%</w:t>
      </w:r>
      <w:r>
        <w:rPr>
          <w:rFonts w:hint="eastAsia" w:eastAsia="方正仿宋_GBK" w:cs="方正仿宋_GBK"/>
          <w:sz w:val="32"/>
          <w:szCs w:val="32"/>
        </w:rPr>
        <w:t>。</w:t>
      </w:r>
    </w:p>
    <w:p w14:paraId="4C512BFD">
      <w:pPr>
        <w:pStyle w:val="5"/>
        <w:spacing w:after="200" w:line="520" w:lineRule="exact"/>
        <w:jc w:val="center"/>
        <w:rPr>
          <w:rFonts w:eastAsia="华文中宋"/>
          <w:b w:val="0"/>
          <w:bCs w:val="0"/>
        </w:rPr>
      </w:pPr>
      <w:bookmarkStart w:id="90" w:name="_Toc60466238"/>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做强软件和信息服务</w:t>
      </w:r>
      <w:bookmarkEnd w:id="90"/>
    </w:p>
    <w:p w14:paraId="3989781A">
      <w:pPr>
        <w:spacing w:line="590" w:lineRule="exact"/>
        <w:ind w:firstLine="629"/>
        <w:rPr>
          <w:rFonts w:eastAsia="方正仿宋_GBK"/>
          <w:sz w:val="32"/>
          <w:szCs w:val="32"/>
        </w:rPr>
      </w:pPr>
      <w:r>
        <w:rPr>
          <w:rFonts w:hint="eastAsia" w:eastAsia="方正仿宋_GBK" w:cs="方正仿宋_GBK"/>
          <w:sz w:val="32"/>
          <w:szCs w:val="32"/>
        </w:rPr>
        <w:t>加快软件和信息服务产业关键领域技术突破，发展云计算和大数据、高端软件开发和通信信息服务领域等细分产业。依托白下高新区、南部新城，打造云计算创新基地，培育大数据交易市场；依托通服大厦、悦动</w:t>
      </w:r>
      <w:r>
        <w:rPr>
          <w:rFonts w:eastAsia="方正仿宋_GBK"/>
          <w:sz w:val="32"/>
          <w:szCs w:val="32"/>
        </w:rPr>
        <w:t>·</w:t>
      </w:r>
      <w:r>
        <w:rPr>
          <w:rFonts w:hint="eastAsia" w:eastAsia="方正仿宋_GBK" w:cs="方正仿宋_GBK"/>
          <w:sz w:val="32"/>
          <w:szCs w:val="32"/>
        </w:rPr>
        <w:t>新门西，发展网络通信产业集群。发展智慧政务、智慧交通、智慧城市、人工智能、电子商务、消费金融等领域的行业应用软件。支持网络传输及运营、互联网信息服务、信息安全服务、信息咨询服务及系统集成等产业集聚发展。重点发展面向车联网的位置服务、高清视频通信网络服务，加快发展面向电子商务、消费金融的技术服务平台和解决方案提供商和产业链布局。到</w:t>
      </w:r>
      <w:r>
        <w:rPr>
          <w:rFonts w:eastAsia="方正仿宋_GBK"/>
          <w:sz w:val="32"/>
          <w:szCs w:val="32"/>
        </w:rPr>
        <w:t>2025</w:t>
      </w:r>
      <w:r>
        <w:rPr>
          <w:rFonts w:hint="eastAsia" w:eastAsia="方正仿宋_GBK" w:cs="方正仿宋_GBK"/>
          <w:sz w:val="32"/>
          <w:szCs w:val="32"/>
        </w:rPr>
        <w:t>年，累计新增上云企业</w:t>
      </w:r>
      <w:r>
        <w:rPr>
          <w:rFonts w:eastAsia="方正仿宋_GBK"/>
          <w:sz w:val="32"/>
          <w:szCs w:val="32"/>
        </w:rPr>
        <w:t>500</w:t>
      </w:r>
      <w:r>
        <w:rPr>
          <w:rFonts w:hint="eastAsia" w:eastAsia="方正仿宋_GBK" w:cs="方正仿宋_GBK"/>
          <w:sz w:val="32"/>
          <w:szCs w:val="32"/>
        </w:rPr>
        <w:t>家，软件和信息服务业收入达到</w:t>
      </w:r>
      <w:r>
        <w:rPr>
          <w:rFonts w:eastAsia="方正仿宋_GBK"/>
          <w:sz w:val="32"/>
          <w:szCs w:val="32"/>
        </w:rPr>
        <w:t>1000</w:t>
      </w:r>
      <w:r>
        <w:rPr>
          <w:rFonts w:hint="eastAsia" w:eastAsia="方正仿宋_GBK" w:cs="方正仿宋_GBK"/>
          <w:sz w:val="32"/>
          <w:szCs w:val="32"/>
        </w:rPr>
        <w:t>亿元。</w:t>
      </w:r>
    </w:p>
    <w:p w14:paraId="10E39AEA">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91" w:name="_Toc60466239"/>
    </w:p>
    <w:p w14:paraId="3C15BB4F">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激发新兴产业发展潜能</w:t>
      </w:r>
      <w:bookmarkEnd w:id="91"/>
    </w:p>
    <w:p w14:paraId="08AC5027">
      <w:pPr>
        <w:pStyle w:val="5"/>
        <w:spacing w:after="200" w:line="520" w:lineRule="exact"/>
        <w:jc w:val="center"/>
        <w:rPr>
          <w:rFonts w:ascii="方正楷体_GBK" w:hAnsi="方正楷体_GBK" w:eastAsia="方正楷体_GBK"/>
          <w:b w:val="0"/>
          <w:bCs w:val="0"/>
        </w:rPr>
      </w:pPr>
      <w:bookmarkStart w:id="92" w:name="_Toc60466240"/>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加速布局认知物联网</w:t>
      </w:r>
      <w:bookmarkEnd w:id="92"/>
    </w:p>
    <w:p w14:paraId="3D805370">
      <w:pPr>
        <w:spacing w:line="590" w:lineRule="exact"/>
        <w:ind w:firstLine="629"/>
        <w:rPr>
          <w:rFonts w:eastAsia="方正仿宋_GBK"/>
          <w:sz w:val="32"/>
          <w:szCs w:val="32"/>
        </w:rPr>
      </w:pPr>
      <w:r>
        <w:rPr>
          <w:rFonts w:hint="eastAsia" w:eastAsia="方正仿宋_GBK" w:cs="方正仿宋_GBK"/>
          <w:sz w:val="32"/>
          <w:szCs w:val="32"/>
        </w:rPr>
        <w:t>发挥联通、天翼等物联网项目辐射带动作用，提高认知物联网自主创新能力和水平，聚焦芯片、传感器、系统软件开发、系统集成及应用服务类产业布局和头部企业引进。依托白下高新区、悦动·新门西，打造认知物联网产业生态基地和智慧核心；依托金陵智造创新带，串连认知物联网产业孵化带；依托中航科技城、东八区、金蝶软件园，打造认知物联网多点应用研究承接示范区。到</w:t>
      </w:r>
      <w:r>
        <w:rPr>
          <w:rFonts w:eastAsia="方正仿宋_GBK"/>
          <w:sz w:val="32"/>
          <w:szCs w:val="32"/>
        </w:rPr>
        <w:t>2025</w:t>
      </w:r>
      <w:r>
        <w:rPr>
          <w:rFonts w:hint="eastAsia" w:eastAsia="方正仿宋_GBK" w:cs="方正仿宋_GBK"/>
          <w:sz w:val="32"/>
          <w:szCs w:val="32"/>
        </w:rPr>
        <w:t>年，引育产业链核心和关联企业</w:t>
      </w:r>
      <w:r>
        <w:rPr>
          <w:rFonts w:eastAsia="方正仿宋_GBK"/>
          <w:sz w:val="32"/>
          <w:szCs w:val="32"/>
        </w:rPr>
        <w:t>450</w:t>
      </w:r>
      <w:r>
        <w:rPr>
          <w:rFonts w:hint="eastAsia" w:eastAsia="方正仿宋_GBK" w:cs="方正仿宋_GBK"/>
          <w:sz w:val="32"/>
          <w:szCs w:val="32"/>
        </w:rPr>
        <w:t>家，认知物联网产业规模达</w:t>
      </w:r>
      <w:r>
        <w:rPr>
          <w:rFonts w:eastAsia="方正仿宋_GBK"/>
          <w:sz w:val="32"/>
          <w:szCs w:val="32"/>
        </w:rPr>
        <w:t>500</w:t>
      </w:r>
      <w:r>
        <w:rPr>
          <w:rFonts w:hint="eastAsia" w:eastAsia="方正仿宋_GBK" w:cs="方正仿宋_GBK"/>
          <w:sz w:val="32"/>
          <w:szCs w:val="32"/>
        </w:rPr>
        <w:t>亿元。</w:t>
      </w:r>
    </w:p>
    <w:p w14:paraId="34C061A0">
      <w:pPr>
        <w:pStyle w:val="5"/>
        <w:spacing w:after="200" w:line="520" w:lineRule="exact"/>
        <w:jc w:val="center"/>
        <w:rPr>
          <w:rFonts w:ascii="方正楷体_GBK" w:hAnsi="方正楷体_GBK" w:eastAsia="方正楷体_GBK"/>
          <w:b w:val="0"/>
          <w:bCs w:val="0"/>
        </w:rPr>
      </w:pPr>
      <w:bookmarkStart w:id="93" w:name="_Toc60466241"/>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提速发展车联网</w:t>
      </w:r>
      <w:bookmarkEnd w:id="93"/>
    </w:p>
    <w:p w14:paraId="4FF6B1DC">
      <w:pPr>
        <w:spacing w:line="590" w:lineRule="exact"/>
        <w:ind w:firstLine="629"/>
        <w:rPr>
          <w:rFonts w:eastAsia="方正仿宋_GBK"/>
          <w:sz w:val="32"/>
          <w:szCs w:val="32"/>
        </w:rPr>
      </w:pPr>
      <w:r>
        <w:rPr>
          <w:rFonts w:hint="eastAsia" w:eastAsia="方正仿宋_GBK" w:cs="方正仿宋_GBK"/>
          <w:sz w:val="32"/>
          <w:szCs w:val="32"/>
        </w:rPr>
        <w:t>建设省级车联网先导区，打造车联网协同创新网络与平台，完善车联网创新生态体系。聚焦智能视频检测器、车载安全网关等领域，引进相关领域关键技术研究机构，力争在车联网行业标准制定上抢占先发优势。加速完成智能网联建设工程，打造新一代智慧交通系统。拓展自动驾驶与车路协同等车联网应用场景建设，到</w:t>
      </w:r>
      <w:r>
        <w:rPr>
          <w:rFonts w:eastAsia="方正仿宋_GBK"/>
          <w:sz w:val="32"/>
          <w:szCs w:val="32"/>
        </w:rPr>
        <w:t>2025</w:t>
      </w:r>
      <w:r>
        <w:rPr>
          <w:rFonts w:hint="eastAsia" w:eastAsia="方正仿宋_GBK" w:cs="方正仿宋_GBK"/>
          <w:sz w:val="32"/>
          <w:szCs w:val="32"/>
        </w:rPr>
        <w:t>年，实现车路协同应用场景超百个，车联网产业规模达</w:t>
      </w:r>
      <w:r>
        <w:rPr>
          <w:rFonts w:eastAsia="方正仿宋_GBK"/>
          <w:sz w:val="32"/>
          <w:szCs w:val="32"/>
        </w:rPr>
        <w:t>1000</w:t>
      </w:r>
      <w:r>
        <w:rPr>
          <w:rFonts w:hint="eastAsia" w:eastAsia="方正仿宋_GBK" w:cs="方正仿宋_GBK"/>
          <w:sz w:val="32"/>
          <w:szCs w:val="32"/>
        </w:rPr>
        <w:t>亿元。</w:t>
      </w:r>
    </w:p>
    <w:p w14:paraId="1B7732AB">
      <w:pPr>
        <w:pStyle w:val="5"/>
        <w:spacing w:after="200" w:line="520" w:lineRule="exact"/>
        <w:jc w:val="center"/>
        <w:rPr>
          <w:rFonts w:eastAsia="华文中宋"/>
          <w:b w:val="0"/>
          <w:bCs w:val="0"/>
        </w:rPr>
      </w:pPr>
      <w:bookmarkStart w:id="94" w:name="_Toc60466242"/>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加紧突破人工智能</w:t>
      </w:r>
      <w:bookmarkEnd w:id="94"/>
    </w:p>
    <w:p w14:paraId="7D2A3316">
      <w:pPr>
        <w:spacing w:line="590" w:lineRule="exact"/>
        <w:ind w:firstLine="629"/>
        <w:rPr>
          <w:rFonts w:eastAsia="方正仿宋_GBK"/>
          <w:sz w:val="32"/>
          <w:szCs w:val="32"/>
        </w:rPr>
      </w:pPr>
      <w:r>
        <w:rPr>
          <w:rFonts w:hint="eastAsia" w:eastAsia="方正仿宋_GBK" w:cs="方正仿宋_GBK"/>
          <w:sz w:val="32"/>
          <w:szCs w:val="32"/>
        </w:rPr>
        <w:t>促进人工智能与都市工业发展深度融合，重点支持无人机智能制造及传统技能工艺制造智能化改造。建立覆盖智能制造关键环节的工业云、工业大数据平台，打造工业大数据软硬件产品体系。推广网络协同制造、大规模个性化定制和远程运维服务等新型智能制造模式。推动科研院所、高校、企业加强协作，研发新一代人工智能基础理论和关键共性技术。到</w:t>
      </w:r>
      <w:r>
        <w:rPr>
          <w:rFonts w:eastAsia="方正仿宋_GBK"/>
          <w:sz w:val="32"/>
          <w:szCs w:val="32"/>
        </w:rPr>
        <w:t>2025</w:t>
      </w:r>
      <w:r>
        <w:rPr>
          <w:rFonts w:hint="eastAsia" w:eastAsia="方正仿宋_GBK" w:cs="方正仿宋_GBK"/>
          <w:sz w:val="32"/>
          <w:szCs w:val="32"/>
        </w:rPr>
        <w:t>年，人工智能产业规模达</w:t>
      </w:r>
      <w:r>
        <w:rPr>
          <w:rFonts w:eastAsia="方正仿宋_GBK"/>
          <w:sz w:val="32"/>
          <w:szCs w:val="32"/>
        </w:rPr>
        <w:t>500</w:t>
      </w:r>
      <w:r>
        <w:rPr>
          <w:rFonts w:hint="eastAsia" w:eastAsia="方正仿宋_GBK" w:cs="方正仿宋_GBK"/>
          <w:sz w:val="32"/>
          <w:szCs w:val="32"/>
        </w:rPr>
        <w:t>亿元。</w:t>
      </w:r>
    </w:p>
    <w:p w14:paraId="1CAC8A90">
      <w:pPr>
        <w:pStyle w:val="5"/>
        <w:spacing w:after="200" w:line="520" w:lineRule="exact"/>
        <w:jc w:val="center"/>
        <w:rPr>
          <w:rFonts w:ascii="方正楷体_GBK" w:hAnsi="方正楷体_GBK" w:eastAsia="方正楷体_GBK"/>
          <w:b w:val="0"/>
          <w:bCs w:val="0"/>
        </w:rPr>
      </w:pPr>
      <w:bookmarkStart w:id="95" w:name="_Toc60466243"/>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深入推进大健康</w:t>
      </w:r>
      <w:bookmarkEnd w:id="95"/>
    </w:p>
    <w:p w14:paraId="63EAD48B">
      <w:pPr>
        <w:spacing w:line="590" w:lineRule="exact"/>
        <w:ind w:firstLine="629"/>
        <w:rPr>
          <w:rFonts w:eastAsia="方正仿宋_GBK"/>
          <w:sz w:val="32"/>
          <w:szCs w:val="32"/>
        </w:rPr>
      </w:pPr>
      <w:r>
        <w:rPr>
          <w:rFonts w:hint="eastAsia" w:eastAsia="方正仿宋_GBK" w:cs="方正仿宋_GBK"/>
          <w:sz w:val="32"/>
          <w:szCs w:val="32"/>
        </w:rPr>
        <w:t>促进健康与科技、养老、健身、体育等深度融合，打造大健康生态圈。推进“互联网医院”建设，深化“互联网</w:t>
      </w:r>
      <w:r>
        <w:rPr>
          <w:rFonts w:eastAsia="方正仿宋_GBK"/>
          <w:sz w:val="32"/>
          <w:szCs w:val="32"/>
        </w:rPr>
        <w:t>+</w:t>
      </w:r>
      <w:r>
        <w:rPr>
          <w:rFonts w:hint="eastAsia" w:eastAsia="方正仿宋_GBK" w:cs="方正仿宋_GBK"/>
          <w:sz w:val="32"/>
          <w:szCs w:val="32"/>
        </w:rPr>
        <w:t>护理服务”，加快移动医疗、远程医疗等“互联网</w:t>
      </w:r>
      <w:r>
        <w:rPr>
          <w:rFonts w:eastAsia="方正仿宋_GBK"/>
          <w:sz w:val="32"/>
          <w:szCs w:val="32"/>
        </w:rPr>
        <w:t>+</w:t>
      </w:r>
      <w:r>
        <w:rPr>
          <w:rFonts w:hint="eastAsia" w:eastAsia="方正仿宋_GBK" w:cs="方正仿宋_GBK"/>
          <w:sz w:val="32"/>
          <w:szCs w:val="32"/>
        </w:rPr>
        <w:t>医疗”模式创新。探索医疗机构与养老机构合作新模式，加快推进面向养老机构的远程医疗服务试点。推动信息技术与健康服务融合，发展智慧健康咨询、智慧预防、智慧护理等健康管理服务。整合传媒、演艺、旅游项目和体育赛事资源，促进体育产业化，引导居民体育健身消费。到</w:t>
      </w:r>
      <w:r>
        <w:rPr>
          <w:rFonts w:eastAsia="方正仿宋_GBK"/>
          <w:sz w:val="32"/>
          <w:szCs w:val="32"/>
        </w:rPr>
        <w:t>2025</w:t>
      </w:r>
      <w:r>
        <w:rPr>
          <w:rFonts w:hint="eastAsia" w:eastAsia="方正仿宋_GBK" w:cs="方正仿宋_GBK"/>
          <w:sz w:val="32"/>
          <w:szCs w:val="32"/>
        </w:rPr>
        <w:t>年，大健康产业规模达</w:t>
      </w:r>
      <w:r>
        <w:rPr>
          <w:rFonts w:eastAsia="方正仿宋_GBK"/>
          <w:sz w:val="32"/>
          <w:szCs w:val="32"/>
        </w:rPr>
        <w:t>1200</w:t>
      </w:r>
      <w:r>
        <w:rPr>
          <w:rFonts w:hint="eastAsia" w:eastAsia="方正仿宋_GBK" w:cs="方正仿宋_GBK"/>
          <w:sz w:val="32"/>
          <w:szCs w:val="32"/>
        </w:rPr>
        <w:t>亿元。</w:t>
      </w:r>
    </w:p>
    <w:p w14:paraId="44C3C1FA">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96" w:name="_Toc60466244"/>
      <w:r>
        <w:rPr>
          <w:rFonts w:hint="eastAsia" w:ascii="方正黑体_GBK" w:hAnsi="方正黑体_GBK" w:eastAsia="方正黑体_GBK" w:cs="方正黑体_GBK"/>
          <w:b w:val="0"/>
          <w:bCs w:val="0"/>
        </w:rPr>
        <w:t>第十一章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加快发展现代都市工业</w:t>
      </w:r>
      <w:bookmarkEnd w:id="96"/>
      <w:bookmarkStart w:id="97" w:name="_Toc60466245"/>
    </w:p>
    <w:p w14:paraId="0C43FFFA">
      <w:pPr>
        <w:pStyle w:val="4"/>
        <w:keepNext w:val="0"/>
        <w:keepLines w:val="0"/>
        <w:spacing w:beforeLines="100" w:after="0" w:line="520" w:lineRule="exact"/>
        <w:jc w:val="center"/>
        <w:rPr>
          <w:rFonts w:ascii="方正楷体_GBK" w:hAnsi="方正楷体_GBK" w:eastAsia="方正楷体_GBK" w:cs="Times New Roman"/>
          <w:b w:val="0"/>
          <w:bCs w:val="0"/>
        </w:rPr>
      </w:pPr>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推进智能制造发展</w:t>
      </w:r>
      <w:bookmarkEnd w:id="97"/>
    </w:p>
    <w:p w14:paraId="4BD6220E">
      <w:pPr>
        <w:spacing w:line="590" w:lineRule="exact"/>
        <w:ind w:firstLine="629"/>
        <w:rPr>
          <w:rFonts w:eastAsia="方正仿宋_GBK"/>
          <w:sz w:val="32"/>
          <w:szCs w:val="32"/>
        </w:rPr>
      </w:pPr>
      <w:r>
        <w:rPr>
          <w:rFonts w:hint="eastAsia" w:eastAsia="方正仿宋_GBK" w:cs="方正仿宋_GBK"/>
          <w:sz w:val="32"/>
          <w:szCs w:val="32"/>
        </w:rPr>
        <w:t>以金陵智能制造研究院、晨光集团、金城集团等企业为依托，加快智能制造关键技术装备和相关产品研发制造，推进重点领域集成应用，储备积累一批核心</w:t>
      </w:r>
      <w:r>
        <w:fldChar w:fldCharType="begin"/>
      </w:r>
      <w:r>
        <w:instrText xml:space="preserve"> HYPERLINK "https://baike.baidu.com/item/%E7%9F%A5%E8%AF%86%E4%BA%A7%E6%9D%83/85044" \t "_blank" </w:instrText>
      </w:r>
      <w:r>
        <w:fldChar w:fldCharType="separate"/>
      </w:r>
      <w:r>
        <w:rPr>
          <w:rFonts w:hint="eastAsia" w:eastAsia="方正仿宋_GBK" w:cs="方正仿宋_GBK"/>
          <w:sz w:val="32"/>
          <w:szCs w:val="32"/>
        </w:rPr>
        <w:t>知识产权</w:t>
      </w:r>
      <w:r>
        <w:rPr>
          <w:rFonts w:hint="eastAsia" w:eastAsia="方正仿宋_GBK" w:cs="方正仿宋_GBK"/>
          <w:sz w:val="32"/>
          <w:szCs w:val="32"/>
        </w:rPr>
        <w:fldChar w:fldCharType="end"/>
      </w:r>
      <w:r>
        <w:rPr>
          <w:rFonts w:hint="eastAsia" w:eastAsia="方正仿宋_GBK" w:cs="方正仿宋_GBK"/>
          <w:sz w:val="32"/>
          <w:szCs w:val="32"/>
        </w:rPr>
        <w:t>。引导有技术能力的企业参与技术标准体系建设，推进科研成果实现产业化转化，推进智能制造试点示范。促进企业智能化改造，建设云制造平台和服务平台，在传统制造业推广应用数字化技术、系统集成技术、智能制造装备。</w:t>
      </w:r>
    </w:p>
    <w:p w14:paraId="159DA471">
      <w:pPr>
        <w:pStyle w:val="5"/>
        <w:spacing w:after="200" w:line="520" w:lineRule="exact"/>
        <w:jc w:val="center"/>
        <w:rPr>
          <w:rFonts w:ascii="方正楷体_GBK" w:hAnsi="方正楷体_GBK" w:eastAsia="方正楷体_GBK"/>
          <w:b w:val="0"/>
          <w:bCs w:val="0"/>
        </w:rPr>
      </w:pPr>
      <w:bookmarkStart w:id="98" w:name="_Toc6046624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引导传统工企转型升级</w:t>
      </w:r>
      <w:bookmarkEnd w:id="98"/>
    </w:p>
    <w:p w14:paraId="44F75958">
      <w:pPr>
        <w:spacing w:line="590" w:lineRule="exact"/>
        <w:ind w:firstLine="629"/>
        <w:rPr>
          <w:rFonts w:eastAsia="方正仿宋_GBK"/>
          <w:sz w:val="32"/>
          <w:szCs w:val="32"/>
        </w:rPr>
      </w:pPr>
      <w:r>
        <w:rPr>
          <w:rFonts w:hint="eastAsia" w:eastAsia="方正仿宋_GBK" w:cs="方正仿宋_GBK"/>
          <w:sz w:val="32"/>
          <w:szCs w:val="32"/>
        </w:rPr>
        <w:t>鼓励存量都市工业企业转型升级，引导具有核心技术的企业以信息系统集成服务为手段，提升产品价值，实现服务创新。引导中小型制造业企业从售后服务环节延长产品生命周期提升效益，实现制造业服务化转型。引导制造业企业协同发展线上服务平台，支持大型企业将非核心业务外包，专注于创新能力建设。</w:t>
      </w:r>
    </w:p>
    <w:p w14:paraId="4808FEF0">
      <w:pPr>
        <w:pStyle w:val="5"/>
        <w:spacing w:after="200" w:line="520" w:lineRule="exact"/>
        <w:jc w:val="center"/>
        <w:rPr>
          <w:rFonts w:eastAsia="华文中宋"/>
          <w:b w:val="0"/>
          <w:bCs w:val="0"/>
        </w:rPr>
      </w:pPr>
      <w:bookmarkStart w:id="99" w:name="_Toc60466247"/>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打造都市工业集群</w:t>
      </w:r>
      <w:bookmarkEnd w:id="99"/>
    </w:p>
    <w:p w14:paraId="5818241D">
      <w:pPr>
        <w:spacing w:line="590" w:lineRule="exact"/>
        <w:ind w:firstLine="629"/>
        <w:rPr>
          <w:rFonts w:eastAsia="方正仿宋_GBK"/>
          <w:sz w:val="32"/>
          <w:szCs w:val="32"/>
        </w:rPr>
      </w:pPr>
      <w:r>
        <w:rPr>
          <w:rFonts w:hint="eastAsia" w:eastAsia="方正仿宋_GBK" w:cs="方正仿宋_GBK"/>
          <w:sz w:val="32"/>
          <w:szCs w:val="32"/>
        </w:rPr>
        <w:t>集约利用工业园区资源，限制“工改商”、“工改居”等非工业转型类城市更新。聚焦以白下高新区北侧、双龙科技园等存量载体，规划建设</w:t>
      </w:r>
      <w:r>
        <w:rPr>
          <w:rFonts w:eastAsia="方正仿宋_GBK"/>
          <w:sz w:val="32"/>
          <w:szCs w:val="32"/>
        </w:rPr>
        <w:t>LG</w:t>
      </w:r>
      <w:r>
        <w:rPr>
          <w:rFonts w:hint="eastAsia" w:eastAsia="方正仿宋_GBK" w:cs="方正仿宋_GBK"/>
          <w:sz w:val="32"/>
          <w:szCs w:val="32"/>
        </w:rPr>
        <w:t>北都市智造园，用好金城航空产业园研发优势，打造以软件信息、智能制造、无人机等为特色的都市工业集聚形态。提升工业性质产业园区产出效率，引导企业向楼宇转移，促使低效企业自发腾退，提升单位面积产出水平，构建以都市产业功能区、都市工业社区、都市工业楼宇为支撑的新型都市工业发展格局。到</w:t>
      </w:r>
      <w:r>
        <w:rPr>
          <w:rFonts w:eastAsia="方正仿宋_GBK"/>
          <w:sz w:val="32"/>
          <w:szCs w:val="32"/>
        </w:rPr>
        <w:t>2025</w:t>
      </w:r>
      <w:r>
        <w:rPr>
          <w:rFonts w:hint="eastAsia" w:eastAsia="方正仿宋_GBK" w:cs="方正仿宋_GBK"/>
          <w:sz w:val="32"/>
          <w:szCs w:val="32"/>
        </w:rPr>
        <w:t>年，都市工业规模达</w:t>
      </w:r>
      <w:r>
        <w:rPr>
          <w:rFonts w:eastAsia="方正仿宋_GBK"/>
          <w:sz w:val="32"/>
          <w:szCs w:val="32"/>
        </w:rPr>
        <w:t>500</w:t>
      </w:r>
      <w:r>
        <w:rPr>
          <w:rFonts w:hint="eastAsia" w:eastAsia="方正仿宋_GBK" w:cs="方正仿宋_GBK"/>
          <w:sz w:val="32"/>
          <w:szCs w:val="32"/>
        </w:rPr>
        <w:t>亿元，创建</w:t>
      </w:r>
      <w:r>
        <w:rPr>
          <w:rFonts w:eastAsia="方正仿宋_GBK"/>
          <w:sz w:val="32"/>
          <w:szCs w:val="32"/>
        </w:rPr>
        <w:t>2</w:t>
      </w:r>
      <w:r>
        <w:rPr>
          <w:rFonts w:hint="eastAsia" w:eastAsia="方正仿宋_GBK" w:cs="方正仿宋_GBK"/>
          <w:sz w:val="32"/>
          <w:szCs w:val="32"/>
        </w:rPr>
        <w:t>个产值超</w:t>
      </w:r>
      <w:r>
        <w:rPr>
          <w:rFonts w:eastAsia="方正仿宋_GBK"/>
          <w:sz w:val="32"/>
          <w:szCs w:val="32"/>
        </w:rPr>
        <w:t>100</w:t>
      </w:r>
      <w:r>
        <w:rPr>
          <w:rFonts w:hint="eastAsia" w:eastAsia="方正仿宋_GBK" w:cs="方正仿宋_GBK"/>
          <w:sz w:val="32"/>
          <w:szCs w:val="32"/>
        </w:rPr>
        <w:t>亿元的市级都市工业示范园区。</w:t>
      </w:r>
    </w:p>
    <w:p w14:paraId="7523B6E3">
      <w:pPr>
        <w:pStyle w:val="2"/>
        <w:spacing w:line="520" w:lineRule="exact"/>
      </w:pPr>
    </w:p>
    <w:p w14:paraId="08D22991">
      <w:pPr>
        <w:pStyle w:val="2"/>
        <w:spacing w:line="520" w:lineRule="exact"/>
      </w:pPr>
    </w:p>
    <w:p w14:paraId="6EAD985E">
      <w:pPr>
        <w:pStyle w:val="3"/>
        <w:keepNext w:val="0"/>
        <w:keepLines w:val="0"/>
        <w:spacing w:before="0" w:after="0" w:line="700" w:lineRule="exact"/>
        <w:jc w:val="center"/>
        <w:rPr>
          <w:rFonts w:eastAsia="华文中宋"/>
          <w:b w:val="0"/>
          <w:bCs w:val="0"/>
        </w:rPr>
      </w:pPr>
      <w:bookmarkStart w:id="100" w:name="_Toc60466248"/>
      <w:r>
        <w:rPr>
          <w:rFonts w:hint="eastAsia" w:ascii="方正小标宋_GBK" w:eastAsia="方正小标宋_GBK" w:cs="方正小标宋_GBK"/>
          <w:b w:val="0"/>
          <w:bCs w:val="0"/>
        </w:rPr>
        <w:t>第四篇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凸显四大板块特色，实现秦淮水系联动，拓展秦淮空间活力新腹地</w:t>
      </w:r>
      <w:bookmarkEnd w:id="100"/>
    </w:p>
    <w:p w14:paraId="75E2F623">
      <w:pPr>
        <w:spacing w:line="520" w:lineRule="exact"/>
        <w:ind w:firstLine="640" w:firstLineChars="200"/>
        <w:rPr>
          <w:rFonts w:eastAsia="方正仿宋_GBK"/>
          <w:sz w:val="32"/>
          <w:szCs w:val="32"/>
        </w:rPr>
      </w:pPr>
    </w:p>
    <w:p w14:paraId="03B89B13">
      <w:pPr>
        <w:spacing w:line="590" w:lineRule="exact"/>
        <w:ind w:firstLine="629"/>
        <w:rPr>
          <w:rFonts w:eastAsia="方正仿宋_GBK"/>
          <w:sz w:val="32"/>
          <w:szCs w:val="32"/>
        </w:rPr>
      </w:pPr>
      <w:r>
        <w:rPr>
          <w:rFonts w:hint="eastAsia" w:eastAsia="方正仿宋_GBK" w:cs="方正仿宋_GBK"/>
          <w:sz w:val="32"/>
          <w:szCs w:val="32"/>
        </w:rPr>
        <w:t>保持四大板块空间范围不变，对板块发展主线进行优化提升和产业形态聚焦，持续打造新街口现代金融商务区、老城南文旅商融合体验区、东部高新技术产业示范区、南部新城超级总部基地。优化顶层设计，形成产业结构优势互补、城市功能协调互促、公共服务配置均衡的整体协调发展格局。延续“十里秦淮”繁华，拓展秦淮水系沿线产城发展延展空间，打造沿秦淮河产城融合水岸示范带，使源源流淌的秦淮河水成为老城、新城融合通达纽带，使因水而生，以水而名，依水而荣的秦淮，开始迈进“大秦淮河”发展时代。</w:t>
      </w:r>
    </w:p>
    <w:p w14:paraId="339D796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01" w:name="_Toc60466249"/>
    </w:p>
    <w:p w14:paraId="7BE7E012">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2C8DDA42">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1EF4FF75">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6F20AB5D">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优化四大板块功能布局</w:t>
      </w:r>
      <w:bookmarkEnd w:id="101"/>
    </w:p>
    <w:p w14:paraId="12519A47">
      <w:pPr>
        <w:jc w:val="center"/>
      </w:pPr>
      <w:r>
        <w:drawing>
          <wp:inline distT="0" distB="0" distL="114300" distR="114300">
            <wp:extent cx="4800600" cy="2590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4800600" cy="2590800"/>
                    </a:xfrm>
                    <a:prstGeom prst="rect">
                      <a:avLst/>
                    </a:prstGeom>
                    <a:noFill/>
                    <a:ln>
                      <a:noFill/>
                    </a:ln>
                  </pic:spPr>
                </pic:pic>
              </a:graphicData>
            </a:graphic>
          </wp:inline>
        </w:drawing>
      </w:r>
    </w:p>
    <w:p w14:paraId="50F379CB">
      <w:pPr>
        <w:spacing w:line="520" w:lineRule="exact"/>
        <w:jc w:val="center"/>
        <w:rPr>
          <w:rFonts w:eastAsia="华文楷体"/>
          <w:sz w:val="28"/>
          <w:szCs w:val="28"/>
        </w:rPr>
      </w:pPr>
      <w:r>
        <w:rPr>
          <w:rFonts w:hint="eastAsia" w:eastAsia="华文楷体" w:cs="华文楷体"/>
          <w:sz w:val="28"/>
          <w:szCs w:val="28"/>
        </w:rPr>
        <w:t>“十四五”四大功能板块空间格局</w:t>
      </w:r>
    </w:p>
    <w:p w14:paraId="1A581816">
      <w:pPr>
        <w:pStyle w:val="5"/>
        <w:spacing w:after="200"/>
        <w:jc w:val="center"/>
        <w:rPr>
          <w:rFonts w:ascii="方正楷体_GBK" w:hAnsi="方正楷体_GBK" w:eastAsia="方正楷体_GBK"/>
          <w:b w:val="0"/>
          <w:bCs w:val="0"/>
        </w:rPr>
      </w:pPr>
      <w:bookmarkStart w:id="102" w:name="_Toc60466250"/>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新街口现代金融商务区</w:t>
      </w:r>
      <w:bookmarkEnd w:id="102"/>
    </w:p>
    <w:p w14:paraId="7D21EC45">
      <w:pPr>
        <w:spacing w:line="590" w:lineRule="exact"/>
        <w:ind w:firstLine="629"/>
        <w:rPr>
          <w:rFonts w:eastAsia="方正仿宋_GBK"/>
          <w:sz w:val="32"/>
          <w:szCs w:val="32"/>
        </w:rPr>
      </w:pPr>
      <w:r>
        <w:rPr>
          <w:rFonts w:hint="eastAsia" w:eastAsia="方正仿宋_GBK" w:cs="方正仿宋_GBK"/>
          <w:sz w:val="32"/>
          <w:szCs w:val="32"/>
        </w:rPr>
        <w:t>推进“一核三街区”布局，重点发展高端化及国际化服务业，打造长三角重要的国际商务商贸中心和现代金融服务中心，成为南京跻身区域性国际城市行列的现代商业名片。新街口高端商务核心区突出重大项目建设，打造高端载体；突出特色楼宇建设，引导产业集聚；突出产业转型，引导消费升级。通过楼宇提质、商贸转型、文旅商融合等手段，形成高品质的现代商贸娱乐休闲体验区和商贸、商务、金融、管理等众多服务功能企业聚集的高端商务集聚区，重塑“中华第一商圈”、“百年新街口”形象。洪武路</w:t>
      </w:r>
      <w:r>
        <w:rPr>
          <w:rFonts w:eastAsia="方正仿宋_GBK"/>
          <w:sz w:val="32"/>
          <w:szCs w:val="32"/>
        </w:rPr>
        <w:t>-</w:t>
      </w:r>
      <w:r>
        <w:rPr>
          <w:rFonts w:hint="eastAsia" w:eastAsia="方正仿宋_GBK" w:cs="方正仿宋_GBK"/>
          <w:sz w:val="32"/>
          <w:szCs w:val="32"/>
        </w:rPr>
        <w:t>中山南路金融街区依托现代金融总部项目，发挥金融桥梁作用，用好中心城区交通、信息、人群汇聚的网络优势，与产业领域开展深入对接和准确投放，加快新型金融业态培育和产业集聚，建设金融生态良好、金融创新活跃，具有现代化和国际化特征的泛长三角区域金融营运中心。太平南路特色商业街区合理布局城市功能空间、调整产业业态布局、唤醒文化内生价值，通过统筹规划空间模块，重塑文化内涵，调整产业业态，提升综合环境，设计文旅商动线等，打造文产交融、民国风貌鲜明的特色商业街区，形成贯穿新街口、夫子庙两大片区文旅商中轴线。莫愁路历史文化特色产业街区利用地铁</w:t>
      </w:r>
      <w:r>
        <w:rPr>
          <w:rFonts w:eastAsia="方正仿宋_GBK"/>
          <w:sz w:val="32"/>
          <w:szCs w:val="32"/>
        </w:rPr>
        <w:t>5</w:t>
      </w:r>
      <w:r>
        <w:rPr>
          <w:rFonts w:hint="eastAsia" w:eastAsia="方正仿宋_GBK" w:cs="方正仿宋_GBK"/>
          <w:sz w:val="32"/>
          <w:szCs w:val="32"/>
        </w:rPr>
        <w:t>号线的建设契机，加快沿线低端产业的淘汰，实现城市空间更新，产业重组，北端侧重养生保健、南端侧重朝天宫景区旅游配套。</w:t>
      </w:r>
    </w:p>
    <w:p w14:paraId="2E7DACA3">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年，板块现代服务业能级明显提升，高端服务业集聚度、总部经济集聚度达到国内领先、国际较高水平，五年累计完成固定资产投资</w:t>
      </w:r>
      <w:r>
        <w:rPr>
          <w:rFonts w:eastAsia="方正仿宋_GBK"/>
          <w:sz w:val="32"/>
          <w:szCs w:val="32"/>
        </w:rPr>
        <w:t>100</w:t>
      </w:r>
      <w:r>
        <w:rPr>
          <w:rFonts w:hint="eastAsia" w:eastAsia="方正仿宋_GBK" w:cs="方正仿宋_GBK"/>
          <w:sz w:val="32"/>
          <w:szCs w:val="32"/>
        </w:rPr>
        <w:t>亿元，限上企业社会消费品零售总额</w:t>
      </w:r>
      <w:r>
        <w:rPr>
          <w:rFonts w:eastAsia="方正仿宋_GBK"/>
          <w:sz w:val="32"/>
          <w:szCs w:val="32"/>
        </w:rPr>
        <w:t>500</w:t>
      </w:r>
      <w:r>
        <w:rPr>
          <w:rFonts w:hint="eastAsia" w:eastAsia="方正仿宋_GBK" w:cs="方正仿宋_GBK"/>
          <w:sz w:val="32"/>
          <w:szCs w:val="32"/>
        </w:rPr>
        <w:t>亿元，亿元税收楼宇数达</w:t>
      </w:r>
      <w:r>
        <w:rPr>
          <w:rFonts w:eastAsia="方正仿宋_GBK"/>
          <w:sz w:val="32"/>
          <w:szCs w:val="32"/>
        </w:rPr>
        <w:t>20</w:t>
      </w:r>
      <w:r>
        <w:rPr>
          <w:rFonts w:hint="eastAsia" w:eastAsia="方正仿宋_GBK" w:cs="方正仿宋_GBK"/>
          <w:sz w:val="32"/>
          <w:szCs w:val="32"/>
        </w:rPr>
        <w:t>幢。</w:t>
      </w:r>
    </w:p>
    <w:p w14:paraId="768BDBAD">
      <w:pPr>
        <w:pStyle w:val="5"/>
        <w:spacing w:after="200"/>
        <w:jc w:val="center"/>
        <w:rPr>
          <w:rFonts w:ascii="方正楷体_GBK" w:hAnsi="方正楷体_GBK" w:eastAsia="方正楷体_GBK"/>
          <w:b w:val="0"/>
          <w:bCs w:val="0"/>
        </w:rPr>
      </w:pPr>
      <w:bookmarkStart w:id="103" w:name="_Toc60466251"/>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老城南文旅商融合体验区</w:t>
      </w:r>
      <w:bookmarkEnd w:id="103"/>
    </w:p>
    <w:p w14:paraId="7020D250">
      <w:pPr>
        <w:spacing w:line="590" w:lineRule="exact"/>
        <w:ind w:firstLine="629"/>
        <w:rPr>
          <w:rFonts w:eastAsia="方正仿宋_GBK"/>
          <w:sz w:val="32"/>
          <w:szCs w:val="32"/>
        </w:rPr>
      </w:pPr>
      <w:r>
        <w:rPr>
          <w:rFonts w:hint="eastAsia" w:eastAsia="方正仿宋_GBK" w:cs="方正仿宋_GBK"/>
          <w:sz w:val="32"/>
          <w:szCs w:val="32"/>
        </w:rPr>
        <w:t>推进“一核五片区”布局，深入推进文旅商融合发展，打造彰显古城深厚文化底蕴、南京历史文化名城特质的国际性文化休闲旅游示范地、“全球游”、“全球购”目的地。夫子庙文化旅游核心展示区聚焦文创、文博特色产业定位，突出儒学和科举文化主轴，联通联动老门东和夫子庙节点，发展修学、文博等为代表的文化休闲旅游产业。门东城南记忆体验休闲片区规划布局三条营西食游宿、中营文化展演、明城墙下休闲娱乐带、张家衙小酒馆集群、箍桶巷沿线文创、城墙内侧新媒体短视频基地等六个功能区域，形成多元化文旅商业态分布格局。门西数字生活物联网产业片区以数字生活街区为定位，依托悦动新门西产业园，聚焦物联网产业龙头，建设门西物联网产业创新融合示范区，打造兼具南京创新名城和美丽古都两种特质的“秦淮硅巷”门西片区。门外历史展示与文创旅游片区梳理古越城、东晋、宋、明和近代等文化脉络，建成南京的礼仪门户和世界级的文旅景区，形成集中体现南京各个时代文化特质、展现城市发展历史的南京南大门客厅。朝天宫历史风貌与文化综合体验片区充分挖掘朝天宫“母城”、“冶城”文化，民俗和民族宗教特色，串联朝天宫官式古建筑群、甘熙宅第等资源，联通朝天宫</w:t>
      </w:r>
      <w:r>
        <w:rPr>
          <w:rFonts w:eastAsia="方正仿宋_GBK"/>
          <w:sz w:val="32"/>
          <w:szCs w:val="32"/>
        </w:rPr>
        <w:t>—</w:t>
      </w:r>
      <w:r>
        <w:rPr>
          <w:rFonts w:hint="eastAsia" w:eastAsia="方正仿宋_GBK" w:cs="方正仿宋_GBK"/>
          <w:sz w:val="32"/>
          <w:szCs w:val="32"/>
        </w:rPr>
        <w:t>夫子庙</w:t>
      </w:r>
      <w:r>
        <w:rPr>
          <w:rFonts w:eastAsia="方正仿宋_GBK"/>
          <w:sz w:val="32"/>
          <w:szCs w:val="32"/>
        </w:rPr>
        <w:t>—</w:t>
      </w:r>
      <w:r>
        <w:rPr>
          <w:rFonts w:hint="eastAsia" w:eastAsia="方正仿宋_GBK" w:cs="方正仿宋_GBK"/>
          <w:sz w:val="32"/>
          <w:szCs w:val="32"/>
        </w:rPr>
        <w:t>中华门游线，形成旅游文化片区。</w:t>
      </w:r>
    </w:p>
    <w:p w14:paraId="310BE823">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年，创成国家文化产业和旅游产业融合发展示范区、国家级夜间文旅消费集聚区，创成全国旅游标准化示范区、国家级文化产业示范园区。五年累计实现一般公共预算收入</w:t>
      </w:r>
      <w:r>
        <w:rPr>
          <w:rFonts w:eastAsia="方正仿宋_GBK"/>
          <w:sz w:val="32"/>
          <w:szCs w:val="32"/>
        </w:rPr>
        <w:t>4.1</w:t>
      </w:r>
      <w:r>
        <w:rPr>
          <w:rFonts w:hint="eastAsia" w:eastAsia="方正仿宋_GBK" w:cs="方正仿宋_GBK"/>
          <w:sz w:val="32"/>
          <w:szCs w:val="32"/>
        </w:rPr>
        <w:t>亿元，固定资产投资</w:t>
      </w:r>
      <w:r>
        <w:rPr>
          <w:rFonts w:eastAsia="方正仿宋_GBK"/>
          <w:sz w:val="32"/>
          <w:szCs w:val="32"/>
        </w:rPr>
        <w:t>140</w:t>
      </w:r>
      <w:r>
        <w:rPr>
          <w:rFonts w:hint="eastAsia" w:eastAsia="方正仿宋_GBK" w:cs="方正仿宋_GBK"/>
          <w:sz w:val="32"/>
          <w:szCs w:val="32"/>
        </w:rPr>
        <w:t>亿元；期末文化产业增加值年度增幅达</w:t>
      </w:r>
      <w:r>
        <w:rPr>
          <w:rFonts w:eastAsia="方正仿宋_GBK"/>
          <w:sz w:val="32"/>
          <w:szCs w:val="32"/>
        </w:rPr>
        <w:t>15%</w:t>
      </w:r>
      <w:r>
        <w:rPr>
          <w:rFonts w:hint="eastAsia" w:eastAsia="方正仿宋_GBK" w:cs="方正仿宋_GBK"/>
          <w:sz w:val="32"/>
          <w:szCs w:val="32"/>
        </w:rPr>
        <w:t>。</w:t>
      </w:r>
    </w:p>
    <w:p w14:paraId="55C323CD">
      <w:pPr>
        <w:pStyle w:val="5"/>
        <w:spacing w:after="200"/>
        <w:jc w:val="center"/>
        <w:rPr>
          <w:rFonts w:ascii="方正楷体_GBK" w:hAnsi="方正楷体_GBK" w:eastAsia="方正楷体_GBK"/>
          <w:b w:val="0"/>
          <w:bCs w:val="0"/>
        </w:rPr>
      </w:pPr>
      <w:bookmarkStart w:id="104" w:name="_Toc60466252"/>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东部高新技术产业示范区</w:t>
      </w:r>
      <w:bookmarkEnd w:id="104"/>
    </w:p>
    <w:p w14:paraId="295F7AAF">
      <w:pPr>
        <w:spacing w:line="590" w:lineRule="exact"/>
        <w:ind w:firstLine="629"/>
        <w:rPr>
          <w:rFonts w:eastAsia="方正仿宋_GBK"/>
          <w:sz w:val="32"/>
          <w:szCs w:val="32"/>
        </w:rPr>
      </w:pPr>
      <w:r>
        <w:rPr>
          <w:rFonts w:hint="eastAsia" w:eastAsia="方正仿宋_GBK" w:cs="方正仿宋_GBK"/>
          <w:sz w:val="32"/>
          <w:szCs w:val="32"/>
        </w:rPr>
        <w:t>推进“一核两组团”布局，发挥白下高新区核心枢纽平台辐射带动作用，实现资源汇聚、共享、分配和多维度支持，总体形成秦淮硅巷、核心区两大组团，建成南航秦淮创新湾区，建设南京创新名城建设的引领标杆和南京紫东地区高新产业集聚高地。突出白下高新核心区引领作用，深化“一区多园”改革，系统整合发展空间，强化南京高新区（秦淮园）品牌塑造和内涵提升，打造一批业内领先的科创品牌和产业地标，争创“全国一流、全省前列”的知名园区。加快构建核心区“一心、两带、四区”的载体空间格局，规划建设云创公园，形成运粮河设计产业带、永丰河创新文化带，重点发展以智能交通引领的云计算、大数据创新高地。放大秦淮硅巷示范效应，形成“一城一谷一带一片一镇多点”的空间发展结构，打造“</w:t>
      </w:r>
      <w:r>
        <w:rPr>
          <w:rFonts w:eastAsia="方正仿宋_GBK"/>
          <w:sz w:val="32"/>
          <w:szCs w:val="32"/>
        </w:rPr>
        <w:t>15</w:t>
      </w:r>
      <w:r>
        <w:rPr>
          <w:rFonts w:hint="eastAsia" w:eastAsia="方正仿宋_GBK" w:cs="方正仿宋_GBK"/>
          <w:sz w:val="32"/>
          <w:szCs w:val="32"/>
        </w:rPr>
        <w:t>分钟硅巷圈”，打造“无边界”的都市创新综合体。重点发展以芯片应用为引领，以航空航天技术研发为主导的产业体系。</w:t>
      </w:r>
    </w:p>
    <w:p w14:paraId="509CB33A">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年，完成公共技术平台共享中心搭建，省级车联网先导区建设初见成效。五年累计实现一般公共预算收入</w:t>
      </w:r>
      <w:r>
        <w:rPr>
          <w:rFonts w:eastAsia="方正仿宋_GBK"/>
          <w:sz w:val="32"/>
          <w:szCs w:val="32"/>
        </w:rPr>
        <w:t>53</w:t>
      </w:r>
      <w:r>
        <w:rPr>
          <w:rFonts w:hint="eastAsia" w:eastAsia="方正仿宋_GBK" w:cs="方正仿宋_GBK"/>
          <w:sz w:val="32"/>
          <w:szCs w:val="32"/>
        </w:rPr>
        <w:t>亿元，固定资产投资</w:t>
      </w:r>
      <w:r>
        <w:rPr>
          <w:rFonts w:eastAsia="方正仿宋_GBK"/>
          <w:sz w:val="32"/>
          <w:szCs w:val="32"/>
        </w:rPr>
        <w:t>419</w:t>
      </w:r>
      <w:r>
        <w:rPr>
          <w:rFonts w:hint="eastAsia" w:eastAsia="方正仿宋_GBK" w:cs="方正仿宋_GBK"/>
          <w:sz w:val="32"/>
          <w:szCs w:val="32"/>
        </w:rPr>
        <w:t>亿元，社会消费品零售总额</w:t>
      </w:r>
      <w:r>
        <w:rPr>
          <w:rFonts w:eastAsia="方正仿宋_GBK"/>
          <w:sz w:val="32"/>
          <w:szCs w:val="32"/>
        </w:rPr>
        <w:t>8.5</w:t>
      </w:r>
      <w:r>
        <w:rPr>
          <w:rFonts w:hint="eastAsia" w:eastAsia="方正仿宋_GBK" w:cs="方正仿宋_GBK"/>
          <w:sz w:val="32"/>
          <w:szCs w:val="32"/>
        </w:rPr>
        <w:t>亿元，单位面积经济贡献率（税收</w:t>
      </w:r>
      <w:r>
        <w:rPr>
          <w:rFonts w:eastAsia="方正仿宋_GBK"/>
          <w:sz w:val="32"/>
          <w:szCs w:val="32"/>
        </w:rPr>
        <w:t>/</w:t>
      </w:r>
      <w:r>
        <w:rPr>
          <w:rFonts w:hint="eastAsia" w:eastAsia="方正仿宋_GBK" w:cs="方正仿宋_GBK"/>
          <w:sz w:val="32"/>
          <w:szCs w:val="32"/>
        </w:rPr>
        <w:t>面积）是</w:t>
      </w:r>
      <w:r>
        <w:rPr>
          <w:rFonts w:eastAsia="方正仿宋_GBK"/>
          <w:sz w:val="32"/>
          <w:szCs w:val="32"/>
        </w:rPr>
        <w:t>15</w:t>
      </w:r>
      <w:r>
        <w:rPr>
          <w:rFonts w:hint="eastAsia" w:eastAsia="方正仿宋_GBK" w:cs="方正仿宋_GBK"/>
          <w:sz w:val="32"/>
          <w:szCs w:val="32"/>
        </w:rPr>
        <w:t>亿</w:t>
      </w:r>
      <w:r>
        <w:rPr>
          <w:rFonts w:eastAsia="方正仿宋_GBK"/>
          <w:sz w:val="32"/>
          <w:szCs w:val="32"/>
        </w:rPr>
        <w:t>/</w:t>
      </w:r>
      <w:r>
        <w:rPr>
          <w:rFonts w:hint="eastAsia" w:eastAsia="方正仿宋_GBK" w:cs="方正仿宋_GBK"/>
          <w:sz w:val="32"/>
          <w:szCs w:val="32"/>
        </w:rPr>
        <w:t>平方公里，新增新型研发机构</w:t>
      </w:r>
      <w:r>
        <w:rPr>
          <w:rFonts w:eastAsia="方正仿宋_GBK"/>
          <w:sz w:val="32"/>
          <w:szCs w:val="32"/>
        </w:rPr>
        <w:t>10</w:t>
      </w:r>
      <w:r>
        <w:rPr>
          <w:rFonts w:hint="eastAsia" w:eastAsia="方正仿宋_GBK" w:cs="方正仿宋_GBK"/>
          <w:sz w:val="32"/>
          <w:szCs w:val="32"/>
        </w:rPr>
        <w:t>家，引进和建设实验室、工程中心、技术中心、检测中心等平台</w:t>
      </w:r>
      <w:r>
        <w:rPr>
          <w:rFonts w:eastAsia="方正仿宋_GBK"/>
          <w:sz w:val="32"/>
          <w:szCs w:val="32"/>
        </w:rPr>
        <w:t>30</w:t>
      </w:r>
      <w:r>
        <w:rPr>
          <w:rFonts w:hint="eastAsia" w:eastAsia="方正仿宋_GBK" w:cs="方正仿宋_GBK"/>
          <w:sz w:val="32"/>
          <w:szCs w:val="32"/>
        </w:rPr>
        <w:t>个。新培育高企</w:t>
      </w:r>
      <w:r>
        <w:rPr>
          <w:rFonts w:eastAsia="方正仿宋_GBK"/>
          <w:sz w:val="32"/>
          <w:szCs w:val="32"/>
        </w:rPr>
        <w:t>350</w:t>
      </w:r>
      <w:r>
        <w:rPr>
          <w:rFonts w:hint="eastAsia" w:eastAsia="方正仿宋_GBK" w:cs="方正仿宋_GBK"/>
          <w:sz w:val="32"/>
          <w:szCs w:val="32"/>
        </w:rPr>
        <w:t>家，累计完成“培育独角兽企业”、“瞪羚企业”、培育各类上市企业达</w:t>
      </w:r>
      <w:r>
        <w:rPr>
          <w:rFonts w:eastAsia="方正仿宋_GBK"/>
          <w:sz w:val="32"/>
          <w:szCs w:val="32"/>
        </w:rPr>
        <w:t>13</w:t>
      </w:r>
      <w:r>
        <w:rPr>
          <w:rFonts w:hint="eastAsia" w:eastAsia="方正仿宋_GBK" w:cs="方正仿宋_GBK"/>
          <w:sz w:val="32"/>
          <w:szCs w:val="32"/>
        </w:rPr>
        <w:t>家。</w:t>
      </w:r>
    </w:p>
    <w:p w14:paraId="315EE303">
      <w:pPr>
        <w:pStyle w:val="2"/>
      </w:pPr>
    </w:p>
    <w:p w14:paraId="7CEE7AA5">
      <w:pPr>
        <w:pStyle w:val="5"/>
        <w:spacing w:before="240" w:after="200" w:line="240" w:lineRule="auto"/>
        <w:jc w:val="center"/>
        <w:rPr>
          <w:rFonts w:ascii="方正楷体_GBK" w:hAnsi="方正楷体_GBK" w:eastAsia="方正楷体_GBK"/>
          <w:b w:val="0"/>
          <w:bCs w:val="0"/>
        </w:rPr>
      </w:pPr>
      <w:bookmarkStart w:id="105" w:name="_Toc60466253"/>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南部新城超级总部基地</w:t>
      </w:r>
      <w:bookmarkEnd w:id="105"/>
    </w:p>
    <w:p w14:paraId="1AE4F058">
      <w:pPr>
        <w:spacing w:line="590" w:lineRule="exact"/>
        <w:ind w:firstLine="629"/>
        <w:rPr>
          <w:rFonts w:eastAsia="方正仿宋_GBK"/>
          <w:sz w:val="32"/>
          <w:szCs w:val="32"/>
        </w:rPr>
      </w:pPr>
      <w:r>
        <w:rPr>
          <w:rFonts w:hint="eastAsia" w:eastAsia="方正仿宋_GBK" w:cs="方正仿宋_GBK"/>
          <w:sz w:val="32"/>
          <w:szCs w:val="32"/>
        </w:rPr>
        <w:t>明确“长三角中央活力区，都市圈超总集聚区、现代化主城新中心”的目标定位，推进超级总部集聚和国际交流合作，推动绿色智慧发展和主城有机更新，争取在现代化新城高质量开发建设上走在前列。将跑道公园打造成底蕴深厚、独特唯一的城市魅力客厅，形成全球影响卓越的文化</w:t>
      </w:r>
      <w:r>
        <w:rPr>
          <w:rFonts w:eastAsia="方正仿宋_GBK"/>
          <w:sz w:val="32"/>
          <w:szCs w:val="32"/>
        </w:rPr>
        <w:t>IP</w:t>
      </w:r>
      <w:r>
        <w:rPr>
          <w:rFonts w:hint="eastAsia" w:eastAsia="方正仿宋_GBK" w:cs="方正仿宋_GBK"/>
          <w:sz w:val="32"/>
          <w:szCs w:val="32"/>
        </w:rPr>
        <w:t>，塑造国际文化休闲旅游目的地，构建文旅商融合的时尚消费新商圈，打造具有国际范儿的文创城、国际化未来社区和宜居宜业宜游的</w:t>
      </w:r>
      <w:r>
        <w:rPr>
          <w:rFonts w:eastAsia="方正仿宋_GBK"/>
          <w:sz w:val="32"/>
          <w:szCs w:val="32"/>
        </w:rPr>
        <w:t>24</w:t>
      </w:r>
      <w:r>
        <w:rPr>
          <w:rFonts w:hint="eastAsia" w:eastAsia="方正仿宋_GBK" w:cs="方正仿宋_GBK"/>
          <w:sz w:val="32"/>
          <w:szCs w:val="32"/>
        </w:rPr>
        <w:t>小时活力区。依托高铁枢纽经济区的集聚力，汇聚长三角、全国、全球高端要素，构建现代服务业产业生态圈。放大城市门户的独特区位优势和高铁枢纽经济区的集聚力，构建现代服务业产业生态圈和精准定制化的特色产业地标，打造高端总部企业进入南京的首选地、上市公司的集聚地、高成长性企业的成功地。深化低碳智慧理念技术运用，促进城市服务功能完善，建设安全可靠、多元融合的主城有机更新的经典样板，智慧共生、人性灵动的城市建设的集成典范；以人工智能、大数据、物联网、区块链等现代化技术，赋能城市精细化智慧化管理，加快推动城市治理体系和治理能力现代化，着力提升城市能级和核心竞争力。</w:t>
      </w:r>
    </w:p>
    <w:p w14:paraId="740134AA">
      <w:pPr>
        <w:spacing w:line="590" w:lineRule="exact"/>
        <w:ind w:firstLine="629"/>
        <w:rPr>
          <w:rFonts w:eastAsia="方正仿宋_GBK"/>
          <w:sz w:val="32"/>
          <w:szCs w:val="32"/>
        </w:rPr>
      </w:pPr>
      <w:r>
        <w:rPr>
          <w:rFonts w:hint="eastAsia" w:eastAsia="方正仿宋_GBK" w:cs="方正仿宋_GBK"/>
          <w:sz w:val="32"/>
          <w:szCs w:val="32"/>
        </w:rPr>
        <w:t>到</w:t>
      </w:r>
      <w:r>
        <w:rPr>
          <w:rFonts w:eastAsia="方正仿宋_GBK"/>
          <w:sz w:val="32"/>
          <w:szCs w:val="32"/>
        </w:rPr>
        <w:t>2025</w:t>
      </w:r>
      <w:r>
        <w:rPr>
          <w:rFonts w:hint="eastAsia" w:eastAsia="方正仿宋_GBK" w:cs="方正仿宋_GBK"/>
          <w:sz w:val="32"/>
          <w:szCs w:val="32"/>
        </w:rPr>
        <w:t>年，在人居环境建设、主导产业发展、绿色生态示范、智慧城市建设、公共服务配套、建设运营管理等方面达到新局面。慢行路网密度达到</w:t>
      </w:r>
      <w:r>
        <w:rPr>
          <w:rFonts w:eastAsia="方正仿宋_GBK"/>
          <w:sz w:val="32"/>
          <w:szCs w:val="32"/>
        </w:rPr>
        <w:t>7.5</w:t>
      </w:r>
      <w:r>
        <w:rPr>
          <w:rFonts w:hint="eastAsia" w:eastAsia="方正仿宋_GBK" w:cs="方正仿宋_GBK"/>
          <w:sz w:val="32"/>
          <w:szCs w:val="32"/>
        </w:rPr>
        <w:t>公里</w:t>
      </w:r>
      <w:r>
        <w:rPr>
          <w:rFonts w:eastAsia="方正仿宋_GBK"/>
          <w:sz w:val="32"/>
          <w:szCs w:val="32"/>
        </w:rPr>
        <w:t>/</w:t>
      </w:r>
      <w:r>
        <w:rPr>
          <w:rFonts w:hint="eastAsia" w:eastAsia="方正仿宋_GBK" w:cs="方正仿宋_GBK"/>
          <w:sz w:val="32"/>
          <w:szCs w:val="32"/>
        </w:rPr>
        <w:t>平方公里，人均公共绿地面积达到</w:t>
      </w:r>
      <w:r>
        <w:rPr>
          <w:rFonts w:eastAsia="方正仿宋_GBK"/>
          <w:sz w:val="32"/>
          <w:szCs w:val="32"/>
        </w:rPr>
        <w:t>9.8</w:t>
      </w:r>
      <w:r>
        <w:rPr>
          <w:rFonts w:hint="eastAsia" w:eastAsia="方正仿宋_GBK" w:cs="方正仿宋_GBK"/>
          <w:sz w:val="32"/>
          <w:szCs w:val="32"/>
        </w:rPr>
        <w:t>平方米，海绵城市建设实现全域覆盖，可再生能源使用率达到</w:t>
      </w:r>
      <w:r>
        <w:rPr>
          <w:rFonts w:eastAsia="方正仿宋_GBK"/>
          <w:sz w:val="32"/>
          <w:szCs w:val="32"/>
        </w:rPr>
        <w:t>12%</w:t>
      </w:r>
      <w:r>
        <w:rPr>
          <w:rFonts w:hint="eastAsia" w:eastAsia="方正仿宋_GBK" w:cs="方正仿宋_GBK"/>
          <w:sz w:val="32"/>
          <w:szCs w:val="32"/>
        </w:rPr>
        <w:t>。实现</w:t>
      </w:r>
      <w:r>
        <w:rPr>
          <w:rFonts w:eastAsia="方正仿宋_GBK"/>
          <w:sz w:val="32"/>
          <w:szCs w:val="32"/>
        </w:rPr>
        <w:t>5G</w:t>
      </w:r>
      <w:r>
        <w:rPr>
          <w:rFonts w:hint="eastAsia" w:eastAsia="方正仿宋_GBK" w:cs="方正仿宋_GBK"/>
          <w:sz w:val="32"/>
          <w:szCs w:val="32"/>
        </w:rPr>
        <w:t>网络全域覆盖，基础设施智慧化水平超</w:t>
      </w:r>
      <w:r>
        <w:rPr>
          <w:rFonts w:eastAsia="方正仿宋_GBK"/>
          <w:sz w:val="32"/>
          <w:szCs w:val="32"/>
        </w:rPr>
        <w:t>80%</w:t>
      </w:r>
      <w:r>
        <w:rPr>
          <w:rFonts w:hint="eastAsia" w:eastAsia="方正仿宋_GBK" w:cs="方正仿宋_GBK"/>
          <w:sz w:val="32"/>
          <w:szCs w:val="32"/>
        </w:rPr>
        <w:t>。引进各类企业总部机构</w:t>
      </w:r>
      <w:r>
        <w:rPr>
          <w:rFonts w:eastAsia="方正仿宋_GBK"/>
          <w:sz w:val="32"/>
          <w:szCs w:val="32"/>
        </w:rPr>
        <w:t>40</w:t>
      </w:r>
      <w:r>
        <w:rPr>
          <w:rFonts w:hint="eastAsia" w:eastAsia="方正仿宋_GBK" w:cs="方正仿宋_GBK"/>
          <w:sz w:val="32"/>
          <w:szCs w:val="32"/>
        </w:rPr>
        <w:t>家，其中超级总部项目</w:t>
      </w:r>
      <w:r>
        <w:rPr>
          <w:rFonts w:eastAsia="方正仿宋_GBK"/>
          <w:sz w:val="32"/>
          <w:szCs w:val="32"/>
        </w:rPr>
        <w:t>20</w:t>
      </w:r>
      <w:r>
        <w:rPr>
          <w:rFonts w:hint="eastAsia" w:eastAsia="方正仿宋_GBK" w:cs="方正仿宋_GBK"/>
          <w:sz w:val="32"/>
          <w:szCs w:val="32"/>
        </w:rPr>
        <w:t>个，打造总部楼宇</w:t>
      </w:r>
      <w:r>
        <w:rPr>
          <w:rFonts w:eastAsia="方正仿宋_GBK"/>
          <w:sz w:val="32"/>
          <w:szCs w:val="32"/>
        </w:rPr>
        <w:t>5</w:t>
      </w:r>
      <w:r>
        <w:rPr>
          <w:rFonts w:hint="eastAsia" w:eastAsia="方正仿宋_GBK" w:cs="方正仿宋_GBK"/>
          <w:sz w:val="32"/>
          <w:szCs w:val="32"/>
        </w:rPr>
        <w:t>栋，每平方公里产出力争达</w:t>
      </w:r>
      <w:r>
        <w:rPr>
          <w:rFonts w:eastAsia="方正仿宋_GBK"/>
          <w:sz w:val="32"/>
          <w:szCs w:val="32"/>
        </w:rPr>
        <w:t>50</w:t>
      </w:r>
      <w:r>
        <w:rPr>
          <w:rFonts w:hint="eastAsia" w:eastAsia="方正仿宋_GBK" w:cs="方正仿宋_GBK"/>
          <w:sz w:val="32"/>
          <w:szCs w:val="32"/>
        </w:rPr>
        <w:t>亿元。</w:t>
      </w:r>
    </w:p>
    <w:p w14:paraId="59E1BE41">
      <w:pPr>
        <w:pStyle w:val="4"/>
        <w:keepNext w:val="0"/>
        <w:keepLines w:val="0"/>
        <w:spacing w:beforeLines="150" w:afterLines="150" w:line="520" w:lineRule="exact"/>
        <w:jc w:val="center"/>
        <w:rPr>
          <w:rFonts w:ascii="方正黑体_GBK" w:hAnsi="方正黑体_GBK" w:eastAsia="方正黑体_GBK" w:cs="Times New Roman"/>
          <w:b w:val="0"/>
          <w:bCs w:val="0"/>
        </w:rPr>
      </w:pPr>
      <w:bookmarkStart w:id="106" w:name="_Toc60466254"/>
      <w:r>
        <w:rPr>
          <w:rFonts w:hint="eastAsia" w:ascii="方正黑体_GBK" w:hAnsi="方正黑体_GBK" w:eastAsia="方正黑体_GBK" w:cs="方正黑体_GBK"/>
          <w:b w:val="0"/>
          <w:bCs w:val="0"/>
        </w:rPr>
        <w:t>第十三章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打造沿秦淮河产城融合水岸示范带</w:t>
      </w:r>
      <w:bookmarkEnd w:id="106"/>
    </w:p>
    <w:bookmarkEnd w:id="76"/>
    <w:p w14:paraId="5B3BD9D5">
      <w:pPr>
        <w:pStyle w:val="5"/>
        <w:spacing w:before="280" w:after="240"/>
        <w:jc w:val="center"/>
        <w:rPr>
          <w:rFonts w:ascii="方正楷体_GBK" w:hAnsi="方正楷体_GBK" w:eastAsia="方正楷体_GBK"/>
          <w:b w:val="0"/>
          <w:bCs w:val="0"/>
        </w:rPr>
      </w:pPr>
      <w:bookmarkStart w:id="107" w:name="_Toc6046625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提升沿内秦淮河段落文旅商融合带</w:t>
      </w:r>
      <w:bookmarkEnd w:id="107"/>
    </w:p>
    <w:p w14:paraId="580249C0">
      <w:pPr>
        <w:spacing w:line="590" w:lineRule="exact"/>
        <w:ind w:firstLine="629"/>
        <w:rPr>
          <w:rFonts w:eastAsia="方正仿宋_GBK"/>
          <w:sz w:val="32"/>
          <w:szCs w:val="32"/>
        </w:rPr>
      </w:pPr>
      <w:r>
        <w:rPr>
          <w:rFonts w:hint="eastAsia" w:eastAsia="方正仿宋_GBK" w:cs="方正仿宋_GBK"/>
          <w:sz w:val="32"/>
          <w:szCs w:val="32"/>
        </w:rPr>
        <w:t>聚焦文旅商产业融合和体验内涵升级，进一步挖掘展示沿岸线文化内涵，连贯畅通沿河通道，设置水上巴士站点，整合盘活文旅商资源，增强水岸互动的丰富度、感染力，扩大在国内外的知名度和影响力，发挥“最南京”历史文化窗口的展示引领作用和文旅商融合转型示范作用。打造文化精华传承和历史风貌展示的体验窗口，文旅商融合发展的特色产业带，以及水岸互动场景丰富的“十里秦淮”</w:t>
      </w:r>
      <w:r>
        <w:rPr>
          <w:rFonts w:eastAsia="方正仿宋_GBK"/>
          <w:sz w:val="32"/>
          <w:szCs w:val="32"/>
        </w:rPr>
        <w:t>IP</w:t>
      </w:r>
      <w:r>
        <w:rPr>
          <w:rFonts w:hint="eastAsia" w:eastAsia="方正仿宋_GBK" w:cs="方正仿宋_GBK"/>
          <w:sz w:val="32"/>
          <w:szCs w:val="32"/>
        </w:rPr>
        <w:t>。</w:t>
      </w:r>
    </w:p>
    <w:p w14:paraId="3FDBDC4B">
      <w:pPr>
        <w:spacing w:line="520" w:lineRule="exact"/>
        <w:ind w:firstLine="640" w:firstLineChars="200"/>
        <w:rPr>
          <w:rFonts w:eastAsia="方正仿宋_GBK"/>
          <w:sz w:val="32"/>
          <w:szCs w:val="32"/>
        </w:rPr>
      </w:pPr>
    </w:p>
    <w:p w14:paraId="5A254A37">
      <w:pPr>
        <w:spacing w:line="520" w:lineRule="exact"/>
        <w:ind w:firstLine="420" w:firstLineChars="200"/>
        <w:rPr>
          <w:rFonts w:eastAsia="方正仿宋_GBK"/>
          <w:sz w:val="32"/>
          <w:szCs w:val="32"/>
        </w:rPr>
      </w:pPr>
      <w:r>
        <w:drawing>
          <wp:anchor distT="0" distB="0" distL="114300" distR="114300" simplePos="0" relativeHeight="251660288" behindDoc="0" locked="0" layoutInCell="1" allowOverlap="1">
            <wp:simplePos x="0" y="0"/>
            <wp:positionH relativeFrom="column">
              <wp:posOffset>338455</wp:posOffset>
            </wp:positionH>
            <wp:positionV relativeFrom="paragraph">
              <wp:posOffset>-372745</wp:posOffset>
            </wp:positionV>
            <wp:extent cx="4820285" cy="2712720"/>
            <wp:effectExtent l="0" t="0" r="18415" b="11430"/>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4820285" cy="2712720"/>
                    </a:xfrm>
                    <a:prstGeom prst="rect">
                      <a:avLst/>
                    </a:prstGeom>
                    <a:noFill/>
                    <a:ln>
                      <a:noFill/>
                    </a:ln>
                  </pic:spPr>
                </pic:pic>
              </a:graphicData>
            </a:graphic>
          </wp:anchor>
        </w:drawing>
      </w:r>
    </w:p>
    <w:p w14:paraId="32B9596A">
      <w:pPr>
        <w:spacing w:line="520" w:lineRule="exact"/>
        <w:ind w:firstLine="640" w:firstLineChars="200"/>
        <w:rPr>
          <w:rFonts w:eastAsia="方正仿宋_GBK"/>
          <w:sz w:val="32"/>
          <w:szCs w:val="32"/>
        </w:rPr>
      </w:pPr>
    </w:p>
    <w:p w14:paraId="2AD778A8">
      <w:pPr>
        <w:spacing w:line="520" w:lineRule="exact"/>
        <w:ind w:firstLine="640" w:firstLineChars="200"/>
        <w:rPr>
          <w:rFonts w:eastAsia="方正仿宋_GBK"/>
          <w:sz w:val="32"/>
          <w:szCs w:val="32"/>
        </w:rPr>
      </w:pPr>
    </w:p>
    <w:p w14:paraId="6A49A754">
      <w:pPr>
        <w:spacing w:line="520" w:lineRule="exact"/>
        <w:ind w:firstLine="640" w:firstLineChars="200"/>
        <w:rPr>
          <w:rFonts w:eastAsia="方正仿宋_GBK"/>
          <w:sz w:val="32"/>
          <w:szCs w:val="32"/>
        </w:rPr>
      </w:pPr>
    </w:p>
    <w:p w14:paraId="73ADCDC8"/>
    <w:p w14:paraId="3EED48CB"/>
    <w:p w14:paraId="3A14428A"/>
    <w:p w14:paraId="12CE1D09">
      <w:pPr>
        <w:pStyle w:val="5"/>
        <w:spacing w:after="200"/>
        <w:jc w:val="center"/>
        <w:rPr>
          <w:rFonts w:ascii="方正楷体_GBK" w:hAnsi="方正楷体_GBK" w:eastAsia="方正楷体_GBK"/>
          <w:b w:val="0"/>
          <w:bCs w:val="0"/>
        </w:rPr>
      </w:pPr>
      <w:bookmarkStart w:id="108" w:name="_Toc6046625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打造沿外秦淮河段落“三生”复合空间水岸客厅</w:t>
      </w:r>
      <w:bookmarkEnd w:id="108"/>
    </w:p>
    <w:p w14:paraId="12991167">
      <w:pPr>
        <w:spacing w:line="590" w:lineRule="exact"/>
        <w:ind w:firstLine="629"/>
        <w:rPr>
          <w:rFonts w:eastAsia="方正仿宋_GBK"/>
          <w:sz w:val="32"/>
          <w:szCs w:val="32"/>
        </w:rPr>
      </w:pPr>
      <w:r>
        <w:rPr>
          <w:rFonts w:hint="eastAsia" w:eastAsia="方正仿宋_GBK" w:cs="方正仿宋_GBK"/>
          <w:sz w:val="32"/>
          <w:szCs w:val="32"/>
        </w:rPr>
        <w:t>聚焦科技创新创业与滨水生态空间打造的互动互融，凸显秦淮独有的水形态、水文化、水特色，打造老城、新城融合共生的特色空间载体。全面梳理沿河土地资源，搭建“水岸大数据平台”和项目储备库，实现现状地块数据动态化管理，按照成熟度分段开发。提升城市小微水体管理改造水平，深化河长制工作建设，逐步打造“河长制主题公园”。贯通沿河步道，布局市民公共开放空间和生活性服务产业配套，形成沿水岸产业公园群，加强水系交融互动。鼓励实施并推广月牙湖水上运动、龙舟赛、赛艇等水上群众文化娱乐项目，造节造势，扩大水岸经济社会发展影响力。打造以滨水空间互动为主要目标的都市休闲带，以生态保护修复为前提的沿河绿色廊道，以特色产业串联带动的“三生”（生产、生活、生态）复合空间水岸展示示范带。</w:t>
      </w:r>
    </w:p>
    <w:p w14:paraId="094DB3E6">
      <w:pPr>
        <w:pStyle w:val="2"/>
      </w:pPr>
    </w:p>
    <w:p w14:paraId="2CF32AA7">
      <w:pPr>
        <w:spacing w:line="520" w:lineRule="exact"/>
        <w:ind w:firstLine="420" w:firstLineChars="200"/>
        <w:rPr>
          <w:rFonts w:eastAsia="华文仿宋"/>
          <w:sz w:val="32"/>
          <w:szCs w:val="32"/>
        </w:rPr>
      </w:pPr>
      <w:r>
        <w:drawing>
          <wp:anchor distT="0" distB="0" distL="114300" distR="114300" simplePos="0" relativeHeight="251659264" behindDoc="0" locked="0" layoutInCell="1" allowOverlap="1">
            <wp:simplePos x="0" y="0"/>
            <wp:positionH relativeFrom="column">
              <wp:posOffset>219075</wp:posOffset>
            </wp:positionH>
            <wp:positionV relativeFrom="paragraph">
              <wp:posOffset>-98425</wp:posOffset>
            </wp:positionV>
            <wp:extent cx="4881880" cy="2896235"/>
            <wp:effectExtent l="0" t="0" r="13970"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881880" cy="2896235"/>
                    </a:xfrm>
                    <a:prstGeom prst="rect">
                      <a:avLst/>
                    </a:prstGeom>
                    <a:noFill/>
                    <a:ln>
                      <a:noFill/>
                    </a:ln>
                  </pic:spPr>
                </pic:pic>
              </a:graphicData>
            </a:graphic>
          </wp:anchor>
        </w:drawing>
      </w:r>
    </w:p>
    <w:p w14:paraId="631380C2">
      <w:pPr>
        <w:spacing w:line="520" w:lineRule="exact"/>
        <w:ind w:firstLine="640" w:firstLineChars="200"/>
        <w:rPr>
          <w:rFonts w:eastAsia="华文仿宋"/>
          <w:sz w:val="32"/>
          <w:szCs w:val="32"/>
        </w:rPr>
      </w:pPr>
    </w:p>
    <w:p w14:paraId="3465A05A">
      <w:pPr>
        <w:pStyle w:val="2"/>
        <w:jc w:val="center"/>
        <w:rPr>
          <w:sz w:val="32"/>
          <w:szCs w:val="32"/>
        </w:rPr>
      </w:pPr>
    </w:p>
    <w:p w14:paraId="226772AB"/>
    <w:p w14:paraId="17266B36">
      <w:pPr>
        <w:pStyle w:val="2"/>
      </w:pPr>
    </w:p>
    <w:p w14:paraId="1E1089FD">
      <w:pPr>
        <w:pStyle w:val="2"/>
      </w:pPr>
    </w:p>
    <w:p w14:paraId="069CDEAE"/>
    <w:p w14:paraId="69C21264"/>
    <w:p w14:paraId="093545BA"/>
    <w:p w14:paraId="5BE727D0"/>
    <w:p w14:paraId="187D5BA3"/>
    <w:p w14:paraId="228CE1DD"/>
    <w:p w14:paraId="74D51F6A"/>
    <w:p w14:paraId="075C6899">
      <w:pPr>
        <w:pStyle w:val="3"/>
        <w:keepNext w:val="0"/>
        <w:keepLines w:val="0"/>
        <w:spacing w:before="0" w:after="0" w:line="700" w:lineRule="exact"/>
        <w:jc w:val="center"/>
        <w:rPr>
          <w:rFonts w:ascii="方正小标宋_GBK" w:eastAsia="方正小标宋_GBK"/>
          <w:b w:val="0"/>
          <w:bCs w:val="0"/>
        </w:rPr>
      </w:pPr>
      <w:bookmarkStart w:id="109" w:name="_Toc60466257"/>
      <w:r>
        <w:rPr>
          <w:rFonts w:hint="eastAsia" w:ascii="方正小标宋_GBK" w:eastAsia="方正小标宋_GBK" w:cs="方正小标宋_GBK"/>
          <w:b w:val="0"/>
          <w:bCs w:val="0"/>
        </w:rPr>
        <w:t>第五篇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突出历史文化传承，协同文旅商创发展，展现秦淮风雅魅力新内涵</w:t>
      </w:r>
      <w:bookmarkEnd w:id="109"/>
    </w:p>
    <w:p w14:paraId="485219E6"/>
    <w:p w14:paraId="5D6586CF">
      <w:pPr>
        <w:pStyle w:val="2"/>
      </w:pPr>
    </w:p>
    <w:p w14:paraId="0775C98E">
      <w:pPr>
        <w:spacing w:line="590" w:lineRule="exact"/>
        <w:ind w:firstLine="629"/>
        <w:rPr>
          <w:rFonts w:eastAsia="方正仿宋_GBK"/>
          <w:sz w:val="32"/>
          <w:szCs w:val="32"/>
        </w:rPr>
      </w:pPr>
      <w:r>
        <w:rPr>
          <w:rFonts w:hint="eastAsia" w:eastAsia="方正仿宋_GBK" w:cs="方正仿宋_GBK"/>
          <w:sz w:val="32"/>
          <w:szCs w:val="32"/>
        </w:rPr>
        <w:t>深度挖掘秦淮文化基因，激发文旅商融合发展潜力，打造“风雅秦淮”品牌体系，塑造面向世界的秦淮底色、文化标签和大</w:t>
      </w:r>
      <w:r>
        <w:rPr>
          <w:rFonts w:eastAsia="方正仿宋_GBK"/>
          <w:sz w:val="32"/>
          <w:szCs w:val="32"/>
        </w:rPr>
        <w:t>IP</w:t>
      </w:r>
      <w:r>
        <w:rPr>
          <w:rFonts w:hint="eastAsia" w:eastAsia="方正仿宋_GBK" w:cs="方正仿宋_GBK"/>
          <w:sz w:val="32"/>
          <w:szCs w:val="32"/>
        </w:rPr>
        <w:t>。推进“文化强区”建设，坚定文化自信，坚持社会主义核心价值观引领，以满足人民群众多样化多层次多方位的精神文化需求为导向，提升公民文化素养和社会文明程度。</w:t>
      </w:r>
    </w:p>
    <w:p w14:paraId="2E62E59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10" w:name="_Toc60466258"/>
      <w:r>
        <w:rPr>
          <w:rFonts w:hint="eastAsia" w:ascii="方正黑体_GBK" w:hAnsi="方正黑体_GBK" w:eastAsia="方正黑体_GBK" w:cs="方正黑体_GBK"/>
          <w:b w:val="0"/>
          <w:bCs w:val="0"/>
        </w:rPr>
        <w:t>第十四章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塑造风雅秦淮腔调</w:t>
      </w:r>
      <w:bookmarkEnd w:id="110"/>
    </w:p>
    <w:p w14:paraId="0B49BCD0">
      <w:pPr>
        <w:pStyle w:val="5"/>
        <w:spacing w:after="200"/>
        <w:jc w:val="center"/>
        <w:rPr>
          <w:rFonts w:ascii="方正楷体_GBK" w:hAnsi="方正楷体_GBK" w:eastAsia="方正楷体_GBK"/>
          <w:b w:val="0"/>
          <w:bCs w:val="0"/>
        </w:rPr>
      </w:pPr>
      <w:bookmarkStart w:id="111" w:name="_Toc6046625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整体塑造文化基因</w:t>
      </w:r>
      <w:bookmarkEnd w:id="111"/>
    </w:p>
    <w:p w14:paraId="2E1F0D45">
      <w:pPr>
        <w:spacing w:line="590" w:lineRule="exact"/>
        <w:ind w:firstLine="629"/>
        <w:rPr>
          <w:rFonts w:eastAsia="方正仿宋_GBK"/>
          <w:sz w:val="32"/>
          <w:szCs w:val="32"/>
        </w:rPr>
      </w:pPr>
      <w:r>
        <w:rPr>
          <w:rFonts w:hint="eastAsia" w:eastAsia="方正仿宋_GBK" w:cs="方正仿宋_GBK"/>
          <w:sz w:val="32"/>
          <w:szCs w:val="32"/>
        </w:rPr>
        <w:t>依托老城南、新街口、南部新城等文化空间，围绕“</w:t>
      </w:r>
      <w:r>
        <w:rPr>
          <w:rFonts w:eastAsia="方正仿宋_GBK"/>
          <w:sz w:val="32"/>
          <w:szCs w:val="32"/>
        </w:rPr>
        <w:t>1+4</w:t>
      </w:r>
      <w:r>
        <w:rPr>
          <w:rFonts w:hint="eastAsia" w:eastAsia="方正仿宋_GBK" w:cs="方正仿宋_GBK"/>
          <w:sz w:val="32"/>
          <w:szCs w:val="32"/>
        </w:rPr>
        <w:t>”故事线，深入发挥文博场馆、实体书店、非遗展馆等载体资源效用，突出文化基因的差异化定位表达。依托文化艺术研究院，加强与国内外权威研究机构合作，引进培育风雅名家，创作风雅作品，传播风雅腔调，形成秦淮文化基因支撑体系。高水平推进太平南路演艺街区、“秦淮河畔”小剧场群建设，推进国创园工业设计、</w:t>
      </w:r>
      <w:r>
        <w:rPr>
          <w:rFonts w:eastAsia="方正仿宋_GBK"/>
          <w:sz w:val="32"/>
          <w:szCs w:val="32"/>
        </w:rPr>
        <w:t>1865</w:t>
      </w:r>
      <w:r>
        <w:rPr>
          <w:rFonts w:hint="eastAsia" w:eastAsia="方正仿宋_GBK" w:cs="方正仿宋_GBK"/>
          <w:sz w:val="32"/>
          <w:szCs w:val="32"/>
        </w:rPr>
        <w:t>园区文创旅游、江苏网络文学谷、核心景区文创文博等“文化</w:t>
      </w:r>
      <w:r>
        <w:rPr>
          <w:rFonts w:eastAsia="方正仿宋_GBK"/>
          <w:sz w:val="32"/>
          <w:szCs w:val="32"/>
        </w:rPr>
        <w:t>+</w:t>
      </w:r>
      <w:r>
        <w:rPr>
          <w:rFonts w:hint="eastAsia" w:eastAsia="方正仿宋_GBK" w:cs="方正仿宋_GBK"/>
          <w:sz w:val="32"/>
          <w:szCs w:val="32"/>
        </w:rPr>
        <w:t>”产业集群发展，挖掘文化基因的产业价值。</w:t>
      </w:r>
    </w:p>
    <w:p w14:paraId="6F8C9B3D">
      <w:pPr>
        <w:pStyle w:val="5"/>
        <w:spacing w:after="200"/>
        <w:jc w:val="center"/>
        <w:rPr>
          <w:rFonts w:ascii="方正楷体_GBK" w:hAnsi="方正楷体_GBK" w:eastAsia="方正楷体_GBK"/>
          <w:b w:val="0"/>
          <w:bCs w:val="0"/>
        </w:rPr>
      </w:pPr>
      <w:bookmarkStart w:id="112" w:name="_Toc6046626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整体保护文化资源</w:t>
      </w:r>
      <w:bookmarkEnd w:id="112"/>
    </w:p>
    <w:p w14:paraId="77D7C84E">
      <w:pPr>
        <w:spacing w:line="590" w:lineRule="exact"/>
        <w:ind w:firstLine="629"/>
        <w:rPr>
          <w:rFonts w:eastAsia="方正仿宋_GBK"/>
          <w:sz w:val="32"/>
          <w:szCs w:val="32"/>
        </w:rPr>
      </w:pPr>
      <w:r>
        <w:rPr>
          <w:rFonts w:hint="eastAsia" w:eastAsia="方正仿宋_GBK" w:cs="方正仿宋_GBK"/>
          <w:sz w:val="32"/>
          <w:szCs w:val="32"/>
        </w:rPr>
        <w:t>找准长江文化带、大运河文化带和南京“一山两水一城墙”总体格局中的秦淮定位，推动越城、西街、朝天宫等文脉资源的整体保护和活化利用，做好秦淮文化输出。推进南部新城机场记忆跑道、中国历史第二档案馆、南京博物院故宫馆等重大文化项目建设。推进“南京白局”、“金陵古琴”、“秦淮灯彩”等非物质文化遗产活态研究保护，留真留整。探索古民居保护模式，建立居民人口疏散长效机制，统一实施市政基础设施改造、环境综合整治、保护利用项目申报和绩效评价，打造童雋故居、刘志田故居、李公祠等一批古民居记忆空间。</w:t>
      </w:r>
    </w:p>
    <w:p w14:paraId="20753309">
      <w:pPr>
        <w:pStyle w:val="5"/>
        <w:spacing w:after="200"/>
        <w:jc w:val="center"/>
        <w:rPr>
          <w:rFonts w:ascii="方正楷体_GBK" w:hAnsi="方正楷体_GBK" w:eastAsia="方正楷体_GBK"/>
          <w:b w:val="0"/>
          <w:bCs w:val="0"/>
        </w:rPr>
      </w:pPr>
      <w:bookmarkStart w:id="113" w:name="_Toc6046626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系统构建文化品牌</w:t>
      </w:r>
      <w:bookmarkEnd w:id="113"/>
    </w:p>
    <w:p w14:paraId="38E49207">
      <w:pPr>
        <w:spacing w:line="590" w:lineRule="exact"/>
        <w:ind w:firstLine="629"/>
        <w:rPr>
          <w:rFonts w:eastAsia="方正仿宋_GBK"/>
          <w:sz w:val="32"/>
          <w:szCs w:val="32"/>
        </w:rPr>
      </w:pPr>
      <w:r>
        <w:rPr>
          <w:rFonts w:hint="eastAsia" w:eastAsia="方正仿宋_GBK" w:cs="方正仿宋_GBK"/>
          <w:sz w:val="32"/>
          <w:szCs w:val="32"/>
        </w:rPr>
        <w:t>以社会主义核心价值观为引领，融入南京“世界文学之都”打造，提炼萃取秦淮文化的当代价值和世界意义，构建“风雅秦淮”品牌体系，不断提升秦淮文化</w:t>
      </w:r>
      <w:r>
        <w:rPr>
          <w:rFonts w:eastAsia="方正仿宋_GBK"/>
          <w:sz w:val="32"/>
          <w:szCs w:val="32"/>
        </w:rPr>
        <w:t xml:space="preserve"> IP </w:t>
      </w:r>
      <w:r>
        <w:rPr>
          <w:rFonts w:hint="eastAsia" w:eastAsia="方正仿宋_GBK" w:cs="方正仿宋_GBK"/>
          <w:sz w:val="32"/>
          <w:szCs w:val="32"/>
        </w:rPr>
        <w:t>知名度和到达率。打造国际水准的灯光艺术节，策划“桨声灯影”等主题论坛活动，为秦淮灯会、秦淮画舫、秦淮小吃等传统品牌注入现代活力。推动老字号品牌保护利用与持续发展，发展夜间经济，为夜享秦淮、秦淮礼物、夜泊秦淮、夜宿秦淮等新锐品牌注入文化生机和消费活力。</w:t>
      </w:r>
    </w:p>
    <w:p w14:paraId="70F91C7D">
      <w:pPr>
        <w:pStyle w:val="5"/>
        <w:spacing w:after="200"/>
        <w:jc w:val="center"/>
        <w:rPr>
          <w:rFonts w:ascii="方正楷体_GBK" w:hAnsi="方正楷体_GBK" w:eastAsia="方正楷体_GBK"/>
          <w:b w:val="0"/>
          <w:bCs w:val="0"/>
        </w:rPr>
      </w:pPr>
      <w:bookmarkStart w:id="114" w:name="_Toc6046626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讲述传播秦淮故事</w:t>
      </w:r>
      <w:bookmarkEnd w:id="114"/>
    </w:p>
    <w:p w14:paraId="328010AE">
      <w:pPr>
        <w:spacing w:line="590" w:lineRule="exact"/>
        <w:ind w:firstLine="629"/>
        <w:rPr>
          <w:rFonts w:eastAsia="方正仿宋_GBK"/>
          <w:sz w:val="32"/>
          <w:szCs w:val="32"/>
        </w:rPr>
      </w:pPr>
      <w:r>
        <w:rPr>
          <w:rFonts w:hint="eastAsia" w:eastAsia="方正仿宋_GBK" w:cs="方正仿宋_GBK"/>
          <w:sz w:val="32"/>
          <w:szCs w:val="32"/>
        </w:rPr>
        <w:t>以“秦淮故事”为主线，打造涵盖多个文学艺术门类，富有秦淮特色，体现时代精神的文艺作品，建设文艺精品创作和转化高地。创新文艺管理机制，扶持鼓励原创文艺作品和项目孵化，培育发展新型艺术门类，扶持一批具有国内影响力的原创精品力作。依托网络文学谷等平台资源，丰富秦淮故事系列网络文学小说，建立网络文学</w:t>
      </w:r>
      <w:r>
        <w:rPr>
          <w:rFonts w:eastAsia="方正仿宋_GBK"/>
          <w:sz w:val="32"/>
          <w:szCs w:val="32"/>
        </w:rPr>
        <w:t>IP</w:t>
      </w:r>
      <w:r>
        <w:rPr>
          <w:rFonts w:hint="eastAsia" w:eastAsia="方正仿宋_GBK" w:cs="方正仿宋_GBK"/>
          <w:sz w:val="32"/>
          <w:szCs w:val="32"/>
        </w:rPr>
        <w:t>影视转化机制，推动网络文学作品的影视转化。深入推进区级融媒体中心、新时代文明实践中心建设，打造新媒体传播矩阵。</w:t>
      </w:r>
    </w:p>
    <w:p w14:paraId="1B404BB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15" w:name="_Toc60466263"/>
      <w:r>
        <w:rPr>
          <w:rFonts w:hint="eastAsia" w:ascii="方正黑体_GBK" w:hAnsi="方正黑体_GBK" w:eastAsia="方正黑体_GBK" w:cs="方正黑体_GBK"/>
          <w:b w:val="0"/>
          <w:bCs w:val="0"/>
        </w:rPr>
        <w:t>第十五章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推进文旅商融合发展</w:t>
      </w:r>
      <w:bookmarkEnd w:id="115"/>
    </w:p>
    <w:p w14:paraId="3D6BA0DB">
      <w:pPr>
        <w:pStyle w:val="5"/>
        <w:spacing w:after="200"/>
        <w:jc w:val="center"/>
        <w:rPr>
          <w:rFonts w:ascii="方正楷体_GBK" w:hAnsi="方正楷体_GBK" w:eastAsia="方正楷体_GBK"/>
          <w:b w:val="0"/>
          <w:bCs w:val="0"/>
        </w:rPr>
      </w:pPr>
      <w:bookmarkStart w:id="116" w:name="_Toc6046626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构建全域一体格局</w:t>
      </w:r>
      <w:bookmarkEnd w:id="116"/>
    </w:p>
    <w:p w14:paraId="6147C6CA">
      <w:pPr>
        <w:spacing w:line="590" w:lineRule="exact"/>
        <w:ind w:firstLine="629"/>
        <w:rPr>
          <w:rFonts w:eastAsia="方正仿宋_GBK"/>
          <w:sz w:val="32"/>
          <w:szCs w:val="32"/>
        </w:rPr>
      </w:pPr>
      <w:r>
        <w:rPr>
          <w:rFonts w:hint="eastAsia" w:eastAsia="方正仿宋_GBK" w:cs="方正仿宋_GBK"/>
          <w:sz w:val="32"/>
          <w:szCs w:val="32"/>
        </w:rPr>
        <w:t>统筹文旅商融合发展的保护、建设、管理规划和行动计划，分步实施夫子庙业态品质提升、新街口文化内核集聚、太平南路民国商业文化复兴、中华门片区整体研究、秦淮城市记忆传承等工程。协同全域资源，推进“四区同创”，用好大运河基金和文旅基金，积极吸纳社会资本，梳理建设一批关联项目，形成全域一体化推进的文旅商融合发展合力。</w:t>
      </w:r>
    </w:p>
    <w:p w14:paraId="01BA6D83">
      <w:pPr>
        <w:pStyle w:val="5"/>
        <w:spacing w:after="200"/>
        <w:jc w:val="center"/>
        <w:rPr>
          <w:rFonts w:ascii="方正楷体_GBK" w:hAnsi="方正楷体_GBK" w:eastAsia="方正楷体_GBK"/>
          <w:b w:val="0"/>
          <w:bCs w:val="0"/>
        </w:rPr>
      </w:pPr>
      <w:bookmarkStart w:id="117" w:name="_Toc6046626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加快建设文化地标</w:t>
      </w:r>
      <w:bookmarkEnd w:id="117"/>
    </w:p>
    <w:p w14:paraId="2AA673F0">
      <w:pPr>
        <w:spacing w:line="590" w:lineRule="exact"/>
        <w:ind w:firstLine="629"/>
        <w:rPr>
          <w:rFonts w:eastAsia="方正仿宋_GBK"/>
          <w:sz w:val="32"/>
          <w:szCs w:val="32"/>
        </w:rPr>
      </w:pPr>
      <w:r>
        <w:rPr>
          <w:rFonts w:hint="eastAsia" w:eastAsia="方正仿宋_GBK" w:cs="方正仿宋_GBK"/>
          <w:sz w:val="32"/>
          <w:szCs w:val="32"/>
        </w:rPr>
        <w:t>加快推进西街、门东双塘园历史风貌区、门西数字生活街区、西五华里、科举博物馆二期等标志性项目，建成开放明城墙博物馆、秦淮非遗馆。围绕机场跑道公园和超级总部集聚区建设，建设油库公园、河头公园等南部新城文化地标，争取一批重量级公共文化场馆、展会、节庆活动落地，打造具有国际影响力的城市文化客厅。筹划老城空间艺术化改造，恢复呈现老城南市井烟火、老建筑历史味道和老一辈时代记忆。</w:t>
      </w:r>
      <w:r>
        <w:rPr>
          <w:rFonts w:eastAsia="方正仿宋_GBK"/>
          <w:sz w:val="32"/>
          <w:szCs w:val="32"/>
        </w:rPr>
        <w:t xml:space="preserve"> </w:t>
      </w:r>
    </w:p>
    <w:p w14:paraId="5A164026">
      <w:pPr>
        <w:pStyle w:val="5"/>
        <w:spacing w:after="200"/>
        <w:jc w:val="center"/>
        <w:rPr>
          <w:rFonts w:ascii="方正楷体_GBK" w:hAnsi="方正楷体_GBK" w:eastAsia="方正楷体_GBK"/>
          <w:b w:val="0"/>
          <w:bCs w:val="0"/>
        </w:rPr>
      </w:pPr>
      <w:bookmarkStart w:id="118" w:name="_Toc6046626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策划实施融合项目</w:t>
      </w:r>
      <w:bookmarkEnd w:id="118"/>
    </w:p>
    <w:p w14:paraId="7C358125">
      <w:pPr>
        <w:spacing w:line="590" w:lineRule="exact"/>
        <w:ind w:firstLine="629"/>
        <w:rPr>
          <w:rFonts w:eastAsia="方正仿宋_GBK"/>
          <w:sz w:val="32"/>
          <w:szCs w:val="32"/>
        </w:rPr>
      </w:pPr>
      <w:r>
        <w:rPr>
          <w:rFonts w:hint="eastAsia" w:eastAsia="方正仿宋_GBK" w:cs="方正仿宋_GBK"/>
          <w:sz w:val="32"/>
          <w:szCs w:val="32"/>
        </w:rPr>
        <w:t>借鉴大唐不夜城等文旅商融合发展模式，推进西街、城市名人馆建设，策划越城“城市起源地”沉浸式体验项目，加快门东东延、门西开发，推动以中华门为核心的国际文化旅游目的地建设取得实质性进展。引进头部文旅商企业，带动老城南片区流量热度和新潮程度再提升。突出“城市游乐场”方向，推动新街口商圈低效楼宇功能置换，引进电子竞技、体育赛事等高流量活动，升级“新街口市集”等购物节，提升新街口城市时尚活力核心地位。聚焦城市客厅功能，支持南部新城引进建设高规格主题博物馆，引进国际顶尖音乐场馆，放大文化娱乐体验的吸引力和号召力。</w:t>
      </w:r>
    </w:p>
    <w:p w14:paraId="7FD41AC7">
      <w:pPr>
        <w:pStyle w:val="5"/>
        <w:spacing w:after="200"/>
        <w:jc w:val="center"/>
        <w:rPr>
          <w:rFonts w:ascii="方正楷体_GBK" w:hAnsi="方正楷体_GBK" w:eastAsia="方正楷体_GBK"/>
          <w:b w:val="0"/>
          <w:bCs w:val="0"/>
        </w:rPr>
      </w:pPr>
      <w:bookmarkStart w:id="119" w:name="_Toc60466267"/>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集聚新型场景业态</w:t>
      </w:r>
      <w:bookmarkEnd w:id="119"/>
    </w:p>
    <w:p w14:paraId="2D6B16E8">
      <w:pPr>
        <w:spacing w:line="590" w:lineRule="exact"/>
        <w:ind w:firstLine="629"/>
        <w:rPr>
          <w:rFonts w:eastAsia="方正仿宋_GBK"/>
          <w:sz w:val="32"/>
          <w:szCs w:val="32"/>
        </w:rPr>
      </w:pPr>
      <w:r>
        <w:rPr>
          <w:rFonts w:hint="eastAsia" w:eastAsia="方正仿宋_GBK" w:cs="方正仿宋_GBK"/>
          <w:sz w:val="32"/>
          <w:szCs w:val="32"/>
        </w:rPr>
        <w:t>打造特色生活化体验消费场景，引进国际品牌首店、旗舰店，丰富发展特色餐饮、商旅观光、文化演出等产业，打造一站式文旅商休闲旅游目的地。推进老城南文旅商融合提升策划和新场景打造，融入全息影像、</w:t>
      </w:r>
      <w:r>
        <w:rPr>
          <w:rFonts w:eastAsia="方正仿宋_GBK"/>
          <w:sz w:val="32"/>
          <w:szCs w:val="32"/>
        </w:rPr>
        <w:t>AR</w:t>
      </w:r>
      <w:r>
        <w:rPr>
          <w:rFonts w:hint="eastAsia" w:eastAsia="方正仿宋_GBK" w:cs="方正仿宋_GBK"/>
          <w:sz w:val="32"/>
          <w:szCs w:val="32"/>
        </w:rPr>
        <w:t>等现代科技手段，打造体验消费“爆款”。推进太平南路演艺集聚区建设，实现白鹭洲公园“桨声灯影·文都行”</w:t>
      </w:r>
      <w:r>
        <w:rPr>
          <w:rFonts w:eastAsia="方正仿宋_GBK"/>
          <w:sz w:val="32"/>
          <w:szCs w:val="32"/>
        </w:rPr>
        <w:t>2.0</w:t>
      </w:r>
      <w:r>
        <w:rPr>
          <w:rFonts w:hint="eastAsia" w:eastAsia="方正仿宋_GBK" w:cs="方正仿宋_GBK"/>
          <w:sz w:val="32"/>
          <w:szCs w:val="32"/>
        </w:rPr>
        <w:t>打版落地，建设戏院里、长乐剧场，策划小西湖、愚园、芥子园等片区的剧目展演，丰富“秦淮有戏”产品内涵层次。促进文化产业与数字经济、互联科技深度融合，引进培育短视频、网络文学、版权交易等数字文化业态，营造文旅商生态体系。</w:t>
      </w:r>
    </w:p>
    <w:p w14:paraId="14DE93F3">
      <w:pPr>
        <w:pStyle w:val="2"/>
      </w:pP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71EE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AD7DEFE">
            <w:pPr>
              <w:spacing w:line="520" w:lineRule="exact"/>
              <w:jc w:val="center"/>
              <w:rPr>
                <w:rFonts w:eastAsia="方正黑体简体"/>
                <w:sz w:val="24"/>
                <w:szCs w:val="24"/>
              </w:rPr>
            </w:pPr>
            <w:r>
              <w:rPr>
                <w:rFonts w:hint="eastAsia" w:eastAsia="方正黑体简体" w:cs="方正黑体简体"/>
                <w:sz w:val="24"/>
                <w:szCs w:val="24"/>
              </w:rPr>
              <w:t>专栏四：文旅商融合发展行动</w:t>
            </w:r>
          </w:p>
        </w:tc>
      </w:tr>
      <w:tr w14:paraId="5E3B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000" w:type="pct"/>
            <w:vAlign w:val="center"/>
          </w:tcPr>
          <w:p w14:paraId="4C56CDC6">
            <w:pPr>
              <w:numPr>
                <w:ilvl w:val="0"/>
                <w:numId w:val="2"/>
              </w:numPr>
              <w:spacing w:line="500" w:lineRule="exact"/>
              <w:jc w:val="left"/>
              <w:rPr>
                <w:sz w:val="22"/>
                <w:szCs w:val="22"/>
              </w:rPr>
            </w:pPr>
            <w:r>
              <w:rPr>
                <w:rFonts w:hint="eastAsia" w:cs="宋体"/>
                <w:sz w:val="22"/>
                <w:szCs w:val="22"/>
              </w:rPr>
              <w:t>融合空间拓展行动：启动周处读书台“山水人文苑”、西五华里休闲文化街区、双塘园文化休闲街区、西街城市记忆文旅街区建设；完成南捕厅休闲文化街区、西湖里</w:t>
            </w:r>
            <w:r>
              <w:rPr>
                <w:sz w:val="22"/>
                <w:szCs w:val="22"/>
              </w:rPr>
              <w:t>·</w:t>
            </w:r>
            <w:r>
              <w:rPr>
                <w:rFonts w:hint="eastAsia" w:cs="宋体"/>
                <w:sz w:val="22"/>
                <w:szCs w:val="22"/>
              </w:rPr>
              <w:t>创意街坊、越城天地文化旅游街区、西白菜园国际潮流社区建设</w:t>
            </w:r>
          </w:p>
          <w:p w14:paraId="63B2AD60">
            <w:pPr>
              <w:numPr>
                <w:ilvl w:val="0"/>
                <w:numId w:val="2"/>
              </w:numPr>
              <w:spacing w:line="500" w:lineRule="exact"/>
              <w:jc w:val="left"/>
              <w:rPr>
                <w:sz w:val="22"/>
                <w:szCs w:val="22"/>
              </w:rPr>
            </w:pPr>
            <w:r>
              <w:rPr>
                <w:rFonts w:hint="eastAsia" w:cs="宋体"/>
                <w:sz w:val="22"/>
                <w:szCs w:val="22"/>
              </w:rPr>
              <w:t>非遗保护利用行动：弘扬“南京白局”、“金陵古琴”、“秦淮灯彩”等非遗项目品牌，推进非遗特色校园建设、非遗数字化建设、非遗记录式保护等项目，成立南京白局校际联盟，完成金陵古琴打谱，优化提升金陵古琴音乐周。加快文化遗产信息化建设，创建秦淮区非物质文化遗产保护档案、信息数据库，建成文化遗产信息平台，完成省级以上和濒危非遗保护项目数字化采集工作，运用数字化手段保护非遗</w:t>
            </w:r>
          </w:p>
          <w:p w14:paraId="02EE2DB0">
            <w:pPr>
              <w:numPr>
                <w:ilvl w:val="0"/>
                <w:numId w:val="2"/>
              </w:numPr>
              <w:spacing w:line="500" w:lineRule="exact"/>
              <w:jc w:val="left"/>
              <w:rPr>
                <w:sz w:val="22"/>
                <w:szCs w:val="22"/>
              </w:rPr>
            </w:pPr>
            <w:r>
              <w:rPr>
                <w:rFonts w:hint="eastAsia" w:cs="宋体"/>
                <w:sz w:val="22"/>
                <w:szCs w:val="22"/>
              </w:rPr>
              <w:t>老字号保护利用行动：壮大培育绿柳居、奇芳阁、金陵春、莲湖、永和园、蒋有记、谢馥春、宝庆银楼、苏豪丝绸等商业老字号，鼓励老字号设立分店，支持老字号引入和回迁，在商场设置老字号专柜，形成老字号品牌专区等</w:t>
            </w:r>
          </w:p>
          <w:p w14:paraId="4B187B07">
            <w:pPr>
              <w:numPr>
                <w:ilvl w:val="0"/>
                <w:numId w:val="2"/>
              </w:numPr>
              <w:spacing w:line="500" w:lineRule="exact"/>
              <w:jc w:val="left"/>
              <w:rPr>
                <w:rFonts w:eastAsia="方正黑体_GBK"/>
                <w:sz w:val="24"/>
                <w:szCs w:val="24"/>
              </w:rPr>
            </w:pPr>
            <w:r>
              <w:rPr>
                <w:rFonts w:hint="eastAsia" w:cs="宋体"/>
                <w:sz w:val="22"/>
                <w:szCs w:val="22"/>
              </w:rPr>
              <w:t>古民居保护利用行动：启动荷花塘、钓鱼台历史风貌区有机更新，推动南捕厅历史街区建设，推动刘志田故居、李公祠、曾公祠、童雋故居、钓鱼台河厅、河房等古民居科学利用；实施私有产权古民居人口疏散计划，对古民居原居民有计划、分步骤地局部疏散人口，对疏散腾退后的古民居采取定点保护</w:t>
            </w:r>
          </w:p>
        </w:tc>
      </w:tr>
    </w:tbl>
    <w:p w14:paraId="18FD7D96">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20" w:name="_Toc60466268"/>
      <w:r>
        <w:rPr>
          <w:rFonts w:hint="eastAsia" w:ascii="方正黑体_GBK" w:hAnsi="方正黑体_GBK" w:eastAsia="方正黑体_GBK" w:cs="方正黑体_GBK"/>
          <w:b w:val="0"/>
          <w:bCs w:val="0"/>
        </w:rPr>
        <w:t>第十六章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切实推进区域文明程度提升</w:t>
      </w:r>
      <w:bookmarkEnd w:id="120"/>
    </w:p>
    <w:p w14:paraId="33139A0F">
      <w:pPr>
        <w:pStyle w:val="5"/>
        <w:spacing w:after="200"/>
        <w:jc w:val="center"/>
        <w:rPr>
          <w:rFonts w:ascii="方正楷体_GBK" w:hAnsi="方正楷体_GBK" w:eastAsia="方正楷体_GBK"/>
          <w:b w:val="0"/>
          <w:bCs w:val="0"/>
        </w:rPr>
      </w:pPr>
      <w:bookmarkStart w:id="121" w:name="_Toc6046626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深化文化滴灌工程</w:t>
      </w:r>
      <w:bookmarkEnd w:id="121"/>
    </w:p>
    <w:p w14:paraId="1157366F">
      <w:pPr>
        <w:spacing w:line="590" w:lineRule="exact"/>
        <w:ind w:firstLine="629"/>
        <w:rPr>
          <w:rFonts w:eastAsia="方正仿宋_GBK"/>
          <w:sz w:val="32"/>
          <w:szCs w:val="32"/>
        </w:rPr>
      </w:pPr>
      <w:r>
        <w:rPr>
          <w:rFonts w:hint="eastAsia" w:eastAsia="方正仿宋_GBK" w:cs="方正仿宋_GBK"/>
          <w:sz w:val="32"/>
          <w:szCs w:val="32"/>
        </w:rPr>
        <w:t>坚持党管媒体原则，深入开展习近平新时代中国特色社会主义思想学习宣传教育，加强党史、新中国史、改革开放史、社会主义发展史教育，推动理想信念教育常态化制度化，打牢共同奋斗的思想根基。以“润文明”品牌塑造为抓手，深入推进“善行秦淮”建设，形成崇德向善的文明氛围。提升社会主义核心价值观“秦淮表达”影响力，持续将“一城一河”、科举文化、非遗文化、报恩文化、郑和文化等融入社会公益宣传中。加强红色文化资源保护利用，发扬好红色传统，传承好红色基因。加强网络文明建设，营造清朗网络空间。弘扬诚信文化，推动形成适应新时代要求的思想观念、精神面貌、文明风尚、行为规范。加大新时代文明实践中心与融媒体中心融合发展，推动“秦淮表达”线上线下同频共振。</w:t>
      </w:r>
    </w:p>
    <w:p w14:paraId="0ACDE446">
      <w:pPr>
        <w:pStyle w:val="5"/>
        <w:spacing w:after="200"/>
        <w:jc w:val="center"/>
        <w:rPr>
          <w:rFonts w:ascii="方正楷体_GBK" w:hAnsi="方正楷体_GBK" w:eastAsia="方正楷体_GBK"/>
          <w:b w:val="0"/>
          <w:bCs w:val="0"/>
        </w:rPr>
      </w:pPr>
      <w:bookmarkStart w:id="122" w:name="_Toc6046627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推进文明城市创建</w:t>
      </w:r>
      <w:bookmarkEnd w:id="122"/>
    </w:p>
    <w:p w14:paraId="4424FFAE">
      <w:pPr>
        <w:spacing w:line="590" w:lineRule="exact"/>
        <w:ind w:firstLine="629"/>
        <w:rPr>
          <w:rFonts w:eastAsia="方正仿宋_GBK"/>
          <w:sz w:val="32"/>
          <w:szCs w:val="32"/>
        </w:rPr>
      </w:pPr>
      <w:r>
        <w:rPr>
          <w:rFonts w:hint="eastAsia" w:eastAsia="方正仿宋_GBK" w:cs="方正仿宋_GBK"/>
          <w:sz w:val="32"/>
          <w:szCs w:val="32"/>
        </w:rPr>
        <w:t>持续深化文明城市创建，文明办、城治办、应急办、爱卫办“四办”联动，区域文明程度指数测评保持全市主城区前列。广泛开展“文明单位”、“文明社区”、“文明校区”、“文明家庭”等创建工作，深入开展文明出行、文明旅游、文明餐桌等活动。将社会主义核心价值观教育贯穿未成年人思想道德建设全过程，持续开展“八礼四仪”、“扣好人生第一粒扣子”等主题宣传教育。</w:t>
      </w:r>
    </w:p>
    <w:p w14:paraId="574849CE">
      <w:pPr>
        <w:pStyle w:val="5"/>
        <w:spacing w:after="200"/>
        <w:jc w:val="center"/>
        <w:rPr>
          <w:rFonts w:ascii="方正楷体_GBK" w:hAnsi="方正楷体_GBK" w:eastAsia="方正楷体_GBK"/>
          <w:b w:val="0"/>
          <w:bCs w:val="0"/>
        </w:rPr>
      </w:pPr>
      <w:bookmarkStart w:id="123" w:name="_Toc6046627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深化道德典型选树</w:t>
      </w:r>
      <w:bookmarkEnd w:id="123"/>
    </w:p>
    <w:p w14:paraId="73C86DB3">
      <w:pPr>
        <w:spacing w:line="590" w:lineRule="exact"/>
        <w:ind w:firstLine="629"/>
        <w:rPr>
          <w:rFonts w:eastAsia="方正仿宋_GBK"/>
          <w:sz w:val="32"/>
          <w:szCs w:val="32"/>
        </w:rPr>
      </w:pPr>
      <w:r>
        <w:rPr>
          <w:rFonts w:hint="eastAsia" w:eastAsia="方正仿宋_GBK" w:cs="方正仿宋_GBK"/>
          <w:sz w:val="32"/>
          <w:szCs w:val="32"/>
        </w:rPr>
        <w:t>落实《新时代公民道德建设实施纲要》、《新时代爱国主义教育实施纲要》，深化社会公德、职业道德、家庭美德、个人品德教育。发挥新时代文明实践中心、所、站作用，大力培育时代新人。通过“凡人风尚”等品牌活动，选树、培育、宣传文明典型，弘扬时代楷模、最美人物和道德模范精神，“点亮一盏灯、照亮一群人”。</w:t>
      </w:r>
    </w:p>
    <w:p w14:paraId="37A51EB0">
      <w:pPr>
        <w:pStyle w:val="5"/>
        <w:spacing w:after="200"/>
        <w:jc w:val="center"/>
        <w:rPr>
          <w:rFonts w:ascii="方正楷体_GBK" w:hAnsi="方正楷体_GBK" w:eastAsia="方正楷体_GBK"/>
          <w:b w:val="0"/>
          <w:bCs w:val="0"/>
        </w:rPr>
      </w:pPr>
      <w:bookmarkStart w:id="124" w:name="_Toc6046627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提升志愿服务成效</w:t>
      </w:r>
      <w:bookmarkEnd w:id="124"/>
    </w:p>
    <w:p w14:paraId="0CCC483B">
      <w:pPr>
        <w:spacing w:line="590" w:lineRule="exact"/>
        <w:ind w:firstLine="629"/>
        <w:rPr>
          <w:rFonts w:eastAsia="方正仿宋_GBK"/>
          <w:sz w:val="32"/>
          <w:szCs w:val="32"/>
        </w:rPr>
      </w:pPr>
      <w:r>
        <w:rPr>
          <w:rFonts w:hint="eastAsia" w:eastAsia="方正仿宋_GBK" w:cs="方正仿宋_GBK"/>
          <w:sz w:val="32"/>
          <w:szCs w:val="32"/>
        </w:rPr>
        <w:t>依托新时代文明实践中心、所、站、示范点，持续开展理论宣讲、科技科普、教育实践、文化惠民、卫生健康等志愿服务活动。深化“雷锋常驻夫子庙”、“青春闪亮新街口”、“邻里守望红丝带”、“守望门西”、“时间银行”等志愿服务品牌建设，开展全覆盖、分众化、菜单式的志愿活动，零距离服务群众，推动志愿服务引领文明新风尚。</w:t>
      </w:r>
    </w:p>
    <w:p w14:paraId="00A2ED6F">
      <w:pPr>
        <w:pStyle w:val="2"/>
        <w:rPr>
          <w:rFonts w:eastAsia="仿宋"/>
          <w:sz w:val="32"/>
          <w:szCs w:val="32"/>
        </w:rPr>
      </w:pPr>
    </w:p>
    <w:p w14:paraId="14E74BE5">
      <w:pPr>
        <w:pStyle w:val="2"/>
        <w:rPr>
          <w:rFonts w:eastAsia="仿宋"/>
          <w:sz w:val="32"/>
          <w:szCs w:val="32"/>
        </w:rPr>
      </w:pPr>
    </w:p>
    <w:p w14:paraId="684C5236">
      <w:pPr>
        <w:pStyle w:val="3"/>
        <w:keepNext w:val="0"/>
        <w:keepLines w:val="0"/>
        <w:spacing w:before="0" w:after="0" w:line="540" w:lineRule="exact"/>
        <w:jc w:val="center"/>
        <w:rPr>
          <w:rFonts w:eastAsia="华文中宋"/>
          <w:b w:val="0"/>
          <w:bCs w:val="0"/>
        </w:rPr>
      </w:pPr>
    </w:p>
    <w:p w14:paraId="23FDE704">
      <w:pPr>
        <w:pStyle w:val="3"/>
        <w:keepNext w:val="0"/>
        <w:keepLines w:val="0"/>
        <w:spacing w:before="0" w:after="0" w:line="540" w:lineRule="exact"/>
        <w:jc w:val="center"/>
        <w:rPr>
          <w:rFonts w:eastAsia="华文中宋"/>
          <w:b w:val="0"/>
          <w:bCs w:val="0"/>
        </w:rPr>
      </w:pPr>
    </w:p>
    <w:p w14:paraId="31A94917">
      <w:pPr>
        <w:pStyle w:val="3"/>
        <w:keepNext w:val="0"/>
        <w:keepLines w:val="0"/>
        <w:spacing w:before="0" w:after="0" w:line="540" w:lineRule="exact"/>
        <w:jc w:val="center"/>
        <w:rPr>
          <w:rFonts w:eastAsia="华文中宋"/>
          <w:b w:val="0"/>
          <w:bCs w:val="0"/>
        </w:rPr>
      </w:pPr>
    </w:p>
    <w:p w14:paraId="700844D8">
      <w:pPr>
        <w:pStyle w:val="3"/>
        <w:keepNext w:val="0"/>
        <w:keepLines w:val="0"/>
        <w:spacing w:before="0" w:after="0" w:line="700" w:lineRule="exact"/>
        <w:jc w:val="center"/>
        <w:rPr>
          <w:rFonts w:ascii="方正小标宋_GBK" w:eastAsia="方正小标宋_GBK"/>
          <w:b w:val="0"/>
          <w:bCs w:val="0"/>
        </w:rPr>
      </w:pPr>
      <w:bookmarkStart w:id="125" w:name="_Toc60466273"/>
      <w:r>
        <w:rPr>
          <w:rFonts w:hint="eastAsia" w:ascii="方正小标宋_GBK" w:eastAsia="方正小标宋_GBK" w:cs="方正小标宋_GBK"/>
          <w:b w:val="0"/>
          <w:bCs w:val="0"/>
        </w:rPr>
        <w:t>第六篇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彰显老城新城风貌，精细城市建设管理，优化美丽秦淮人居新体验</w:t>
      </w:r>
      <w:bookmarkEnd w:id="125"/>
    </w:p>
    <w:p w14:paraId="45E073BF">
      <w:pPr>
        <w:spacing w:line="520" w:lineRule="exact"/>
        <w:ind w:firstLine="640" w:firstLineChars="200"/>
        <w:rPr>
          <w:rFonts w:eastAsia="方正仿宋_GBK"/>
          <w:sz w:val="32"/>
          <w:szCs w:val="32"/>
        </w:rPr>
      </w:pPr>
    </w:p>
    <w:p w14:paraId="48093330">
      <w:pPr>
        <w:spacing w:line="590" w:lineRule="exact"/>
        <w:ind w:firstLine="629"/>
        <w:rPr>
          <w:rFonts w:eastAsia="方正仿宋_GBK"/>
          <w:sz w:val="32"/>
          <w:szCs w:val="32"/>
        </w:rPr>
      </w:pPr>
      <w:r>
        <w:rPr>
          <w:rFonts w:hint="eastAsia" w:eastAsia="方正仿宋_GBK" w:cs="方正仿宋_GBK"/>
          <w:sz w:val="32"/>
          <w:szCs w:val="32"/>
        </w:rPr>
        <w:t>立足秦淮老城、新城空间特质，突出城市建设的差异化定位、一体化推进、均衡化发展，坚持绿水青山就是金山银山理念，坚持在管理上下“绣花”功夫，加强山水城林塑造和历史风貌保护，做好沿明城墙、沿内外秦淮河、沿历史街巷“三沿”文章，彰显美丽秦淮生态人文魅力，提升城市建设管理的精细化水平。</w:t>
      </w:r>
    </w:p>
    <w:p w14:paraId="70BA15F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26" w:name="_Toc60466274"/>
      <w:r>
        <w:rPr>
          <w:rFonts w:hint="eastAsia" w:ascii="方正黑体_GBK" w:hAnsi="方正黑体_GBK" w:eastAsia="方正黑体_GBK" w:cs="方正黑体_GBK"/>
          <w:b w:val="0"/>
          <w:bCs w:val="0"/>
        </w:rPr>
        <w:t>第十七章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凸显老城新城建设风貌</w:t>
      </w:r>
      <w:bookmarkEnd w:id="126"/>
    </w:p>
    <w:p w14:paraId="7A7324E5">
      <w:pPr>
        <w:pStyle w:val="5"/>
        <w:spacing w:after="200"/>
        <w:jc w:val="center"/>
        <w:rPr>
          <w:rFonts w:ascii="方正楷体_GBK" w:hAnsi="方正楷体_GBK" w:eastAsia="方正楷体_GBK"/>
          <w:b w:val="0"/>
          <w:bCs w:val="0"/>
        </w:rPr>
      </w:pPr>
      <w:bookmarkStart w:id="127" w:name="_Toc6046627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展现老城历史人文风貌</w:t>
      </w:r>
      <w:bookmarkEnd w:id="127"/>
    </w:p>
    <w:p w14:paraId="0552684D">
      <w:pPr>
        <w:spacing w:line="590" w:lineRule="exact"/>
        <w:ind w:firstLine="629"/>
        <w:rPr>
          <w:rFonts w:eastAsia="方正仿宋_GBK"/>
          <w:sz w:val="32"/>
          <w:szCs w:val="32"/>
        </w:rPr>
      </w:pPr>
      <w:r>
        <w:rPr>
          <w:rFonts w:hint="eastAsia" w:eastAsia="方正仿宋_GBK" w:cs="方正仿宋_GBK"/>
          <w:sz w:val="32"/>
          <w:szCs w:val="32"/>
        </w:rPr>
        <w:t>老城</w:t>
      </w:r>
      <w:bookmarkStart w:id="128" w:name="_Toc48048499"/>
      <w:r>
        <w:rPr>
          <w:rFonts w:hint="eastAsia" w:eastAsia="方正仿宋_GBK" w:cs="方正仿宋_GBK"/>
          <w:sz w:val="32"/>
          <w:szCs w:val="32"/>
        </w:rPr>
        <w:t>片区突出历史文化</w:t>
      </w:r>
      <w:bookmarkEnd w:id="128"/>
      <w:r>
        <w:rPr>
          <w:rFonts w:hint="eastAsia" w:eastAsia="方正仿宋_GBK" w:cs="方正仿宋_GBK"/>
          <w:sz w:val="32"/>
          <w:szCs w:val="32"/>
        </w:rPr>
        <w:t>传承和人居环境改善。在空间风貌呈现上，开展“一城一河”文旅商资源整合，夫子庙、朝天宫、老门东、老门西、门外片区保护更新和综合整治，构建“城脉、水脉、文脉”三位一体的特色空间格局。突出以文化底蕴挖掘和名胜佳景串联，突出历史建筑肌理保留和修缮，突出重点片区滨水景观、灯光亮化、公共空间提升，突出城市建筑风貌与历史文物建筑的协调，突出“渐进式”老城保护更新模式创新探索实践，凸显“城、河、山、塔、寺、民居”一体的城市文化景观特色风貌。在人居环境提升上，加快公园绿地空间整理，开展明城墙绿道、外秦淮河道等绿道建设和微更新、口袋公园等城市改造。加快停车站场建设，建设白鹭洲公园西门等社会公共停车场，建设“智慧停车”一体化平台，采用“潮汐式”共享停车模式盘活全区停车资源。推进老城公共服务空间复合功能建设，加强服务载体共享互助，复合教育、文体、卫生、养老等配套功能，提高空间和设施使用效率。突出关注“一老一小”人群对城市设施和服务的需求，科学配比医疗、教育、养老、文体等服务资源。</w:t>
      </w:r>
    </w:p>
    <w:p w14:paraId="1F99675B">
      <w:pPr>
        <w:pStyle w:val="5"/>
        <w:spacing w:after="200"/>
        <w:jc w:val="center"/>
        <w:rPr>
          <w:rFonts w:ascii="方正楷体_GBK" w:hAnsi="方正楷体_GBK" w:eastAsia="方正楷体_GBK"/>
          <w:b w:val="0"/>
          <w:bCs w:val="0"/>
        </w:rPr>
      </w:pPr>
      <w:bookmarkStart w:id="129" w:name="_Toc6046627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呈现新城现代未来愿景</w:t>
      </w:r>
      <w:bookmarkEnd w:id="129"/>
    </w:p>
    <w:p w14:paraId="58D87574">
      <w:pPr>
        <w:spacing w:line="590" w:lineRule="exact"/>
        <w:ind w:firstLine="629"/>
        <w:rPr>
          <w:rFonts w:eastAsia="方正仿宋_GBK"/>
          <w:sz w:val="32"/>
          <w:szCs w:val="32"/>
        </w:rPr>
      </w:pPr>
      <w:r>
        <w:rPr>
          <w:rFonts w:hint="eastAsia" w:eastAsia="方正仿宋_GBK" w:cs="方正仿宋_GBK"/>
          <w:sz w:val="32"/>
          <w:szCs w:val="32"/>
        </w:rPr>
        <w:t>新城片区突出城市形态呈现和现代社区提前布局。加快推进路网体系建设，建成承天大道、国际路快速路等主干道，拓宽紫云大道、上高路，打通永丰大道、银龙路等断头路，打通支路微循环，呈现“密路网、小街区”特色路网体系。加快建设中芬合作交流中心、银城国际健康城、奥特佳总部大厦等产业项目，南京外国语学校、南部新城全民健身中心等社会事业项目建设。推动新城地下空间规模化开发，加强与地铁、地块、能源站、跑道公园景观等方案的一体化统筹，建设红花路、纬七路等地下综合管廊。做好地铁</w:t>
      </w:r>
      <w:r>
        <w:rPr>
          <w:rFonts w:eastAsia="方正仿宋_GBK"/>
          <w:sz w:val="32"/>
          <w:szCs w:val="32"/>
        </w:rPr>
        <w:t>5</w:t>
      </w:r>
      <w:r>
        <w:rPr>
          <w:rFonts w:hint="eastAsia" w:eastAsia="方正仿宋_GBK" w:cs="方正仿宋_GBK"/>
          <w:sz w:val="32"/>
          <w:szCs w:val="32"/>
        </w:rPr>
        <w:t>号线、</w:t>
      </w:r>
      <w:r>
        <w:rPr>
          <w:rFonts w:eastAsia="方正仿宋_GBK"/>
          <w:sz w:val="32"/>
          <w:szCs w:val="32"/>
        </w:rPr>
        <w:t>6</w:t>
      </w:r>
      <w:r>
        <w:rPr>
          <w:rFonts w:hint="eastAsia" w:eastAsia="方正仿宋_GBK" w:cs="方正仿宋_GBK"/>
          <w:sz w:val="32"/>
          <w:szCs w:val="32"/>
        </w:rPr>
        <w:t>号线、</w:t>
      </w:r>
      <w:r>
        <w:rPr>
          <w:rFonts w:eastAsia="方正仿宋_GBK"/>
          <w:sz w:val="32"/>
          <w:szCs w:val="32"/>
        </w:rPr>
        <w:t>10</w:t>
      </w:r>
      <w:r>
        <w:rPr>
          <w:rFonts w:hint="eastAsia" w:eastAsia="方正仿宋_GBK" w:cs="方正仿宋_GBK"/>
          <w:sz w:val="32"/>
          <w:szCs w:val="32"/>
        </w:rPr>
        <w:t>号线建设和宁芜铁路外绕属地保障和周边城市空间布局的提前谋划设计，开展</w:t>
      </w:r>
      <w:r>
        <w:rPr>
          <w:rFonts w:eastAsia="方正仿宋_GBK"/>
          <w:sz w:val="32"/>
          <w:szCs w:val="32"/>
        </w:rPr>
        <w:t>TOD</w:t>
      </w:r>
      <w:r>
        <w:rPr>
          <w:rFonts w:hint="eastAsia" w:eastAsia="方正仿宋_GBK" w:cs="方正仿宋_GBK"/>
          <w:sz w:val="32"/>
          <w:szCs w:val="32"/>
        </w:rPr>
        <w:t>城市开发模式研究和提前布局。加快公共停车场库建设，提前布局安排地铁周边换乘停车泊位建设；研究公共停车场建设运营模式，引入新技术、新设备配建停车泊位，推进停车产业化；加快停车场智慧化建设，系统规划建设停车场库新能源充电设施。实现海绵城市建设全覆盖，加强城市公园体系建设，建设“点、线、面”相结合的绿地生态系统，推动机场公园、油库公园、云创公园等城市公园项目建设，改造提升七桥瓮生态湿地公园。打造滨河生态空间，完成外秦淮河、响水河环境整治，沿响水河、运粮河水系打造绿道和慢行系统。南部新城片区提高公共服务配建标准，提前布局国际化社区建设，为高端人才回流储备生活空间。</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7184"/>
      </w:tblGrid>
      <w:tr w14:paraId="2D7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00" w:type="pct"/>
            <w:gridSpan w:val="2"/>
            <w:vAlign w:val="center"/>
          </w:tcPr>
          <w:p w14:paraId="4E070670">
            <w:pPr>
              <w:spacing w:line="520" w:lineRule="exact"/>
              <w:jc w:val="center"/>
              <w:rPr>
                <w:rFonts w:eastAsia="方正黑体_GBK"/>
                <w:sz w:val="24"/>
                <w:szCs w:val="24"/>
              </w:rPr>
            </w:pPr>
            <w:r>
              <w:rPr>
                <w:rFonts w:hint="eastAsia" w:eastAsia="方正黑体简体" w:cs="方正黑体简体"/>
                <w:sz w:val="24"/>
                <w:szCs w:val="24"/>
              </w:rPr>
              <w:t>专栏五：城市建设特色任务</w:t>
            </w:r>
          </w:p>
        </w:tc>
      </w:tr>
      <w:tr w14:paraId="439C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62DE202C">
            <w:pPr>
              <w:spacing w:line="420" w:lineRule="exact"/>
              <w:jc w:val="center"/>
              <w:rPr>
                <w:sz w:val="22"/>
                <w:szCs w:val="22"/>
              </w:rPr>
            </w:pPr>
            <w:r>
              <w:rPr>
                <w:rFonts w:hint="eastAsia" w:cs="宋体"/>
                <w:sz w:val="22"/>
                <w:szCs w:val="22"/>
              </w:rPr>
              <w:t>城市有机更新</w:t>
            </w:r>
          </w:p>
        </w:tc>
        <w:tc>
          <w:tcPr>
            <w:tcW w:w="4014" w:type="pct"/>
            <w:vAlign w:val="center"/>
          </w:tcPr>
          <w:p w14:paraId="537D089B">
            <w:pPr>
              <w:spacing w:line="420" w:lineRule="exact"/>
              <w:jc w:val="left"/>
              <w:rPr>
                <w:sz w:val="22"/>
                <w:szCs w:val="22"/>
              </w:rPr>
            </w:pPr>
            <w:r>
              <w:rPr>
                <w:rFonts w:hint="eastAsia" w:cs="宋体"/>
                <w:sz w:val="22"/>
                <w:szCs w:val="22"/>
              </w:rPr>
              <w:t>完成小西湖、西白菜园、李公祠、小松涛巷、双塘园、周处读书台等历史片区更新；完成石榴新村、饮虹园、尚书巷等居住类片区更新；实施荷花塘、钓鱼台等历史片区更新</w:t>
            </w:r>
          </w:p>
        </w:tc>
      </w:tr>
      <w:tr w14:paraId="3DD0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58C68254">
            <w:pPr>
              <w:spacing w:line="420" w:lineRule="exact"/>
              <w:jc w:val="center"/>
              <w:rPr>
                <w:sz w:val="22"/>
                <w:szCs w:val="22"/>
              </w:rPr>
            </w:pPr>
            <w:r>
              <w:rPr>
                <w:rFonts w:hint="eastAsia" w:cs="宋体"/>
                <w:sz w:val="22"/>
                <w:szCs w:val="22"/>
              </w:rPr>
              <w:t>海绵城市</w:t>
            </w:r>
          </w:p>
        </w:tc>
        <w:tc>
          <w:tcPr>
            <w:tcW w:w="4014" w:type="pct"/>
            <w:vAlign w:val="center"/>
          </w:tcPr>
          <w:p w14:paraId="2E5B5CB4">
            <w:pPr>
              <w:spacing w:line="420" w:lineRule="exact"/>
              <w:jc w:val="left"/>
              <w:rPr>
                <w:sz w:val="22"/>
                <w:szCs w:val="22"/>
              </w:rPr>
            </w:pPr>
            <w:r>
              <w:rPr>
                <w:rFonts w:hint="eastAsia" w:cs="宋体"/>
                <w:sz w:val="22"/>
                <w:szCs w:val="22"/>
              </w:rPr>
              <w:t>建设明外郭</w:t>
            </w:r>
            <w:r>
              <w:rPr>
                <w:sz w:val="22"/>
                <w:szCs w:val="22"/>
              </w:rPr>
              <w:t>-</w:t>
            </w:r>
            <w:r>
              <w:rPr>
                <w:rFonts w:hint="eastAsia" w:cs="宋体"/>
                <w:sz w:val="22"/>
                <w:szCs w:val="22"/>
              </w:rPr>
              <w:t>秦淮新河百里风光带（秦淮段）二期环境综合整治工程、应天东街北侧</w:t>
            </w:r>
            <w:r>
              <w:rPr>
                <w:sz w:val="22"/>
                <w:szCs w:val="22"/>
              </w:rPr>
              <w:t>1</w:t>
            </w:r>
            <w:r>
              <w:rPr>
                <w:rFonts w:hint="eastAsia" w:cs="宋体"/>
                <w:sz w:val="22"/>
                <w:szCs w:val="22"/>
              </w:rPr>
              <w:t>号调蓄池公共海绵设施等海绵城市建设项目；推动各工程建设项目按要求落实下沉式绿地等分散式雨水调蓄设施</w:t>
            </w:r>
          </w:p>
        </w:tc>
      </w:tr>
      <w:tr w14:paraId="5C44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85" w:type="pct"/>
            <w:vAlign w:val="center"/>
          </w:tcPr>
          <w:p w14:paraId="7F0532B3">
            <w:pPr>
              <w:spacing w:line="420" w:lineRule="exact"/>
              <w:jc w:val="center"/>
              <w:rPr>
                <w:rFonts w:eastAsia="方正黑体_GBK"/>
                <w:sz w:val="24"/>
                <w:szCs w:val="24"/>
              </w:rPr>
            </w:pPr>
            <w:r>
              <w:rPr>
                <w:rFonts w:hint="eastAsia" w:cs="宋体"/>
                <w:sz w:val="22"/>
                <w:szCs w:val="22"/>
              </w:rPr>
              <w:t>综合管廊</w:t>
            </w:r>
          </w:p>
        </w:tc>
        <w:tc>
          <w:tcPr>
            <w:tcW w:w="4014" w:type="pct"/>
            <w:vAlign w:val="center"/>
          </w:tcPr>
          <w:p w14:paraId="7D049D7D">
            <w:pPr>
              <w:spacing w:line="420" w:lineRule="exact"/>
              <w:jc w:val="left"/>
              <w:rPr>
                <w:rFonts w:eastAsia="方正黑体_GBK"/>
                <w:sz w:val="24"/>
                <w:szCs w:val="24"/>
              </w:rPr>
            </w:pPr>
            <w:r>
              <w:rPr>
                <w:rFonts w:hint="eastAsia" w:cs="宋体"/>
                <w:sz w:val="22"/>
                <w:szCs w:val="22"/>
              </w:rPr>
              <w:t>建设纬七路等一批干、支结合综合管廊项目，总长度达</w:t>
            </w:r>
            <w:r>
              <w:rPr>
                <w:sz w:val="22"/>
                <w:szCs w:val="22"/>
              </w:rPr>
              <w:t>26</w:t>
            </w:r>
            <w:r>
              <w:rPr>
                <w:rFonts w:hint="eastAsia" w:cs="宋体"/>
                <w:sz w:val="22"/>
                <w:szCs w:val="22"/>
              </w:rPr>
              <w:t>公里</w:t>
            </w:r>
          </w:p>
        </w:tc>
      </w:tr>
    </w:tbl>
    <w:p w14:paraId="70E33BAF">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ascii="方正黑体_GBK" w:hAnsi="方正黑体_GBK" w:eastAsia="方正黑体_GBK" w:cs="Times New Roman"/>
          <w:b w:val="0"/>
          <w:bCs w:val="0"/>
        </w:rPr>
        <w:tab/>
      </w:r>
      <w:bookmarkStart w:id="130" w:name="_Toc60466277"/>
      <w:r>
        <w:rPr>
          <w:rFonts w:hint="eastAsia" w:ascii="方正黑体_GBK" w:hAnsi="方正黑体_GBK" w:eastAsia="方正黑体_GBK" w:cs="方正黑体_GBK"/>
          <w:b w:val="0"/>
          <w:bCs w:val="0"/>
        </w:rPr>
        <w:t>第十八章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持续提升生态环境质量</w:t>
      </w:r>
      <w:bookmarkEnd w:id="130"/>
    </w:p>
    <w:p w14:paraId="489934DD">
      <w:pPr>
        <w:pStyle w:val="5"/>
        <w:spacing w:after="200" w:line="520" w:lineRule="exact"/>
        <w:jc w:val="center"/>
        <w:rPr>
          <w:rFonts w:ascii="方正楷体_GBK" w:hAnsi="方正楷体_GBK" w:eastAsia="方正楷体_GBK"/>
          <w:b w:val="0"/>
          <w:bCs w:val="0"/>
        </w:rPr>
      </w:pPr>
      <w:bookmarkStart w:id="131" w:name="_Toc60466278"/>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持续改善大气环境质量</w:t>
      </w:r>
      <w:bookmarkEnd w:id="131"/>
    </w:p>
    <w:p w14:paraId="49855989">
      <w:pPr>
        <w:spacing w:line="590" w:lineRule="exact"/>
        <w:ind w:firstLine="629"/>
        <w:rPr>
          <w:rFonts w:eastAsia="方正仿宋_GBK"/>
          <w:sz w:val="32"/>
          <w:szCs w:val="32"/>
        </w:rPr>
      </w:pPr>
      <w:r>
        <w:rPr>
          <w:rFonts w:hint="eastAsia" w:eastAsia="方正仿宋_GBK" w:cs="方正仿宋_GBK"/>
          <w:sz w:val="32"/>
          <w:szCs w:val="32"/>
        </w:rPr>
        <w:t>抓好污染减排，强化涉气排放企业的废气污染防治，确保达标排放。加强扬尘污染日常管理和执法检查力度，落实各项管控措施，使扬尘治理更有成效。加大移动源污染防治力度，实施国六排放标准，开展高排放车辆、非道路移动机械尾气的达标治理，推广使用新能源车。控制餐饮油烟污染，继续开展专项治理，推进餐饮企业油烟在线监测，开展重点区域居民油烟集中收集净化处理。用好污染防治智能化指挥平台，融合国控点、油烟在线监测、</w:t>
      </w:r>
      <w:r>
        <w:rPr>
          <w:rFonts w:eastAsia="方正仿宋_GBK"/>
          <w:sz w:val="32"/>
          <w:szCs w:val="32"/>
        </w:rPr>
        <w:t>VOCs</w:t>
      </w:r>
      <w:r>
        <w:rPr>
          <w:rFonts w:hint="eastAsia" w:eastAsia="方正仿宋_GBK" w:cs="方正仿宋_GBK"/>
          <w:sz w:val="32"/>
          <w:szCs w:val="32"/>
        </w:rPr>
        <w:t>在线监测等数据，构成空、天、地、人、技相结合的多指标监测体系，对大气污染源进行科学分析研判，实现精准追溯、精细监管和精确执法。建立多部门指挥调度体系，实现污染源处置和大气污染的全流程闭环监管。到</w:t>
      </w:r>
      <w:r>
        <w:rPr>
          <w:rFonts w:eastAsia="方正仿宋_GBK"/>
          <w:sz w:val="32"/>
          <w:szCs w:val="32"/>
        </w:rPr>
        <w:t>2025</w:t>
      </w:r>
      <w:r>
        <w:rPr>
          <w:rFonts w:hint="eastAsia" w:eastAsia="方正仿宋_GBK" w:cs="方正仿宋_GBK"/>
          <w:sz w:val="32"/>
          <w:szCs w:val="32"/>
        </w:rPr>
        <w:t>年，空气质量达到二级标准天数比例达</w:t>
      </w:r>
      <w:r>
        <w:rPr>
          <w:rFonts w:eastAsia="方正仿宋_GBK"/>
          <w:sz w:val="32"/>
          <w:szCs w:val="32"/>
        </w:rPr>
        <w:t>80%</w:t>
      </w:r>
      <w:r>
        <w:rPr>
          <w:rFonts w:hint="eastAsia" w:eastAsia="方正仿宋_GBK" w:cs="方正仿宋_GBK"/>
          <w:sz w:val="32"/>
          <w:szCs w:val="32"/>
        </w:rPr>
        <w:t>。</w:t>
      </w:r>
    </w:p>
    <w:p w14:paraId="60EDEA8C">
      <w:pPr>
        <w:pStyle w:val="5"/>
        <w:spacing w:after="200" w:line="520" w:lineRule="exact"/>
        <w:jc w:val="center"/>
        <w:rPr>
          <w:rFonts w:ascii="方正楷体_GBK" w:hAnsi="方正楷体_GBK" w:eastAsia="方正楷体_GBK"/>
          <w:b w:val="0"/>
          <w:bCs w:val="0"/>
        </w:rPr>
      </w:pPr>
      <w:bookmarkStart w:id="132" w:name="_Toc60466279"/>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加快推进美丽河湖建设</w:t>
      </w:r>
      <w:bookmarkEnd w:id="132"/>
    </w:p>
    <w:p w14:paraId="06B367F5">
      <w:pPr>
        <w:spacing w:line="590" w:lineRule="exact"/>
        <w:ind w:firstLine="629"/>
        <w:rPr>
          <w:rFonts w:eastAsia="方正仿宋_GBK"/>
          <w:sz w:val="32"/>
          <w:szCs w:val="32"/>
        </w:rPr>
      </w:pPr>
      <w:r>
        <w:rPr>
          <w:rFonts w:hint="eastAsia" w:eastAsia="方正仿宋_GBK" w:cs="方正仿宋_GBK"/>
          <w:sz w:val="32"/>
          <w:szCs w:val="32"/>
        </w:rPr>
        <w:t>持续推进水系流域花园建设，在最优水质、最美岸线、最好管理上下功夫，树立美丽河湖秦淮样板。高质量推进水生态网络建设，巩固全域四类水整治成果，持续开展河湖水环境治理，完成外秦淮河清淤整治工程，补齐城市暗涵、初期雨水调蓄等短板，推进月牙湖、运粮河等河道生态修复，完成愚园等小微水体生态治理。建立全域河湖引水调度，完善内秦淮河水系精准生态补水方案，推进象房村净水站二期工程建设，落实运维长效机制。修订防洪河道洪水风险图，实施堤防加固、河道清淤疏浚、排涝泵站改造等防汛工程，深入开展雨污分流和排水管网建设，实施建康路、旭光西路等积淹水片区改造，提升整体防洪能力。高标准推进滨水岸线景观建设提升，合理控制河湖景观水位，增加亲水平台和开放空间，优化更新沿河绿化，打开郁闭空间，建设滨水花带、花廊、花海串起秦淮水生态美景，将“三湖六河”建成南京滨水城市客厅、网红打卡地。高水平推进水务五位一体管养，全面落实“河长制”和“断面长制”，严管河道蓝线，严控入河污染源，削减面源污染，落实河湖、排水管网专业化管养，推进“智慧水务”建设，构建全市领先的河湖综合管理长效运维机制。</w:t>
      </w:r>
    </w:p>
    <w:p w14:paraId="707F3546">
      <w:pPr>
        <w:pStyle w:val="5"/>
        <w:spacing w:after="200" w:line="520" w:lineRule="exact"/>
        <w:jc w:val="center"/>
        <w:rPr>
          <w:rFonts w:ascii="方正楷体_GBK" w:hAnsi="方正楷体_GBK" w:eastAsia="方正楷体_GBK"/>
          <w:b w:val="0"/>
          <w:bCs w:val="0"/>
        </w:rPr>
      </w:pPr>
      <w:bookmarkStart w:id="133" w:name="_Toc6046628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全面做好垃圾分类管理</w:t>
      </w:r>
      <w:bookmarkEnd w:id="133"/>
    </w:p>
    <w:p w14:paraId="7A7C167B">
      <w:pPr>
        <w:spacing w:line="590" w:lineRule="exact"/>
        <w:ind w:firstLine="629"/>
        <w:rPr>
          <w:rFonts w:eastAsia="方正仿宋_GBK"/>
          <w:sz w:val="32"/>
          <w:szCs w:val="32"/>
        </w:rPr>
      </w:pPr>
      <w:r>
        <w:rPr>
          <w:rFonts w:hint="eastAsia" w:eastAsia="方正仿宋_GBK" w:cs="方正仿宋_GBK"/>
          <w:sz w:val="32"/>
          <w:szCs w:val="32"/>
        </w:rPr>
        <w:t>以减量化、资源化、无害化为目标，推进垃圾分类提质增效。加强生活垃圾减量，推动源头减量，强化社区宣传发动，居民参与率超</w:t>
      </w:r>
      <w:r>
        <w:rPr>
          <w:rFonts w:eastAsia="方正仿宋_GBK"/>
          <w:sz w:val="32"/>
          <w:szCs w:val="32"/>
        </w:rPr>
        <w:t>90%</w:t>
      </w:r>
      <w:r>
        <w:rPr>
          <w:rFonts w:hint="eastAsia" w:eastAsia="方正仿宋_GBK" w:cs="方正仿宋_GBK"/>
          <w:sz w:val="32"/>
          <w:szCs w:val="32"/>
        </w:rPr>
        <w:t>，垃圾分类设施提升改造率达</w:t>
      </w:r>
      <w:r>
        <w:rPr>
          <w:rFonts w:eastAsia="方正仿宋_GBK"/>
          <w:sz w:val="32"/>
          <w:szCs w:val="32"/>
        </w:rPr>
        <w:t>100%</w:t>
      </w:r>
      <w:r>
        <w:rPr>
          <w:rFonts w:hint="eastAsia" w:eastAsia="方正仿宋_GBK" w:cs="方正仿宋_GBK"/>
          <w:sz w:val="32"/>
          <w:szCs w:val="32"/>
        </w:rPr>
        <w:t>。建立街道、社区、投放管理人三级责任体系，强化重点单位执法检查力度，以监管处罚倒逼自觉分类常态化，居民小区生活垃圾分类达标率</w:t>
      </w:r>
      <w:r>
        <w:rPr>
          <w:rFonts w:eastAsia="方正仿宋_GBK"/>
          <w:sz w:val="32"/>
          <w:szCs w:val="32"/>
        </w:rPr>
        <w:t>100%</w:t>
      </w:r>
      <w:r>
        <w:rPr>
          <w:rFonts w:hint="eastAsia" w:eastAsia="方正仿宋_GBK" w:cs="方正仿宋_GBK"/>
          <w:sz w:val="32"/>
          <w:szCs w:val="32"/>
        </w:rPr>
        <w:t>，垃圾分类减量工作走在全市前列。推进分类设施建设，新建居民小区垃圾分类配套设施全面达标，建设废弃物综合处置中心、大件垃圾分解、餐厨垃圾处理、有毒有害垃圾分拣中心等。新建白下科技园中转站，改造</w:t>
      </w:r>
      <w:r>
        <w:rPr>
          <w:rFonts w:eastAsia="方正仿宋_GBK"/>
          <w:sz w:val="32"/>
          <w:szCs w:val="32"/>
        </w:rPr>
        <w:t>4</w:t>
      </w:r>
      <w:r>
        <w:rPr>
          <w:rFonts w:hint="eastAsia" w:eastAsia="方正仿宋_GBK" w:cs="方正仿宋_GBK"/>
          <w:sz w:val="32"/>
          <w:szCs w:val="32"/>
        </w:rPr>
        <w:t>座中转站；提升双桥门厨余垃圾垃圾中转站环境和管理标准，中转站污水处理设施、除臭设施配备率达</w:t>
      </w:r>
      <w:r>
        <w:rPr>
          <w:rFonts w:eastAsia="方正仿宋_GBK"/>
          <w:sz w:val="32"/>
          <w:szCs w:val="32"/>
        </w:rPr>
        <w:t>100%</w:t>
      </w:r>
      <w:r>
        <w:rPr>
          <w:rFonts w:hint="eastAsia" w:eastAsia="方正仿宋_GBK" w:cs="方正仿宋_GBK"/>
          <w:sz w:val="32"/>
          <w:szCs w:val="32"/>
        </w:rPr>
        <w:t>。垃圾精细化收运全覆盖，形成全程分类收运体系，实现定时、定点、分类、分车精准作业。加强车容车貌管理，加强渣土车运输规范化管理，对清运过程中跑冒滴漏、垃圾拖挂现象进行监管处罚，严禁“混装混运”。</w:t>
      </w:r>
    </w:p>
    <w:p w14:paraId="7E5734A5">
      <w:pPr>
        <w:pStyle w:val="5"/>
        <w:spacing w:after="200" w:line="520" w:lineRule="exact"/>
        <w:jc w:val="center"/>
        <w:rPr>
          <w:rFonts w:ascii="方正楷体_GBK" w:hAnsi="方正楷体_GBK" w:eastAsia="方正楷体_GBK"/>
          <w:b w:val="0"/>
          <w:bCs w:val="0"/>
        </w:rPr>
      </w:pPr>
      <w:bookmarkStart w:id="134" w:name="_Toc60466281"/>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系统完善生态文明治理</w:t>
      </w:r>
      <w:bookmarkEnd w:id="134"/>
    </w:p>
    <w:p w14:paraId="233C969D">
      <w:pPr>
        <w:spacing w:line="590" w:lineRule="exact"/>
        <w:ind w:firstLine="629"/>
        <w:rPr>
          <w:rFonts w:eastAsia="方正仿宋_GBK"/>
          <w:sz w:val="32"/>
          <w:szCs w:val="32"/>
        </w:rPr>
      </w:pPr>
      <w:r>
        <w:rPr>
          <w:rFonts w:hint="eastAsia" w:eastAsia="方正仿宋_GBK" w:cs="方正仿宋_GBK"/>
          <w:sz w:val="32"/>
          <w:szCs w:val="32"/>
        </w:rPr>
        <w:t>落实环保责任，建立健全生态环境监测、执法和损害赔偿制度。探索实行生态环境损害责任终身追究制，实现生态环保突出问题闭环管理。优化能源消费结构，实施能源消耗总量和强度双控。探索建立新城环境权益和生态产品产权交易体系，实施碳排放交易试点工程，探路先行“零碳小区”发展模式，推动生态资源向生态资本转化。完善“政府补贴</w:t>
      </w:r>
      <w:r>
        <w:rPr>
          <w:rFonts w:eastAsia="方正仿宋_GBK"/>
          <w:sz w:val="32"/>
          <w:szCs w:val="32"/>
        </w:rPr>
        <w:t>+</w:t>
      </w:r>
      <w:r>
        <w:rPr>
          <w:rFonts w:hint="eastAsia" w:eastAsia="方正仿宋_GBK" w:cs="方正仿宋_GBK"/>
          <w:sz w:val="32"/>
          <w:szCs w:val="32"/>
        </w:rPr>
        <w:t>第三方治理</w:t>
      </w:r>
      <w:r>
        <w:rPr>
          <w:rFonts w:eastAsia="方正仿宋_GBK"/>
          <w:sz w:val="32"/>
          <w:szCs w:val="32"/>
        </w:rPr>
        <w:t>+</w:t>
      </w:r>
      <w:r>
        <w:rPr>
          <w:rFonts w:hint="eastAsia" w:eastAsia="方正仿宋_GBK" w:cs="方正仿宋_GBK"/>
          <w:sz w:val="32"/>
          <w:szCs w:val="32"/>
        </w:rPr>
        <w:t>税收优惠”联动机制，健全环境污染责任险和环境信用评价、信息强制性披露等政策机制，完善环境治理社会监督机制。</w:t>
      </w:r>
    </w:p>
    <w:p w14:paraId="0E0FAA4F">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35" w:name="_Toc60466282"/>
      <w:r>
        <w:rPr>
          <w:rFonts w:hint="eastAsia" w:ascii="方正黑体_GBK" w:hAnsi="方正黑体_GBK" w:eastAsia="方正黑体_GBK" w:cs="方正黑体_GBK"/>
          <w:b w:val="0"/>
          <w:bCs w:val="0"/>
        </w:rPr>
        <w:t>第十九章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加强城市精细化管理</w:t>
      </w:r>
      <w:bookmarkEnd w:id="135"/>
    </w:p>
    <w:p w14:paraId="490A635B">
      <w:pPr>
        <w:pStyle w:val="5"/>
        <w:spacing w:after="200" w:line="520" w:lineRule="exact"/>
        <w:jc w:val="center"/>
        <w:rPr>
          <w:rFonts w:ascii="方正楷体_GBK" w:hAnsi="方正楷体_GBK" w:eastAsia="方正楷体_GBK"/>
          <w:b w:val="0"/>
          <w:bCs w:val="0"/>
        </w:rPr>
      </w:pPr>
      <w:bookmarkStart w:id="136" w:name="_Toc60466283"/>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全力建设美丽街区</w:t>
      </w:r>
      <w:bookmarkEnd w:id="136"/>
    </w:p>
    <w:p w14:paraId="7AD185C9">
      <w:pPr>
        <w:spacing w:line="590" w:lineRule="exact"/>
        <w:ind w:firstLine="629"/>
        <w:rPr>
          <w:rFonts w:eastAsia="方正仿宋_GBK"/>
          <w:sz w:val="32"/>
          <w:szCs w:val="32"/>
        </w:rPr>
      </w:pPr>
      <w:r>
        <w:rPr>
          <w:rFonts w:hint="eastAsia" w:eastAsia="方正仿宋_GBK" w:cs="方正仿宋_GBK"/>
          <w:sz w:val="32"/>
          <w:szCs w:val="32"/>
        </w:rPr>
        <w:t>开展深度保洁行动，完善秦淮特色的综合养护模式，建立标准化指挥调度体系，推动全区道路精细化、立体化保洁全覆盖，继续保持全市领先地位。实行墙到墙保洁，道路两侧可视范围内全覆盖，消除道路红线外保洁盲区，主次干道机扫率</w:t>
      </w:r>
      <w:r>
        <w:rPr>
          <w:rFonts w:eastAsia="方正仿宋_GBK"/>
          <w:sz w:val="32"/>
          <w:szCs w:val="32"/>
        </w:rPr>
        <w:t>100%</w:t>
      </w:r>
      <w:r>
        <w:rPr>
          <w:rFonts w:hint="eastAsia" w:eastAsia="方正仿宋_GBK" w:cs="方正仿宋_GBK"/>
          <w:sz w:val="32"/>
          <w:szCs w:val="32"/>
        </w:rPr>
        <w:t>，核心区域水扫率</w:t>
      </w:r>
      <w:r>
        <w:rPr>
          <w:rFonts w:eastAsia="方正仿宋_GBK"/>
          <w:sz w:val="32"/>
          <w:szCs w:val="32"/>
        </w:rPr>
        <w:t>90%</w:t>
      </w:r>
      <w:r>
        <w:rPr>
          <w:rFonts w:hint="eastAsia" w:eastAsia="方正仿宋_GBK" w:cs="方正仿宋_GBK"/>
          <w:sz w:val="32"/>
          <w:szCs w:val="32"/>
        </w:rPr>
        <w:t>，确保国控点、景区、商业核心区周边路段积尘量不超过</w:t>
      </w:r>
      <w:r>
        <w:rPr>
          <w:rFonts w:eastAsia="方正仿宋_GBK"/>
          <w:sz w:val="32"/>
          <w:szCs w:val="32"/>
        </w:rPr>
        <w:t>1g/</w:t>
      </w:r>
      <w:r>
        <w:rPr>
          <w:rFonts w:hint="eastAsia" w:eastAsia="方正仿宋_GBK" w:cs="方正仿宋_GBK"/>
          <w:sz w:val="32"/>
          <w:szCs w:val="32"/>
        </w:rPr>
        <w:t>㎡。持续推进厕所革命，打造秦淮特色公厕，提升公厕服务品质和居民如厕满意度。建立道路、桥梁的全周期健康评估机制，落实大中修专项保障，市政设施优良率超</w:t>
      </w:r>
      <w:r>
        <w:rPr>
          <w:rFonts w:eastAsia="方正仿宋_GBK"/>
          <w:sz w:val="32"/>
          <w:szCs w:val="32"/>
        </w:rPr>
        <w:t>95%</w:t>
      </w:r>
      <w:r>
        <w:rPr>
          <w:rFonts w:hint="eastAsia" w:eastAsia="方正仿宋_GBK" w:cs="方正仿宋_GBK"/>
          <w:sz w:val="32"/>
          <w:szCs w:val="32"/>
        </w:rPr>
        <w:t>。完善“街巷长”制度，推进“微整治、微执法”快速处理，推动“门前三包”责任落实，加强非机动车停放管理。加强道路停车管理，推进企事业单位停车场错时开放，推行泊位共享、动态调整、分时计费，道路泊位周转率提高</w:t>
      </w:r>
      <w:r>
        <w:rPr>
          <w:rFonts w:eastAsia="方正仿宋_GBK"/>
          <w:sz w:val="32"/>
          <w:szCs w:val="32"/>
        </w:rPr>
        <w:t>60%</w:t>
      </w:r>
      <w:r>
        <w:rPr>
          <w:rFonts w:hint="eastAsia" w:eastAsia="方正仿宋_GBK" w:cs="方正仿宋_GBK"/>
          <w:sz w:val="32"/>
          <w:szCs w:val="32"/>
        </w:rPr>
        <w:t>，有效缓解老城区停车难。开展街头美化行动，修编户外广告设置控制性详细规划，整治违法户外广告店招，净化空间、减量提档。健全违建治理工作协调、督查机制，强化属地管理和物业公司监管主体责任，以销号方式加大重点违建拆除力度，实现违建零增长。保护“绿色文物”，建立古树名木保护长效机制，实施千株行道树保护更新行动，全面提升园林绿化应急能力。编制美丽秦淮彩化规划，持续推进道路绿化微更新，打造口袋公园绿地，增加节点彩化，实现“三季有花、四季有景”。提高公园绿地服务半径覆盖率，营造“树洞画”、“石球画”等城市角落之美。</w:t>
      </w:r>
    </w:p>
    <w:p w14:paraId="41140FA3">
      <w:pPr>
        <w:pStyle w:val="5"/>
        <w:spacing w:after="200" w:line="520" w:lineRule="exact"/>
        <w:jc w:val="center"/>
        <w:rPr>
          <w:rFonts w:ascii="方正楷体_GBK" w:hAnsi="方正楷体_GBK" w:eastAsia="方正楷体_GBK"/>
          <w:b w:val="0"/>
          <w:bCs w:val="0"/>
        </w:rPr>
      </w:pPr>
      <w:bookmarkStart w:id="137" w:name="_Toc6046628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合力建设美丽家园</w:t>
      </w:r>
      <w:bookmarkEnd w:id="137"/>
    </w:p>
    <w:p w14:paraId="5670169C">
      <w:pPr>
        <w:spacing w:line="590" w:lineRule="exact"/>
        <w:ind w:firstLine="629"/>
        <w:rPr>
          <w:rFonts w:eastAsia="方正仿宋_GBK"/>
          <w:sz w:val="32"/>
          <w:szCs w:val="32"/>
        </w:rPr>
      </w:pPr>
      <w:r>
        <w:rPr>
          <w:rFonts w:hint="eastAsia" w:eastAsia="方正仿宋_GBK" w:cs="方正仿宋_GBK"/>
          <w:sz w:val="32"/>
          <w:szCs w:val="32"/>
        </w:rPr>
        <w:t>深化党建引领，推进“红色物业”示范项目建设，着力深化党组织领导下的居委会、业主委员会和物业服务企业“三方联动”机制，通过民主协商等形式对小区重大事项，共同研究方案。健全组织机构，充分发挥街道“两站一中心”作用，对已落实物业管理的老旧小区按照市、区老旧小区管理标准及物业服务合同约定进行指导、检查和考核，提升小区卫生保洁、绿化养护以及公用设施维护等服务水准；探索示范小区智能化建设，提升管理效能和为民服务水平。强化行业监管，优化物业服务考核制度，进一步扩大物业服务考核范围，严格执行物业服务企业备案承诺制度，完善物业服务企业“黑名单”制度和市场退出机制，营造“优胜劣汰、失信失业”的健康市场环境，促进行业、企业及从业人员依法履约、守信经营；建立健全老旧小区住宅专项维修资金归集、使用、续筹机制，促进小区改造后维护更新进入良性轨道。</w:t>
      </w:r>
    </w:p>
    <w:p w14:paraId="7D04408B">
      <w:pPr>
        <w:spacing w:line="520" w:lineRule="exact"/>
      </w:pPr>
    </w:p>
    <w:p w14:paraId="4CCCBD08">
      <w:pPr>
        <w:spacing w:line="700" w:lineRule="exact"/>
        <w:jc w:val="center"/>
        <w:outlineLvl w:val="0"/>
        <w:rPr>
          <w:rFonts w:ascii="方正小标宋_GBK" w:eastAsia="方正小标宋_GBK"/>
          <w:kern w:val="44"/>
          <w:sz w:val="44"/>
          <w:szCs w:val="44"/>
        </w:rPr>
      </w:pPr>
      <w:bookmarkStart w:id="138" w:name="_Toc60466285"/>
    </w:p>
    <w:p w14:paraId="3B1372CB">
      <w:pPr>
        <w:spacing w:line="700" w:lineRule="exact"/>
        <w:jc w:val="center"/>
        <w:outlineLvl w:val="0"/>
        <w:rPr>
          <w:rFonts w:ascii="方正小标宋_GBK" w:eastAsia="方正小标宋_GBK"/>
          <w:kern w:val="44"/>
          <w:sz w:val="44"/>
          <w:szCs w:val="44"/>
        </w:rPr>
      </w:pPr>
      <w:r>
        <w:rPr>
          <w:rFonts w:hint="eastAsia" w:ascii="方正小标宋_GBK" w:eastAsia="方正小标宋_GBK" w:cs="方正小标宋_GBK"/>
          <w:kern w:val="44"/>
          <w:sz w:val="44"/>
          <w:szCs w:val="44"/>
        </w:rPr>
        <w:t>第七篇</w:t>
      </w:r>
      <w:r>
        <w:rPr>
          <w:rFonts w:ascii="方正小标宋_GBK" w:eastAsia="方正小标宋_GBK" w:cs="方正小标宋_GBK"/>
          <w:kern w:val="44"/>
          <w:sz w:val="44"/>
          <w:szCs w:val="44"/>
        </w:rPr>
        <w:t xml:space="preserve"> </w:t>
      </w:r>
      <w:r>
        <w:rPr>
          <w:rFonts w:hint="eastAsia" w:ascii="方正小标宋_GBK" w:eastAsia="方正小标宋_GBK" w:cs="方正小标宋_GBK"/>
          <w:kern w:val="44"/>
          <w:sz w:val="44"/>
          <w:szCs w:val="44"/>
        </w:rPr>
        <w:t>提升民生服务质量，坚持共同富裕方向，增添上善秦淮服务新温度</w:t>
      </w:r>
      <w:bookmarkEnd w:id="138"/>
    </w:p>
    <w:p w14:paraId="279E4BC0">
      <w:pPr>
        <w:spacing w:line="520" w:lineRule="exact"/>
        <w:ind w:firstLine="640" w:firstLineChars="200"/>
        <w:rPr>
          <w:rFonts w:eastAsia="方正仿宋_GBK"/>
          <w:sz w:val="32"/>
          <w:szCs w:val="32"/>
          <w:shd w:val="clear" w:color="auto" w:fill="FFFFFF"/>
        </w:rPr>
      </w:pPr>
    </w:p>
    <w:p w14:paraId="0C910DC6">
      <w:pPr>
        <w:spacing w:line="590" w:lineRule="exact"/>
        <w:ind w:firstLine="629"/>
        <w:rPr>
          <w:rFonts w:eastAsia="方正仿宋_GBK"/>
          <w:sz w:val="32"/>
          <w:szCs w:val="32"/>
        </w:rPr>
      </w:pPr>
      <w:r>
        <w:rPr>
          <w:rFonts w:hint="eastAsia" w:eastAsia="方正仿宋_GBK" w:cs="方正仿宋_GBK"/>
          <w:sz w:val="32"/>
          <w:szCs w:val="32"/>
        </w:rPr>
        <w:t>坚持人民为中心理念，坚持共同富裕方向，围绕建设人的现代化水平提升和全生命周期保障，加快补齐公共服务短板，扎实推进富民增收，强化特定群体托底保障，健全完善全面社会保障体系，推进教育、医疗、养老、住房等公共服务高质量发展，努力满足人民群众的美好生活需要。</w:t>
      </w:r>
    </w:p>
    <w:p w14:paraId="5F43BCA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39" w:name="_Toc60466286"/>
      <w:r>
        <w:rPr>
          <w:rFonts w:hint="eastAsia" w:ascii="方正黑体_GBK" w:hAnsi="方正黑体_GBK" w:eastAsia="方正黑体_GBK" w:cs="方正黑体_GBK"/>
          <w:b w:val="0"/>
          <w:bCs w:val="0"/>
        </w:rPr>
        <w:t>第二十章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优化民生公共服务</w:t>
      </w:r>
      <w:bookmarkEnd w:id="139"/>
      <w:r>
        <w:rPr>
          <w:rFonts w:hint="eastAsia" w:ascii="方正黑体_GBK" w:hAnsi="方正黑体_GBK" w:eastAsia="方正黑体_GBK" w:cs="方正黑体_GBK"/>
          <w:b w:val="0"/>
          <w:bCs w:val="0"/>
        </w:rPr>
        <w:t>供给</w:t>
      </w:r>
    </w:p>
    <w:p w14:paraId="39AA1E64">
      <w:pPr>
        <w:pStyle w:val="5"/>
        <w:spacing w:after="200" w:line="520" w:lineRule="exact"/>
        <w:jc w:val="center"/>
        <w:rPr>
          <w:rFonts w:ascii="方正楷体_GBK" w:hAnsi="方正楷体_GBK" w:eastAsia="方正楷体_GBK"/>
          <w:b w:val="0"/>
          <w:bCs w:val="0"/>
        </w:rPr>
      </w:pPr>
      <w:bookmarkStart w:id="140" w:name="_Toc6046628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推进基本公共服务均衡配置</w:t>
      </w:r>
      <w:bookmarkEnd w:id="140"/>
    </w:p>
    <w:p w14:paraId="10C7D2DF">
      <w:pPr>
        <w:spacing w:line="590" w:lineRule="exact"/>
        <w:ind w:firstLine="629"/>
        <w:rPr>
          <w:rFonts w:eastAsia="方正仿宋_GBK"/>
          <w:sz w:val="32"/>
          <w:szCs w:val="32"/>
        </w:rPr>
      </w:pPr>
      <w:r>
        <w:rPr>
          <w:rFonts w:hint="eastAsia" w:eastAsia="方正仿宋_GBK" w:cs="方正仿宋_GBK"/>
          <w:sz w:val="32"/>
          <w:szCs w:val="32"/>
        </w:rPr>
        <w:t>逐步提高公共财政民生支出占比，加大基本公共服务向薄弱环节、重点人群倾斜，提高基本公共服务配置均等化水平。在南部新城建设和老城保护更新中，优先保障基本公共服务设施配置，统筹运用各领域公共资源，推进科学布局、均衡配置和优化整合，促进基本公共服务配置区域均衡。</w:t>
      </w:r>
    </w:p>
    <w:p w14:paraId="3B38BDC2">
      <w:pPr>
        <w:pStyle w:val="5"/>
        <w:spacing w:after="200" w:line="520" w:lineRule="exact"/>
        <w:jc w:val="center"/>
        <w:rPr>
          <w:rFonts w:ascii="方正楷体_GBK" w:hAnsi="方正楷体_GBK" w:eastAsia="方正楷体_GBK"/>
          <w:b w:val="0"/>
          <w:bCs w:val="0"/>
        </w:rPr>
      </w:pPr>
      <w:bookmarkStart w:id="141" w:name="_Toc6046628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科学规划使用公共服务资源</w:t>
      </w:r>
      <w:bookmarkEnd w:id="141"/>
    </w:p>
    <w:p w14:paraId="639348CD">
      <w:pPr>
        <w:spacing w:line="590" w:lineRule="exact"/>
        <w:ind w:firstLine="629"/>
        <w:rPr>
          <w:rFonts w:eastAsia="方正仿宋_GBK"/>
          <w:sz w:val="32"/>
          <w:szCs w:val="32"/>
        </w:rPr>
      </w:pPr>
      <w:r>
        <w:rPr>
          <w:rFonts w:hint="eastAsia" w:eastAsia="方正仿宋_GBK" w:cs="方正仿宋_GBK"/>
          <w:sz w:val="32"/>
          <w:szCs w:val="32"/>
        </w:rPr>
        <w:t>老城片区突出公共服务空间复合功能和集约利用，优化推广“邻里中心”模式，一站式解决居民文化体育、医疗卫生、养老服务、社区管理及商业等日常生活服务需求，促进公共服务资源的有效整合和统筹利用。新城片区突出公共服务载体与城市公共交通系统融合规划布局，以轨道交通等公共交通站点为核心，在</w:t>
      </w:r>
      <w:r>
        <w:rPr>
          <w:rFonts w:eastAsia="方正仿宋_GBK"/>
          <w:sz w:val="32"/>
          <w:szCs w:val="32"/>
        </w:rPr>
        <w:t>5-10</w:t>
      </w:r>
      <w:r>
        <w:rPr>
          <w:rFonts w:hint="eastAsia" w:eastAsia="方正仿宋_GBK" w:cs="方正仿宋_GBK"/>
          <w:sz w:val="32"/>
          <w:szCs w:val="32"/>
        </w:rPr>
        <w:t>分钟步行范围内进行土地混合功能开发，构建集产业、文教、居住、公共服务等功能于一体的区域综合服务中心。</w:t>
      </w:r>
    </w:p>
    <w:p w14:paraId="4A2B3FEA">
      <w:pPr>
        <w:pStyle w:val="5"/>
        <w:spacing w:after="200" w:line="520" w:lineRule="exact"/>
        <w:jc w:val="center"/>
        <w:rPr>
          <w:rFonts w:ascii="方正楷体_GBK" w:hAnsi="方正楷体_GBK" w:eastAsia="方正楷体_GBK"/>
          <w:b w:val="0"/>
          <w:bCs w:val="0"/>
        </w:rPr>
      </w:pPr>
      <w:bookmarkStart w:id="142" w:name="_Toc6046628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增加非基本公共服务多样性</w:t>
      </w:r>
      <w:bookmarkEnd w:id="142"/>
    </w:p>
    <w:p w14:paraId="6AECF650">
      <w:pPr>
        <w:spacing w:line="590" w:lineRule="exact"/>
        <w:ind w:firstLine="629"/>
        <w:rPr>
          <w:rFonts w:eastAsia="方正仿宋_GBK"/>
          <w:sz w:val="32"/>
          <w:szCs w:val="32"/>
        </w:rPr>
      </w:pPr>
      <w:r>
        <w:rPr>
          <w:rFonts w:hint="eastAsia" w:eastAsia="方正仿宋_GBK" w:cs="方正仿宋_GBK"/>
          <w:sz w:val="32"/>
          <w:szCs w:val="32"/>
        </w:rPr>
        <w:t>加强政策引导、规范管理和市场监管，在非基本公共服务方面深化简政放权、优化发展环境，充分发挥市场机制作用，支持各类主体平等参与并提供服务。在普惠托育、学前教育、社会办医、养老服务等领域调动社会力量积极参与，培育多元供给主体，推动供给方式多样，扩大有效供给，促进非基本公共服务市场化、多元化、品质化，满足多层次多样化的群众需求。</w:t>
      </w:r>
    </w:p>
    <w:p w14:paraId="39BA5551">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43" w:name="_Toc60466290"/>
      <w:r>
        <w:rPr>
          <w:rFonts w:hint="eastAsia" w:ascii="方正黑体_GBK" w:hAnsi="方正黑体_GBK" w:eastAsia="方正黑体_GBK" w:cs="方正黑体_GBK"/>
          <w:b w:val="0"/>
          <w:bCs w:val="0"/>
        </w:rPr>
        <w:t>第二十一章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实现更高质量的富民增收</w:t>
      </w:r>
      <w:bookmarkEnd w:id="143"/>
    </w:p>
    <w:p w14:paraId="2B360789">
      <w:pPr>
        <w:pStyle w:val="5"/>
        <w:spacing w:after="200" w:line="520" w:lineRule="exact"/>
        <w:jc w:val="center"/>
        <w:rPr>
          <w:rFonts w:ascii="方正楷体_GBK" w:hAnsi="方正楷体_GBK" w:eastAsia="方正楷体_GBK"/>
          <w:b w:val="0"/>
          <w:bCs w:val="0"/>
        </w:rPr>
      </w:pPr>
      <w:bookmarkStart w:id="144" w:name="_Toc60466291"/>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促进居民收入持续增长</w:t>
      </w:r>
      <w:bookmarkEnd w:id="144"/>
    </w:p>
    <w:p w14:paraId="3DE5A8BC">
      <w:pPr>
        <w:spacing w:line="590" w:lineRule="exact"/>
        <w:ind w:firstLine="629"/>
        <w:rPr>
          <w:rFonts w:eastAsia="方正仿宋_GBK"/>
          <w:sz w:val="32"/>
          <w:szCs w:val="32"/>
        </w:rPr>
      </w:pPr>
      <w:r>
        <w:rPr>
          <w:rFonts w:hint="eastAsia" w:eastAsia="方正仿宋_GBK" w:cs="方正仿宋_GBK"/>
          <w:sz w:val="32"/>
          <w:szCs w:val="32"/>
        </w:rPr>
        <w:t>扎实推动共同富裕，居民人均可支配收入增速高于</w:t>
      </w:r>
      <w:r>
        <w:rPr>
          <w:rFonts w:eastAsia="方正仿宋_GBK"/>
          <w:sz w:val="32"/>
          <w:szCs w:val="32"/>
        </w:rPr>
        <w:t>GDP</w:t>
      </w:r>
      <w:r>
        <w:rPr>
          <w:rFonts w:hint="eastAsia" w:eastAsia="方正仿宋_GBK" w:cs="方正仿宋_GBK"/>
          <w:sz w:val="32"/>
          <w:szCs w:val="32"/>
        </w:rPr>
        <w:t>增速。健全工资决定、合理增长和支付保障机制，稳步增加居民工资性收入。鼓励支持中小微企业发展，增加居民经营性收入。多渠道增加居民财产性收入。释放土地、资本、技术等生产要素市场价值，促进创新人才、要素充分流动，拓展居民增收空间和增收途径。以产业结构调整带动中等收入群体扩大，提高中等收入人群比重。</w:t>
      </w:r>
    </w:p>
    <w:p w14:paraId="49FB1D1E">
      <w:pPr>
        <w:pStyle w:val="5"/>
        <w:spacing w:after="200" w:line="520" w:lineRule="exact"/>
        <w:jc w:val="center"/>
        <w:rPr>
          <w:rFonts w:ascii="方正楷体_GBK" w:hAnsi="方正楷体_GBK" w:eastAsia="方正楷体_GBK"/>
          <w:b w:val="0"/>
          <w:bCs w:val="0"/>
        </w:rPr>
      </w:pPr>
      <w:bookmarkStart w:id="145" w:name="_Toc60466292"/>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探索多种收入分配方式</w:t>
      </w:r>
      <w:bookmarkEnd w:id="145"/>
    </w:p>
    <w:p w14:paraId="5BEC35A8">
      <w:pPr>
        <w:spacing w:line="590" w:lineRule="exact"/>
        <w:ind w:firstLine="629"/>
        <w:rPr>
          <w:rFonts w:eastAsia="方正仿宋_GBK"/>
          <w:sz w:val="32"/>
          <w:szCs w:val="32"/>
        </w:rPr>
      </w:pPr>
      <w:r>
        <w:rPr>
          <w:rFonts w:hint="eastAsia" w:eastAsia="方正仿宋_GBK" w:cs="方正仿宋_GBK"/>
          <w:sz w:val="32"/>
          <w:szCs w:val="32"/>
        </w:rPr>
        <w:t>坚持按劳分配为主体、多种分配方式并存。优化分配结构，合理缩小收入分配差距。探索按要素分配政策制度，鼓励科研人员持有的科研成果、知识产权参与分配并由市场决定报酬。探索通过资本等要素使用权、收益权增加中低收入群体要素收入。加大税收、社保、转移支付等调节力度和精准性。健全再分配调节机制，健全提低收入群体收入分配保障。</w:t>
      </w:r>
    </w:p>
    <w:p w14:paraId="45B13389">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46" w:name="_Toc60466293"/>
      <w:r>
        <w:rPr>
          <w:rFonts w:hint="eastAsia" w:ascii="方正黑体_GBK" w:hAnsi="方正黑体_GBK" w:eastAsia="方正黑体_GBK" w:cs="方正黑体_GBK"/>
          <w:b w:val="0"/>
          <w:bCs w:val="0"/>
        </w:rPr>
        <w:t>第二十二章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实现更高质量的教育水平</w:t>
      </w:r>
      <w:bookmarkEnd w:id="146"/>
    </w:p>
    <w:p w14:paraId="357DBD7A">
      <w:pPr>
        <w:pStyle w:val="5"/>
        <w:spacing w:after="200" w:line="520" w:lineRule="exact"/>
        <w:jc w:val="center"/>
        <w:rPr>
          <w:rFonts w:ascii="方正楷体_GBK" w:hAnsi="方正楷体_GBK" w:eastAsia="方正楷体_GBK"/>
          <w:b w:val="0"/>
          <w:bCs w:val="0"/>
        </w:rPr>
      </w:pPr>
      <w:bookmarkStart w:id="147" w:name="_Toc6046629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促进教育资源均衡布局</w:t>
      </w:r>
      <w:bookmarkEnd w:id="147"/>
    </w:p>
    <w:p w14:paraId="630571AB">
      <w:pPr>
        <w:spacing w:line="590" w:lineRule="exact"/>
        <w:ind w:firstLine="629"/>
        <w:rPr>
          <w:rFonts w:eastAsia="方正仿宋_GBK"/>
          <w:sz w:val="32"/>
          <w:szCs w:val="32"/>
        </w:rPr>
      </w:pPr>
      <w:r>
        <w:rPr>
          <w:rFonts w:hint="eastAsia" w:eastAsia="方正仿宋_GBK" w:cs="方正仿宋_GBK"/>
          <w:sz w:val="32"/>
          <w:szCs w:val="32"/>
        </w:rPr>
        <w:t>科学布局教育资源，基本破解教育“西密东疏”发展现状，进一步促进公共教育服务高质量发展，建立区域一体化的教育均衡发展和服务保障体系。加快推进新城片区教育载体建设，改善提高老城片区校园办学条件，逐步消除校园危房，切实解决“大班额”问题。深化中小学集团化办学、名校联盟、名校办分校，缩小校际发展差距，促进优质教育资源布局更加合理、供给更为充分，创成全国义务教育优质均衡发展区。</w:t>
      </w:r>
    </w:p>
    <w:p w14:paraId="4A6E3684">
      <w:pPr>
        <w:pStyle w:val="5"/>
        <w:spacing w:after="200" w:line="520" w:lineRule="exact"/>
        <w:jc w:val="center"/>
        <w:rPr>
          <w:rFonts w:ascii="方正楷体_GBK" w:hAnsi="方正楷体_GBK" w:eastAsia="方正楷体_GBK"/>
          <w:b w:val="0"/>
          <w:bCs w:val="0"/>
        </w:rPr>
      </w:pPr>
      <w:bookmarkStart w:id="148" w:name="_Toc6046629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提升师资队伍建设质量</w:t>
      </w:r>
      <w:bookmarkEnd w:id="148"/>
    </w:p>
    <w:p w14:paraId="1C019F26">
      <w:pPr>
        <w:spacing w:line="590" w:lineRule="exact"/>
        <w:ind w:firstLine="629"/>
        <w:rPr>
          <w:rFonts w:eastAsia="方正仿宋_GBK"/>
          <w:sz w:val="32"/>
          <w:szCs w:val="32"/>
        </w:rPr>
      </w:pPr>
      <w:r>
        <w:rPr>
          <w:rFonts w:hint="eastAsia" w:eastAsia="方正仿宋_GBK" w:cs="方正仿宋_GBK"/>
          <w:sz w:val="32"/>
          <w:szCs w:val="32"/>
        </w:rPr>
        <w:t>优化师资配置，深化“区管校聘”改革，建立完善教师成长档案袋管理、教师成长三级联动、梯级教师发展支持等机制，逐步消除教师结构性缺编问题，保障教师队伍数量充足，加强名特优教师培养。强化师资教育，加大联盟研修、校本研修、自主学习比重，分层落实教师教育，重点关注各类教师主体成长和校长队伍建设，系统提升教师队伍能力。加大学校心理教师队伍建设力度，完善学生心理健康服务体系。到</w:t>
      </w:r>
      <w:r>
        <w:rPr>
          <w:rFonts w:eastAsia="方正仿宋_GBK"/>
          <w:sz w:val="32"/>
          <w:szCs w:val="32"/>
        </w:rPr>
        <w:t xml:space="preserve"> 2025</w:t>
      </w:r>
      <w:r>
        <w:rPr>
          <w:rFonts w:hint="eastAsia" w:eastAsia="方正仿宋_GBK" w:cs="方正仿宋_GBK"/>
          <w:sz w:val="32"/>
          <w:szCs w:val="32"/>
        </w:rPr>
        <w:t>年，培养和引进特级教师</w:t>
      </w:r>
      <w:r>
        <w:rPr>
          <w:rFonts w:eastAsia="方正仿宋_GBK"/>
          <w:sz w:val="32"/>
          <w:szCs w:val="32"/>
        </w:rPr>
        <w:t>10</w:t>
      </w:r>
      <w:r>
        <w:rPr>
          <w:rFonts w:hint="eastAsia" w:eastAsia="方正仿宋_GBK" w:cs="方正仿宋_GBK"/>
          <w:sz w:val="32"/>
          <w:szCs w:val="32"/>
        </w:rPr>
        <w:t>人，市、区学科教学带头人</w:t>
      </w:r>
      <w:r>
        <w:rPr>
          <w:rFonts w:eastAsia="方正仿宋_GBK"/>
          <w:sz w:val="32"/>
          <w:szCs w:val="32"/>
        </w:rPr>
        <w:t>335</w:t>
      </w:r>
      <w:r>
        <w:rPr>
          <w:rFonts w:hint="eastAsia" w:eastAsia="方正仿宋_GBK" w:cs="方正仿宋_GBK"/>
          <w:sz w:val="32"/>
          <w:szCs w:val="32"/>
        </w:rPr>
        <w:t>人，陶行知奖及斯霞奖</w:t>
      </w:r>
      <w:r>
        <w:rPr>
          <w:rFonts w:eastAsia="方正仿宋_GBK"/>
          <w:sz w:val="32"/>
          <w:szCs w:val="32"/>
        </w:rPr>
        <w:t>5</w:t>
      </w:r>
      <w:r>
        <w:rPr>
          <w:rFonts w:hint="eastAsia" w:eastAsia="方正仿宋_GBK" w:cs="方正仿宋_GBK"/>
          <w:sz w:val="32"/>
          <w:szCs w:val="32"/>
        </w:rPr>
        <w:t>人，名师名校长队伍建设全市领先。</w:t>
      </w:r>
    </w:p>
    <w:p w14:paraId="4BAF8605">
      <w:pPr>
        <w:pStyle w:val="5"/>
        <w:spacing w:after="200" w:line="520" w:lineRule="exact"/>
        <w:jc w:val="center"/>
        <w:rPr>
          <w:rFonts w:ascii="方正楷体_GBK" w:hAnsi="方正楷体_GBK" w:eastAsia="方正楷体_GBK"/>
          <w:b w:val="0"/>
          <w:bCs w:val="0"/>
        </w:rPr>
      </w:pPr>
      <w:bookmarkStart w:id="149" w:name="_Toc6046629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完善多层次终身教育体系</w:t>
      </w:r>
      <w:bookmarkEnd w:id="149"/>
    </w:p>
    <w:p w14:paraId="41EFCE99">
      <w:pPr>
        <w:spacing w:line="590" w:lineRule="exact"/>
        <w:ind w:firstLine="629"/>
        <w:rPr>
          <w:rFonts w:eastAsia="方正仿宋_GBK"/>
          <w:sz w:val="32"/>
          <w:szCs w:val="32"/>
        </w:rPr>
      </w:pPr>
      <w:r>
        <w:rPr>
          <w:rFonts w:hint="eastAsia" w:eastAsia="方正仿宋_GBK" w:cs="方正仿宋_GBK"/>
          <w:sz w:val="32"/>
          <w:szCs w:val="32"/>
        </w:rPr>
        <w:t>确保幼儿园总量富足，学前教育优质普惠，优质园覆盖率保持全市领先；义务教育达到省定标准；高中教育优质多元，课程建设再上台阶，育人方式改革更加科学；职业教育全省领先、完善产教融合基本制度，提升职业教育国际化水平。特殊教育充分满足需要、实现残疾儿童接受义务教育全覆盖，落实多元化质量评估。社区教育满足百姓终身学习需求。推动高等教育内涵式发展，支持驻区高校与中小学合作办学。支持和规范民办教育发展，规范校外培训机构。深入探索“互联网</w:t>
      </w:r>
      <w:r>
        <w:rPr>
          <w:rFonts w:eastAsia="方正仿宋_GBK"/>
          <w:sz w:val="32"/>
          <w:szCs w:val="32"/>
        </w:rPr>
        <w:t>+</w:t>
      </w:r>
      <w:r>
        <w:rPr>
          <w:rFonts w:hint="eastAsia" w:eastAsia="方正仿宋_GBK" w:cs="方正仿宋_GBK"/>
          <w:sz w:val="32"/>
          <w:szCs w:val="32"/>
        </w:rPr>
        <w:t>教育”模式，满足各层次人群教育需求。</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51B2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4AD4DC8B">
            <w:pPr>
              <w:spacing w:line="520" w:lineRule="exact"/>
              <w:jc w:val="center"/>
              <w:rPr>
                <w:rFonts w:eastAsia="方正黑体简体"/>
                <w:sz w:val="24"/>
                <w:szCs w:val="24"/>
              </w:rPr>
            </w:pPr>
            <w:r>
              <w:rPr>
                <w:rFonts w:hint="eastAsia" w:eastAsia="方正黑体简体" w:cs="方正黑体简体"/>
                <w:sz w:val="24"/>
                <w:szCs w:val="24"/>
              </w:rPr>
              <w:t>专栏六：基础教育高质量发展工程</w:t>
            </w:r>
          </w:p>
        </w:tc>
      </w:tr>
      <w:tr w14:paraId="6482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783D7613">
            <w:pPr>
              <w:spacing w:line="500" w:lineRule="exact"/>
              <w:jc w:val="left"/>
              <w:rPr>
                <w:sz w:val="22"/>
                <w:szCs w:val="22"/>
              </w:rPr>
            </w:pPr>
            <w:r>
              <w:rPr>
                <w:sz w:val="22"/>
                <w:szCs w:val="22"/>
              </w:rPr>
              <w:t>1</w:t>
            </w:r>
            <w:r>
              <w:rPr>
                <w:rFonts w:hint="eastAsia" w:cs="宋体"/>
                <w:sz w:val="22"/>
                <w:szCs w:val="22"/>
              </w:rPr>
              <w:t>、教育资源均衡布局工程：加快推进南部新城</w:t>
            </w:r>
            <w:r>
              <w:rPr>
                <w:sz w:val="22"/>
                <w:szCs w:val="22"/>
              </w:rPr>
              <w:t>6</w:t>
            </w:r>
            <w:r>
              <w:rPr>
                <w:rFonts w:hint="eastAsia" w:cs="宋体"/>
                <w:sz w:val="22"/>
                <w:szCs w:val="22"/>
              </w:rPr>
              <w:t>所初中、</w:t>
            </w:r>
            <w:r>
              <w:rPr>
                <w:sz w:val="22"/>
                <w:szCs w:val="22"/>
              </w:rPr>
              <w:t>7</w:t>
            </w:r>
            <w:r>
              <w:rPr>
                <w:rFonts w:hint="eastAsia" w:cs="宋体"/>
                <w:sz w:val="22"/>
                <w:szCs w:val="22"/>
              </w:rPr>
              <w:t>所小学的建设工作，加快推进东部地区紫杨佳园中小学项目建设，稳妥做好老城义务教育学校校区调整工作，至</w:t>
            </w:r>
            <w:r>
              <w:rPr>
                <w:sz w:val="22"/>
                <w:szCs w:val="22"/>
              </w:rPr>
              <w:t>2025</w:t>
            </w:r>
            <w:r>
              <w:rPr>
                <w:rFonts w:hint="eastAsia" w:cs="宋体"/>
                <w:sz w:val="22"/>
                <w:szCs w:val="22"/>
              </w:rPr>
              <w:t>年，新增义务教育学校或校区</w:t>
            </w:r>
            <w:r>
              <w:rPr>
                <w:sz w:val="22"/>
                <w:szCs w:val="22"/>
              </w:rPr>
              <w:t>20</w:t>
            </w:r>
            <w:r>
              <w:rPr>
                <w:rFonts w:hint="eastAsia" w:cs="宋体"/>
                <w:sz w:val="22"/>
                <w:szCs w:val="22"/>
              </w:rPr>
              <w:t>所，义务教育学校全面达到省定办学标准</w:t>
            </w:r>
          </w:p>
          <w:p w14:paraId="0EA5C7E0">
            <w:pPr>
              <w:spacing w:line="500" w:lineRule="exact"/>
              <w:jc w:val="left"/>
              <w:rPr>
                <w:sz w:val="22"/>
                <w:szCs w:val="22"/>
              </w:rPr>
            </w:pPr>
            <w:r>
              <w:rPr>
                <w:sz w:val="22"/>
                <w:szCs w:val="22"/>
              </w:rPr>
              <w:t>2</w:t>
            </w:r>
            <w:r>
              <w:rPr>
                <w:rFonts w:hint="eastAsia" w:cs="宋体"/>
                <w:sz w:val="22"/>
                <w:szCs w:val="22"/>
              </w:rPr>
              <w:t>、教师队伍建设工程：建立教师成长档案袋管理机制，推进教师成长三级联动机制；完善梯级教师发展支持机制，加重联盟研修、校本研修、教师自主学习比重；优化课程结构和实施模式，加深信息技术与教师教育融合，启动教师</w:t>
            </w:r>
            <w:r>
              <w:rPr>
                <w:sz w:val="22"/>
                <w:szCs w:val="22"/>
              </w:rPr>
              <w:t>E</w:t>
            </w:r>
            <w:r>
              <w:rPr>
                <w:rFonts w:hint="eastAsia" w:cs="宋体"/>
                <w:sz w:val="22"/>
                <w:szCs w:val="22"/>
              </w:rPr>
              <w:t>学堂计划</w:t>
            </w:r>
          </w:p>
          <w:p w14:paraId="20587C75">
            <w:pPr>
              <w:spacing w:line="500" w:lineRule="exact"/>
              <w:jc w:val="left"/>
              <w:rPr>
                <w:rFonts w:eastAsia="方正黑体_GBK"/>
                <w:sz w:val="24"/>
                <w:szCs w:val="24"/>
              </w:rPr>
            </w:pPr>
            <w:r>
              <w:rPr>
                <w:sz w:val="22"/>
                <w:szCs w:val="22"/>
              </w:rPr>
              <w:t>3</w:t>
            </w:r>
            <w:r>
              <w:rPr>
                <w:rFonts w:hint="eastAsia" w:cs="宋体"/>
                <w:sz w:val="22"/>
                <w:szCs w:val="22"/>
              </w:rPr>
              <w:t>、智慧教育平台建设工程：构建公有云和私有云相结合的教学支持服务体系，完善云上学校教育资源的平台化；支持个性化和混合性学习，加强智慧化学科融合教学能力提升研究，构建个性化知识管理平台；建成秦淮区智慧教育指挥中心，收集、储存、管理、分析信息化教学终端数据，搭建教育大数据智能分析平台</w:t>
            </w:r>
          </w:p>
        </w:tc>
      </w:tr>
    </w:tbl>
    <w:p w14:paraId="2AF85AC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0" w:name="_Toc60466297"/>
    </w:p>
    <w:p w14:paraId="7524D48A">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第二十三章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实现更高质量的医疗水平</w:t>
      </w:r>
      <w:bookmarkEnd w:id="150"/>
    </w:p>
    <w:p w14:paraId="2DF7F0CB">
      <w:pPr>
        <w:pStyle w:val="5"/>
        <w:spacing w:after="200" w:line="520" w:lineRule="exact"/>
        <w:jc w:val="center"/>
        <w:rPr>
          <w:rFonts w:ascii="方正楷体_GBK" w:hAnsi="方正楷体_GBK" w:eastAsia="方正楷体_GBK"/>
          <w:b w:val="0"/>
          <w:bCs w:val="0"/>
        </w:rPr>
      </w:pPr>
      <w:bookmarkStart w:id="151" w:name="_Toc60466298"/>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完善医疗服务体系</w:t>
      </w:r>
      <w:bookmarkEnd w:id="151"/>
    </w:p>
    <w:p w14:paraId="4E7438CB">
      <w:pPr>
        <w:spacing w:line="590" w:lineRule="exact"/>
        <w:ind w:firstLine="629"/>
        <w:rPr>
          <w:rFonts w:eastAsia="方正仿宋_GBK"/>
          <w:sz w:val="32"/>
          <w:szCs w:val="32"/>
        </w:rPr>
      </w:pPr>
      <w:r>
        <w:rPr>
          <w:rFonts w:hint="eastAsia" w:eastAsia="方正仿宋_GBK" w:cs="方正仿宋_GBK"/>
          <w:sz w:val="32"/>
          <w:szCs w:val="32"/>
        </w:rPr>
        <w:t>健全完善现代医疗卫生服务体系，提升公共卫生服务体系疾病防控能力，常设公共卫生应急管理委员会，建设公共卫生应急指挥中心、公共卫生应急医疗救援中心、公共卫生培训中心，打造规范化人才培训、应急演练、物资储备基地，加强急救站点建设。健全区、街道、社区“三级”疾病预防控制网络，实现“防、治、管”联合推进，建立突发公共卫生事件风险评估专家库，提高监测检测能力，提升应对重大、新发传染病和群体性公共卫生事件应急处置能力。</w:t>
      </w:r>
    </w:p>
    <w:p w14:paraId="5E81C6BA">
      <w:pPr>
        <w:pStyle w:val="5"/>
        <w:spacing w:after="200" w:line="520" w:lineRule="exact"/>
        <w:jc w:val="center"/>
        <w:rPr>
          <w:rFonts w:ascii="方正楷体_GBK" w:hAnsi="方正楷体_GBK" w:eastAsia="方正楷体_GBK"/>
          <w:b w:val="0"/>
          <w:bCs w:val="0"/>
        </w:rPr>
      </w:pPr>
      <w:bookmarkStart w:id="152" w:name="_Toc60466299"/>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促进资源均衡配置</w:t>
      </w:r>
      <w:bookmarkEnd w:id="152"/>
    </w:p>
    <w:p w14:paraId="47B8E192">
      <w:pPr>
        <w:spacing w:line="590" w:lineRule="exact"/>
        <w:ind w:firstLine="629"/>
        <w:rPr>
          <w:rFonts w:eastAsia="方正仿宋_GBK"/>
          <w:sz w:val="32"/>
          <w:szCs w:val="32"/>
        </w:rPr>
      </w:pPr>
      <w:r>
        <w:rPr>
          <w:rFonts w:hint="eastAsia" w:eastAsia="方正仿宋_GBK" w:cs="方正仿宋_GBK"/>
          <w:sz w:val="32"/>
          <w:szCs w:val="32"/>
        </w:rPr>
        <w:t>推进医疗资源“东进南扩”，加快建设秦淮区东部医疗中心、建设社区卫生服务中心网点服务体系，推进现有社区卫生服务中心提档升级，提高服务能力，优先发展群众急需的中医、康复等医疗专科项目，构建分布更均衡、服务更高效的“</w:t>
      </w:r>
      <w:r>
        <w:rPr>
          <w:rFonts w:eastAsia="方正仿宋_GBK"/>
          <w:sz w:val="32"/>
          <w:szCs w:val="32"/>
        </w:rPr>
        <w:t>15</w:t>
      </w:r>
      <w:r>
        <w:rPr>
          <w:rFonts w:hint="eastAsia" w:eastAsia="方正仿宋_GBK" w:cs="方正仿宋_GBK"/>
          <w:sz w:val="32"/>
          <w:szCs w:val="32"/>
        </w:rPr>
        <w:t>分钟健康服务圈”。加强医联体建设，按照“政府主导、全区联动、网格化服务、双纽带推进”模式，建立二、三级医疗机构与基层医疗机构全面合作、协作的医疗联合体。落实“分级诊疗”制度，建成城区“紧密型医疗联合体”。</w:t>
      </w:r>
      <w:r>
        <w:rPr>
          <w:rFonts w:eastAsia="方正仿宋_GBK"/>
          <w:sz w:val="32"/>
          <w:szCs w:val="32"/>
        </w:rPr>
        <w:t xml:space="preserve"> </w:t>
      </w:r>
      <w:r>
        <w:rPr>
          <w:rFonts w:hint="eastAsia" w:eastAsia="方正仿宋_GBK" w:cs="方正仿宋_GBK"/>
          <w:sz w:val="32"/>
          <w:szCs w:val="32"/>
        </w:rPr>
        <w:t>加大社会办医支持力度，促进医养结合，“互联网</w:t>
      </w:r>
      <w:r>
        <w:rPr>
          <w:rFonts w:eastAsia="方正仿宋_GBK"/>
          <w:sz w:val="32"/>
          <w:szCs w:val="32"/>
        </w:rPr>
        <w:t>+</w:t>
      </w:r>
      <w:r>
        <w:rPr>
          <w:rFonts w:hint="eastAsia" w:eastAsia="方正仿宋_GBK" w:cs="方正仿宋_GBK"/>
          <w:sz w:val="32"/>
          <w:szCs w:val="32"/>
        </w:rPr>
        <w:t>护理服务”在全国形成“秦淮经验”。推行家庭健康发展行动，整合卫生、计生服务团队力量，引入高校志愿者服务资源，依托社区网格化工作机制，组建家庭健康服务团队。推进网格化的家庭健康服务，重点人群家庭医生签约率规范达标。</w:t>
      </w:r>
    </w:p>
    <w:p w14:paraId="0AD17EF8">
      <w:pPr>
        <w:pStyle w:val="5"/>
        <w:spacing w:after="200" w:line="520" w:lineRule="exact"/>
        <w:jc w:val="center"/>
        <w:rPr>
          <w:rFonts w:ascii="方正楷体_GBK" w:hAnsi="方正楷体_GBK" w:eastAsia="方正楷体_GBK"/>
          <w:b w:val="0"/>
          <w:bCs w:val="0"/>
        </w:rPr>
      </w:pPr>
      <w:bookmarkStart w:id="153" w:name="_Toc60466300"/>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加强人才队伍建设</w:t>
      </w:r>
      <w:bookmarkEnd w:id="153"/>
    </w:p>
    <w:p w14:paraId="4033D4A5">
      <w:pPr>
        <w:spacing w:line="590" w:lineRule="exact"/>
        <w:ind w:firstLine="629"/>
        <w:rPr>
          <w:rFonts w:eastAsia="方正仿宋_GBK"/>
          <w:sz w:val="32"/>
          <w:szCs w:val="32"/>
        </w:rPr>
      </w:pPr>
      <w:r>
        <w:rPr>
          <w:rFonts w:hint="eastAsia" w:eastAsia="方正仿宋_GBK" w:cs="方正仿宋_GBK"/>
          <w:sz w:val="32"/>
          <w:szCs w:val="32"/>
        </w:rPr>
        <w:t>建设总量适宜、结构优化的卫生人才队伍。加强基层卫生人才队伍建设，积极培养和引进公共卫生、全科、儿科、康复等紧缺专科（专业）人才。完善卫生人才工作机制，实施“区管院用”和备案管理制度，建立能进能出、能上能下的用人机制。完善对卫生人才队伍在职称、待遇等方面的倾斜政策。到</w:t>
      </w:r>
      <w:r>
        <w:rPr>
          <w:rFonts w:eastAsia="方正仿宋_GBK"/>
          <w:sz w:val="32"/>
          <w:szCs w:val="32"/>
        </w:rPr>
        <w:t>2025</w:t>
      </w:r>
      <w:r>
        <w:rPr>
          <w:rFonts w:hint="eastAsia" w:eastAsia="方正仿宋_GBK" w:cs="方正仿宋_GBK"/>
          <w:sz w:val="32"/>
          <w:szCs w:val="32"/>
        </w:rPr>
        <w:t>年，每千人床位数超</w:t>
      </w:r>
      <w:r>
        <w:rPr>
          <w:rFonts w:eastAsia="方正仿宋_GBK"/>
          <w:sz w:val="32"/>
          <w:szCs w:val="32"/>
        </w:rPr>
        <w:t>9.4</w:t>
      </w:r>
      <w:r>
        <w:rPr>
          <w:rFonts w:hint="eastAsia" w:eastAsia="方正仿宋_GBK" w:cs="方正仿宋_GBK"/>
          <w:sz w:val="32"/>
          <w:szCs w:val="32"/>
        </w:rPr>
        <w:t>张，每千人执业（助理）医师数、注册护士数分别达到</w:t>
      </w:r>
      <w:r>
        <w:rPr>
          <w:rFonts w:eastAsia="方正仿宋_GBK"/>
          <w:sz w:val="32"/>
          <w:szCs w:val="32"/>
        </w:rPr>
        <w:t>6</w:t>
      </w:r>
      <w:r>
        <w:rPr>
          <w:rFonts w:hint="eastAsia" w:eastAsia="方正仿宋_GBK" w:cs="方正仿宋_GBK"/>
          <w:sz w:val="32"/>
          <w:szCs w:val="32"/>
        </w:rPr>
        <w:t>人和</w:t>
      </w:r>
      <w:r>
        <w:rPr>
          <w:rFonts w:eastAsia="方正仿宋_GBK"/>
          <w:sz w:val="32"/>
          <w:szCs w:val="32"/>
        </w:rPr>
        <w:t>7</w:t>
      </w:r>
      <w:r>
        <w:rPr>
          <w:rFonts w:hint="eastAsia" w:eastAsia="方正仿宋_GBK" w:cs="方正仿宋_GBK"/>
          <w:sz w:val="32"/>
          <w:szCs w:val="32"/>
        </w:rPr>
        <w:t>人，每万人全科医生数不少于</w:t>
      </w:r>
      <w:r>
        <w:rPr>
          <w:rFonts w:eastAsia="方正仿宋_GBK"/>
          <w:sz w:val="32"/>
          <w:szCs w:val="32"/>
        </w:rPr>
        <w:t>4.6</w:t>
      </w:r>
      <w:r>
        <w:rPr>
          <w:rFonts w:hint="eastAsia" w:eastAsia="方正仿宋_GBK" w:cs="方正仿宋_GBK"/>
          <w:sz w:val="32"/>
          <w:szCs w:val="32"/>
        </w:rPr>
        <w:t>名。力争新增省名中医</w:t>
      </w:r>
      <w:r>
        <w:rPr>
          <w:rFonts w:eastAsia="方正仿宋_GBK"/>
          <w:sz w:val="32"/>
          <w:szCs w:val="32"/>
        </w:rPr>
        <w:t>1</w:t>
      </w:r>
      <w:r>
        <w:rPr>
          <w:rFonts w:hint="eastAsia" w:eastAsia="方正仿宋_GBK" w:cs="方正仿宋_GBK"/>
          <w:sz w:val="32"/>
          <w:szCs w:val="32"/>
        </w:rPr>
        <w:t>名，市名中医</w:t>
      </w:r>
      <w:r>
        <w:rPr>
          <w:rFonts w:eastAsia="方正仿宋_GBK"/>
          <w:sz w:val="32"/>
          <w:szCs w:val="32"/>
        </w:rPr>
        <w:t>2-3</w:t>
      </w:r>
      <w:r>
        <w:rPr>
          <w:rFonts w:hint="eastAsia" w:eastAsia="方正仿宋_GBK" w:cs="方正仿宋_GBK"/>
          <w:sz w:val="32"/>
          <w:szCs w:val="32"/>
        </w:rPr>
        <w:t>名。</w:t>
      </w:r>
    </w:p>
    <w:p w14:paraId="4C334C7C">
      <w:pPr>
        <w:pStyle w:val="5"/>
        <w:spacing w:after="200" w:line="520" w:lineRule="exact"/>
        <w:jc w:val="center"/>
        <w:rPr>
          <w:rFonts w:ascii="方正楷体_GBK" w:hAnsi="方正楷体_GBK" w:eastAsia="方正楷体_GBK"/>
          <w:b w:val="0"/>
          <w:bCs w:val="0"/>
        </w:rPr>
      </w:pPr>
      <w:bookmarkStart w:id="154" w:name="_Toc60466301"/>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提升中医药品牌优势</w:t>
      </w:r>
      <w:bookmarkEnd w:id="154"/>
    </w:p>
    <w:p w14:paraId="70616629">
      <w:pPr>
        <w:spacing w:line="590" w:lineRule="exact"/>
        <w:ind w:firstLine="629"/>
        <w:rPr>
          <w:rFonts w:eastAsia="方正仿宋_GBK"/>
          <w:sz w:val="32"/>
          <w:szCs w:val="32"/>
        </w:rPr>
      </w:pPr>
      <w:r>
        <w:rPr>
          <w:rFonts w:hint="eastAsia" w:eastAsia="方正仿宋_GBK" w:cs="方正仿宋_GBK"/>
          <w:sz w:val="32"/>
          <w:szCs w:val="32"/>
        </w:rPr>
        <w:t>提升基层医疗卫生机构中医服务能力，形成区域性中医药服务联合体，支持秦淮中医院创建二级甲等中医院。深化中医药适宜技术、治未病、中医药文化进社区，巩固“全国基层中医药工作先进单位”成果。提高中医适宜技术应用比例，构建中医药“帮带训”培训机制，继续开展“区名中医”评选、老中医药专家学术经验传承等工作，加大中医重点专科的建设力度。拓展“中医治未病”延伸服务，建立健全工作制度、服务流程和服务规范。</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516D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F44702B">
            <w:pPr>
              <w:spacing w:line="520" w:lineRule="exact"/>
              <w:jc w:val="center"/>
              <w:rPr>
                <w:rFonts w:eastAsia="方正黑体_GBK"/>
                <w:sz w:val="24"/>
                <w:szCs w:val="24"/>
              </w:rPr>
            </w:pPr>
            <w:r>
              <w:rPr>
                <w:rFonts w:hint="eastAsia" w:eastAsia="方正黑体简体" w:cs="方正黑体简体"/>
                <w:sz w:val="24"/>
                <w:szCs w:val="24"/>
              </w:rPr>
              <w:t>专栏七：医疗高质量发展工程</w:t>
            </w:r>
          </w:p>
        </w:tc>
      </w:tr>
      <w:tr w14:paraId="5A73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78C346E7">
            <w:pPr>
              <w:spacing w:line="480" w:lineRule="exact"/>
              <w:jc w:val="left"/>
              <w:rPr>
                <w:sz w:val="22"/>
                <w:szCs w:val="22"/>
              </w:rPr>
            </w:pPr>
            <w:r>
              <w:rPr>
                <w:sz w:val="22"/>
                <w:szCs w:val="22"/>
              </w:rPr>
              <w:t>1</w:t>
            </w:r>
            <w:r>
              <w:rPr>
                <w:rFonts w:hint="eastAsia" w:cs="宋体"/>
                <w:sz w:val="22"/>
                <w:szCs w:val="22"/>
              </w:rPr>
              <w:t>、均衡医疗卫生资源配置工程：推进东部医疗中心红十字医院康复分院建设，优化东部地区、南部新城社区卫生服务中心网点布局，构建分布更加均衡、分工更加优化、服务更加高效的“</w:t>
            </w:r>
            <w:r>
              <w:rPr>
                <w:sz w:val="22"/>
                <w:szCs w:val="22"/>
              </w:rPr>
              <w:t>15</w:t>
            </w:r>
            <w:r>
              <w:rPr>
                <w:rFonts w:hint="eastAsia" w:cs="宋体"/>
                <w:sz w:val="22"/>
                <w:szCs w:val="22"/>
              </w:rPr>
              <w:t>分钟健康服务圈”；鼓励社会资本参与精神、儿童、妇幼、护理、康复等专科建设，营造公开平等发展环境</w:t>
            </w:r>
          </w:p>
          <w:p w14:paraId="3FB486B5">
            <w:pPr>
              <w:spacing w:line="480" w:lineRule="exact"/>
              <w:jc w:val="left"/>
              <w:rPr>
                <w:sz w:val="22"/>
                <w:szCs w:val="22"/>
              </w:rPr>
            </w:pPr>
            <w:r>
              <w:rPr>
                <w:sz w:val="22"/>
                <w:szCs w:val="22"/>
              </w:rPr>
              <w:t>2</w:t>
            </w:r>
            <w:r>
              <w:rPr>
                <w:rFonts w:hint="eastAsia" w:cs="宋体"/>
                <w:sz w:val="22"/>
                <w:szCs w:val="22"/>
              </w:rPr>
              <w:t>、“互联网</w:t>
            </w:r>
            <w:r>
              <w:rPr>
                <w:sz w:val="22"/>
                <w:szCs w:val="22"/>
              </w:rPr>
              <w:t>+</w:t>
            </w:r>
            <w:r>
              <w:rPr>
                <w:rFonts w:hint="eastAsia" w:cs="宋体"/>
                <w:sz w:val="22"/>
                <w:szCs w:val="22"/>
              </w:rPr>
              <w:t>公共卫生”服务工程：建成区卫生信息中心、卫生专网，突破医疗机构与公共卫生机构之间的信息屏障，在区属医疗机构中推广</w:t>
            </w:r>
            <w:r>
              <w:rPr>
                <w:sz w:val="22"/>
                <w:szCs w:val="22"/>
              </w:rPr>
              <w:t>HIS</w:t>
            </w:r>
            <w:r>
              <w:rPr>
                <w:rFonts w:hint="eastAsia" w:cs="宋体"/>
                <w:sz w:val="22"/>
                <w:szCs w:val="22"/>
              </w:rPr>
              <w:t>系统传染病拦截功能；推动辖区三甲医院</w:t>
            </w:r>
            <w:r>
              <w:rPr>
                <w:sz w:val="22"/>
                <w:szCs w:val="22"/>
              </w:rPr>
              <w:t>HIS</w:t>
            </w:r>
            <w:r>
              <w:rPr>
                <w:rFonts w:hint="eastAsia" w:cs="宋体"/>
                <w:sz w:val="22"/>
                <w:szCs w:val="22"/>
              </w:rPr>
              <w:t>系统、检验系统、影像系统对接，实现与国家传染病报告系统自动上传功能；全面使用儿童预防接种系统，实现疫苗全程溯源</w:t>
            </w:r>
          </w:p>
          <w:p w14:paraId="573DAE21">
            <w:pPr>
              <w:spacing w:line="480" w:lineRule="exact"/>
              <w:jc w:val="left"/>
              <w:rPr>
                <w:sz w:val="22"/>
                <w:szCs w:val="22"/>
              </w:rPr>
            </w:pPr>
            <w:r>
              <w:rPr>
                <w:sz w:val="22"/>
                <w:szCs w:val="22"/>
              </w:rPr>
              <w:t>3</w:t>
            </w:r>
            <w:r>
              <w:rPr>
                <w:rFonts w:hint="eastAsia" w:cs="宋体"/>
                <w:sz w:val="22"/>
                <w:szCs w:val="22"/>
              </w:rPr>
              <w:t>、公共卫生应急服务工程：建设公共卫生应急指挥中心、医疗救援中心以及培训中心，打造规范化人才培训基地、应急演练基地以及物资储备基地，加强急救站点建设；建立突发公共卫生事件风险评估专家库，提高突发公共卫生事件监测与实验室检测能力</w:t>
            </w:r>
          </w:p>
          <w:p w14:paraId="68A4D785">
            <w:pPr>
              <w:spacing w:line="480" w:lineRule="exact"/>
              <w:jc w:val="left"/>
              <w:rPr>
                <w:sz w:val="22"/>
                <w:szCs w:val="22"/>
              </w:rPr>
            </w:pPr>
            <w:r>
              <w:rPr>
                <w:sz w:val="22"/>
                <w:szCs w:val="22"/>
              </w:rPr>
              <w:t>4</w:t>
            </w:r>
            <w:r>
              <w:rPr>
                <w:rFonts w:hint="eastAsia" w:cs="宋体"/>
                <w:sz w:val="22"/>
                <w:szCs w:val="22"/>
              </w:rPr>
              <w:t>、家庭健康服务工程：依托社区网格化工作机制，组建家庭健康服务团队，开通“家庭健康服务直通车”，提供“八个一”服务，基本实现“五有”，即，每个街道有一个社区家庭医生工作室，每个家庭有一份较为完备的健康档案，每个家庭有一个较为固定的医生朋友，每个家庭有一次免费的健康服务，每个家庭成员都有参与自我健康管理的意识，形成“一户一档一家庭医生”的健康服务格局</w:t>
            </w:r>
          </w:p>
          <w:p w14:paraId="354E3329">
            <w:pPr>
              <w:spacing w:line="480" w:lineRule="exact"/>
              <w:jc w:val="left"/>
              <w:rPr>
                <w:rFonts w:eastAsia="方正黑体_GBK"/>
                <w:sz w:val="24"/>
                <w:szCs w:val="24"/>
              </w:rPr>
            </w:pPr>
            <w:r>
              <w:rPr>
                <w:sz w:val="22"/>
                <w:szCs w:val="22"/>
              </w:rPr>
              <w:t>5</w:t>
            </w:r>
            <w:r>
              <w:rPr>
                <w:rFonts w:hint="eastAsia" w:cs="宋体"/>
                <w:sz w:val="22"/>
                <w:szCs w:val="22"/>
              </w:rPr>
              <w:t>、中医药特色工程：区中医院为龙头，打造区域性中医药服务联合体；提升基层医疗卫生机构中医服务能力，深化中医药适宜技术、治未病、中医药文化进社区活动；构建中医药“帮带训”培训机制，依托区中医院建立继续教育、培训制度，开展中医药师承带教、素质培养行动</w:t>
            </w:r>
          </w:p>
        </w:tc>
      </w:tr>
    </w:tbl>
    <w:p w14:paraId="741AEE78">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5" w:name="_Toc60466302"/>
    </w:p>
    <w:p w14:paraId="1BD91BEC">
      <w:pPr>
        <w:pStyle w:val="4"/>
        <w:keepNext w:val="0"/>
        <w:keepLines w:val="0"/>
        <w:spacing w:beforeLines="100" w:afterLines="100" w:line="540" w:lineRule="exact"/>
        <w:jc w:val="center"/>
        <w:rPr>
          <w:rFonts w:ascii="方正黑体_GBK" w:hAnsi="方正黑体_GBK" w:eastAsia="方正黑体_GBK" w:cs="Times New Roman"/>
          <w:b w:val="0"/>
          <w:bCs w:val="0"/>
        </w:rPr>
      </w:pPr>
    </w:p>
    <w:p w14:paraId="4E0A9F4A">
      <w:pPr>
        <w:pStyle w:val="4"/>
        <w:keepNext w:val="0"/>
        <w:keepLines w:val="0"/>
        <w:spacing w:beforeLines="100" w:afterLines="100" w:line="540" w:lineRule="exact"/>
        <w:jc w:val="center"/>
        <w:rPr>
          <w:rFonts w:ascii="方正黑体_GBK" w:hAnsi="方正黑体_GBK" w:eastAsia="方正黑体_GBK" w:cs="Times New Roman"/>
          <w:b w:val="0"/>
          <w:bCs w:val="0"/>
        </w:rPr>
      </w:pPr>
      <w:r>
        <w:rPr>
          <w:rFonts w:hint="eastAsia" w:ascii="方正黑体_GBK" w:hAnsi="方正黑体_GBK" w:eastAsia="方正黑体_GBK" w:cs="方正黑体_GBK"/>
          <w:b w:val="0"/>
          <w:bCs w:val="0"/>
        </w:rPr>
        <w:t>第二十四章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实现更高质量的老龄服务</w:t>
      </w:r>
      <w:bookmarkEnd w:id="155"/>
    </w:p>
    <w:p w14:paraId="615B3299">
      <w:pPr>
        <w:pStyle w:val="5"/>
        <w:spacing w:after="200" w:line="520" w:lineRule="exact"/>
        <w:jc w:val="center"/>
        <w:rPr>
          <w:rFonts w:ascii="方正楷体_GBK" w:hAnsi="方正楷体_GBK" w:eastAsia="方正楷体_GBK"/>
          <w:b w:val="0"/>
          <w:bCs w:val="0"/>
        </w:rPr>
      </w:pPr>
      <w:bookmarkStart w:id="156" w:name="_Toc60466303"/>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提升老龄服务硬件水平</w:t>
      </w:r>
      <w:bookmarkEnd w:id="156"/>
    </w:p>
    <w:p w14:paraId="2A1F71BE">
      <w:pPr>
        <w:spacing w:line="590" w:lineRule="exact"/>
        <w:ind w:firstLine="629"/>
        <w:rPr>
          <w:rFonts w:eastAsia="方正仿宋_GBK"/>
          <w:sz w:val="32"/>
          <w:szCs w:val="32"/>
        </w:rPr>
      </w:pPr>
      <w:r>
        <w:rPr>
          <w:rFonts w:hint="eastAsia" w:eastAsia="方正仿宋_GBK" w:cs="方正仿宋_GBK"/>
          <w:sz w:val="32"/>
          <w:szCs w:val="32"/>
        </w:rPr>
        <w:t>深化优化以街道养老服务综合体为核心、社区居家养老服务中心为节点“</w:t>
      </w:r>
      <w:r>
        <w:rPr>
          <w:rFonts w:eastAsia="方正仿宋_GBK"/>
          <w:sz w:val="32"/>
          <w:szCs w:val="32"/>
        </w:rPr>
        <w:t>1+N</w:t>
      </w:r>
      <w:r>
        <w:rPr>
          <w:rFonts w:hint="eastAsia" w:eastAsia="方正仿宋_GBK" w:cs="方正仿宋_GBK"/>
          <w:sz w:val="32"/>
          <w:szCs w:val="32"/>
        </w:rPr>
        <w:t>”服务网络。加大老年医院、康复医院、护理院、安宁疗护机构等服务老龄人口的医养结合载体建设力度。做好适老化设计改造，改善服务条件，开展示范性老年友好型社区建设，推进老旧多层住宅加装电梯。结合老旧小区出新、有机更新，加强老年人活动场所和便利化设施建设，拓展服务老年人群的体育健身空间。到</w:t>
      </w:r>
      <w:r>
        <w:rPr>
          <w:rFonts w:eastAsia="方正仿宋_GBK"/>
          <w:sz w:val="32"/>
          <w:szCs w:val="32"/>
        </w:rPr>
        <w:t>2025</w:t>
      </w:r>
      <w:r>
        <w:rPr>
          <w:rFonts w:hint="eastAsia" w:eastAsia="方正仿宋_GBK" w:cs="方正仿宋_GBK"/>
          <w:sz w:val="32"/>
          <w:szCs w:val="32"/>
        </w:rPr>
        <w:t>年，每千名老人拥有机构养老床位数</w:t>
      </w:r>
      <w:r>
        <w:rPr>
          <w:rFonts w:eastAsia="方正仿宋_GBK"/>
          <w:sz w:val="32"/>
          <w:szCs w:val="32"/>
        </w:rPr>
        <w:t>45</w:t>
      </w:r>
      <w:r>
        <w:rPr>
          <w:rFonts w:hint="eastAsia" w:eastAsia="方正仿宋_GBK" w:cs="方正仿宋_GBK"/>
          <w:sz w:val="32"/>
          <w:szCs w:val="32"/>
        </w:rPr>
        <w:t>张，养老机构护理型床位占比达</w:t>
      </w:r>
      <w:r>
        <w:rPr>
          <w:rFonts w:eastAsia="方正仿宋_GBK"/>
          <w:sz w:val="32"/>
          <w:szCs w:val="32"/>
        </w:rPr>
        <w:t>92%</w:t>
      </w:r>
      <w:r>
        <w:rPr>
          <w:rFonts w:hint="eastAsia" w:eastAsia="方正仿宋_GBK" w:cs="方正仿宋_GBK"/>
          <w:sz w:val="32"/>
          <w:szCs w:val="32"/>
        </w:rPr>
        <w:t>，标准化社区居家养老服务中心覆盖率达</w:t>
      </w:r>
      <w:r>
        <w:rPr>
          <w:rFonts w:eastAsia="方正仿宋_GBK"/>
          <w:sz w:val="32"/>
          <w:szCs w:val="32"/>
        </w:rPr>
        <w:t>100%</w:t>
      </w:r>
      <w:r>
        <w:rPr>
          <w:rFonts w:hint="eastAsia" w:eastAsia="方正仿宋_GBK" w:cs="方正仿宋_GBK"/>
          <w:sz w:val="32"/>
          <w:szCs w:val="32"/>
        </w:rPr>
        <w:t>，居住小区养老设施配建率达</w:t>
      </w:r>
      <w:r>
        <w:rPr>
          <w:rFonts w:eastAsia="方正仿宋_GBK"/>
          <w:sz w:val="32"/>
          <w:szCs w:val="32"/>
        </w:rPr>
        <w:t>100%</w:t>
      </w:r>
      <w:r>
        <w:rPr>
          <w:rFonts w:hint="eastAsia" w:eastAsia="方正仿宋_GBK" w:cs="方正仿宋_GBK"/>
          <w:sz w:val="32"/>
          <w:szCs w:val="32"/>
        </w:rPr>
        <w:t>。</w:t>
      </w:r>
    </w:p>
    <w:p w14:paraId="1796CA61">
      <w:pPr>
        <w:pStyle w:val="5"/>
        <w:spacing w:after="200" w:line="520" w:lineRule="exact"/>
        <w:jc w:val="center"/>
        <w:rPr>
          <w:rFonts w:ascii="方正楷体_GBK" w:hAnsi="方正楷体_GBK" w:eastAsia="方正楷体_GBK"/>
          <w:b w:val="0"/>
          <w:bCs w:val="0"/>
        </w:rPr>
      </w:pPr>
      <w:bookmarkStart w:id="157" w:name="_Toc60466304"/>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创新老龄服务发展模式</w:t>
      </w:r>
      <w:bookmarkEnd w:id="157"/>
    </w:p>
    <w:p w14:paraId="2F905776">
      <w:pPr>
        <w:spacing w:line="590" w:lineRule="exact"/>
        <w:ind w:firstLine="629"/>
        <w:rPr>
          <w:rFonts w:eastAsia="方正仿宋_GBK"/>
          <w:sz w:val="32"/>
          <w:szCs w:val="32"/>
        </w:rPr>
      </w:pPr>
      <w:r>
        <w:rPr>
          <w:rFonts w:hint="eastAsia" w:eastAsia="方正仿宋_GBK" w:cs="方正仿宋_GBK"/>
          <w:sz w:val="32"/>
          <w:szCs w:val="32"/>
        </w:rPr>
        <w:t>支持社会资本投资兴办养老机构，形成以社会力量为主体的养老服务格局。建立完善包括健康教育、预防保健、疾病诊治、康复护理、长期照护、安宁疗护的综合性、连续性老年健康服务体系。引导、规范多元市场主体进入养老市场，鼓励养老机构探索跨界养老商业模式。探索建立长期照护保障制度，开展长期护理保险试点工作，健全针对经济困难的高龄、失能老年人的补贴制度，发挥社会救助、慈善救济等补充作用。推动“互联网</w:t>
      </w:r>
      <w:r>
        <w:rPr>
          <w:rFonts w:eastAsia="方正仿宋_GBK"/>
          <w:sz w:val="32"/>
          <w:szCs w:val="32"/>
        </w:rPr>
        <w:t>+</w:t>
      </w:r>
      <w:r>
        <w:rPr>
          <w:rFonts w:hint="eastAsia" w:eastAsia="方正仿宋_GBK" w:cs="方正仿宋_GBK"/>
          <w:sz w:val="32"/>
          <w:szCs w:val="32"/>
        </w:rPr>
        <w:t>居家”和社区养老服务应用模式。完善智慧养老服务信息系统，依托社区治理网格，实现业务工作网上办理，服务质量实时监管，养老服务线上线下同步运行，实现老龄人口全程在线跟踪服务。</w:t>
      </w:r>
    </w:p>
    <w:p w14:paraId="3834CEDF">
      <w:pPr>
        <w:pStyle w:val="5"/>
        <w:spacing w:after="200" w:line="520" w:lineRule="exact"/>
        <w:jc w:val="center"/>
        <w:rPr>
          <w:rFonts w:ascii="方正楷体_GBK" w:hAnsi="方正楷体_GBK" w:eastAsia="方正楷体_GBK"/>
          <w:b w:val="0"/>
          <w:bCs w:val="0"/>
        </w:rPr>
      </w:pPr>
      <w:bookmarkStart w:id="158" w:name="_Toc60466305"/>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优化推广医养结合模式</w:t>
      </w:r>
      <w:bookmarkEnd w:id="158"/>
    </w:p>
    <w:p w14:paraId="4643D7D3">
      <w:pPr>
        <w:spacing w:line="590" w:lineRule="exact"/>
        <w:ind w:firstLine="629"/>
        <w:rPr>
          <w:rFonts w:eastAsia="方正仿宋_GBK"/>
          <w:sz w:val="32"/>
          <w:szCs w:val="32"/>
        </w:rPr>
      </w:pPr>
      <w:r>
        <w:rPr>
          <w:rFonts w:hint="eastAsia" w:eastAsia="方正仿宋_GBK" w:cs="方正仿宋_GBK"/>
          <w:sz w:val="32"/>
          <w:szCs w:val="32"/>
        </w:rPr>
        <w:t>建立首诊式家庭医生服务模式，提高家庭医生上门服务能力，提高老龄人口居家医养服务水平。制定为居家老人提供医疗护理服务清单和服务规范，力争纳入医保范围，保障基本卫生服务项目覆盖社区全体老人。建立社区医院和临近养老服务机构联动，提供常态化“巡诊式”、“出诊式”医疗卫生服务，对医疗护理能力不足的养老服务机构进行托底服务，签约服务率达</w:t>
      </w:r>
      <w:r>
        <w:rPr>
          <w:rFonts w:eastAsia="方正仿宋_GBK"/>
          <w:sz w:val="32"/>
          <w:szCs w:val="32"/>
        </w:rPr>
        <w:t>100%</w:t>
      </w:r>
      <w:r>
        <w:rPr>
          <w:rFonts w:hint="eastAsia" w:eastAsia="方正仿宋_GBK" w:cs="方正仿宋_GBK"/>
          <w:sz w:val="32"/>
          <w:szCs w:val="32"/>
        </w:rPr>
        <w:t>。</w:t>
      </w:r>
      <w:r>
        <w:rPr>
          <w:rFonts w:eastAsia="方正仿宋_GBK"/>
          <w:sz w:val="32"/>
          <w:szCs w:val="32"/>
        </w:rPr>
        <w:t> </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7F3D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D6A0F43">
            <w:pPr>
              <w:spacing w:line="520" w:lineRule="exact"/>
              <w:jc w:val="center"/>
              <w:rPr>
                <w:rFonts w:eastAsia="方正黑体_GBK"/>
                <w:sz w:val="24"/>
                <w:szCs w:val="24"/>
              </w:rPr>
            </w:pPr>
            <w:r>
              <w:rPr>
                <w:rFonts w:hint="eastAsia" w:eastAsia="方正黑体简体" w:cs="方正黑体简体"/>
                <w:sz w:val="24"/>
                <w:szCs w:val="24"/>
              </w:rPr>
              <w:t>专栏八：养老高质量工程</w:t>
            </w:r>
          </w:p>
        </w:tc>
      </w:tr>
      <w:tr w14:paraId="0D95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4E12B20B">
            <w:pPr>
              <w:spacing w:line="480" w:lineRule="exact"/>
              <w:jc w:val="left"/>
              <w:rPr>
                <w:sz w:val="22"/>
                <w:szCs w:val="22"/>
              </w:rPr>
            </w:pPr>
            <w:r>
              <w:rPr>
                <w:rFonts w:eastAsia="方正黑体_GBK"/>
                <w:sz w:val="24"/>
                <w:szCs w:val="24"/>
              </w:rPr>
              <w:t>1</w:t>
            </w:r>
            <w:r>
              <w:rPr>
                <w:rFonts w:hint="eastAsia" w:cs="宋体"/>
                <w:sz w:val="22"/>
                <w:szCs w:val="22"/>
              </w:rPr>
              <w:t>、优化养老服务资源布局工程：在老城，新建住宅按照每百户不少于</w:t>
            </w:r>
            <w:r>
              <w:rPr>
                <w:sz w:val="22"/>
                <w:szCs w:val="22"/>
              </w:rPr>
              <w:t>30</w:t>
            </w:r>
            <w:r>
              <w:rPr>
                <w:rFonts w:hint="eastAsia" w:cs="宋体"/>
                <w:sz w:val="22"/>
                <w:szCs w:val="22"/>
              </w:rPr>
              <w:t>平方米的标准配套建设养老服务用房，重点发展“嵌入式”居家养老服务中心和普惠型养老机构；在南部新城，建设</w:t>
            </w:r>
            <w:r>
              <w:rPr>
                <w:sz w:val="22"/>
                <w:szCs w:val="22"/>
              </w:rPr>
              <w:t>5</w:t>
            </w:r>
            <w:r>
              <w:rPr>
                <w:rFonts w:hint="eastAsia" w:cs="宋体"/>
                <w:sz w:val="22"/>
                <w:szCs w:val="22"/>
              </w:rPr>
              <w:t>个中型居家养老服务中心、</w:t>
            </w:r>
            <w:r>
              <w:rPr>
                <w:sz w:val="22"/>
                <w:szCs w:val="22"/>
              </w:rPr>
              <w:t>2</w:t>
            </w:r>
            <w:r>
              <w:rPr>
                <w:rFonts w:hint="eastAsia" w:cs="宋体"/>
                <w:sz w:val="22"/>
                <w:szCs w:val="22"/>
              </w:rPr>
              <w:t>个日托所、</w:t>
            </w:r>
            <w:r>
              <w:rPr>
                <w:sz w:val="22"/>
                <w:szCs w:val="22"/>
              </w:rPr>
              <w:t>3</w:t>
            </w:r>
            <w:r>
              <w:rPr>
                <w:rFonts w:hint="eastAsia" w:cs="宋体"/>
                <w:sz w:val="22"/>
                <w:szCs w:val="22"/>
              </w:rPr>
              <w:t>个社区养老院，重点引进大型养老集团建设老年人托养中心、养老机构、临终关怀项目</w:t>
            </w:r>
          </w:p>
          <w:p w14:paraId="735F1CFF">
            <w:pPr>
              <w:spacing w:line="480" w:lineRule="exact"/>
              <w:jc w:val="left"/>
              <w:rPr>
                <w:sz w:val="22"/>
                <w:szCs w:val="22"/>
              </w:rPr>
            </w:pPr>
            <w:r>
              <w:rPr>
                <w:sz w:val="22"/>
                <w:szCs w:val="22"/>
              </w:rPr>
              <w:t>2</w:t>
            </w:r>
            <w:r>
              <w:rPr>
                <w:rFonts w:hint="eastAsia" w:cs="宋体"/>
                <w:sz w:val="22"/>
                <w:szCs w:val="22"/>
              </w:rPr>
              <w:t>、养老信息服务平台建设工程：通过智慧眼捕捉、智慧脑处理、智慧手服务，建设养老服务质量指导中心，采取“政府购买服务</w:t>
            </w:r>
            <w:r>
              <w:rPr>
                <w:sz w:val="22"/>
                <w:szCs w:val="22"/>
              </w:rPr>
              <w:t>+</w:t>
            </w:r>
            <w:r>
              <w:rPr>
                <w:rFonts w:hint="eastAsia" w:cs="宋体"/>
                <w:sz w:val="22"/>
                <w:szCs w:val="22"/>
              </w:rPr>
              <w:t>委托第三方运营”方式建设运营区养老服务信息平台，提供</w:t>
            </w:r>
            <w:r>
              <w:rPr>
                <w:sz w:val="22"/>
                <w:szCs w:val="22"/>
              </w:rPr>
              <w:t>24</w:t>
            </w:r>
            <w:r>
              <w:rPr>
                <w:rFonts w:hint="eastAsia" w:cs="宋体"/>
                <w:sz w:val="22"/>
                <w:szCs w:val="22"/>
              </w:rPr>
              <w:t>小时呼叫服务，推动互联网</w:t>
            </w:r>
            <w:r>
              <w:rPr>
                <w:sz w:val="22"/>
                <w:szCs w:val="22"/>
              </w:rPr>
              <w:t>+</w:t>
            </w:r>
            <w:r>
              <w:rPr>
                <w:rFonts w:hint="eastAsia" w:cs="宋体"/>
                <w:sz w:val="22"/>
                <w:szCs w:val="22"/>
              </w:rPr>
              <w:t>居家和社区养老服务应用</w:t>
            </w:r>
          </w:p>
          <w:p w14:paraId="677605FF">
            <w:pPr>
              <w:spacing w:line="480" w:lineRule="exact"/>
              <w:jc w:val="left"/>
              <w:rPr>
                <w:rFonts w:eastAsia="方正黑体_GBK"/>
                <w:sz w:val="24"/>
                <w:szCs w:val="24"/>
              </w:rPr>
            </w:pPr>
            <w:r>
              <w:rPr>
                <w:sz w:val="22"/>
                <w:szCs w:val="22"/>
              </w:rPr>
              <w:t>3</w:t>
            </w:r>
            <w:r>
              <w:rPr>
                <w:rFonts w:hint="eastAsia" w:cs="宋体"/>
                <w:sz w:val="22"/>
                <w:szCs w:val="22"/>
              </w:rPr>
              <w:t>、医养结合工程：推动社区医院和临近养老服务机构签订协议，根据不同类型老人需求提供常态化的“巡诊式”或“出诊式”医疗卫生服务，对医疗护理能力不足的养老服务机构进行托底服务，实现签约服务率</w:t>
            </w:r>
            <w:r>
              <w:rPr>
                <w:sz w:val="22"/>
                <w:szCs w:val="22"/>
              </w:rPr>
              <w:t>100%</w:t>
            </w:r>
            <w:r>
              <w:rPr>
                <w:rFonts w:hint="eastAsia" w:cs="宋体"/>
                <w:sz w:val="22"/>
                <w:szCs w:val="22"/>
              </w:rPr>
              <w:t>；各街道至少建成</w:t>
            </w:r>
            <w:r>
              <w:rPr>
                <w:sz w:val="22"/>
                <w:szCs w:val="22"/>
              </w:rPr>
              <w:t>1</w:t>
            </w:r>
            <w:r>
              <w:rPr>
                <w:rFonts w:hint="eastAsia" w:cs="宋体"/>
                <w:sz w:val="22"/>
                <w:szCs w:val="22"/>
              </w:rPr>
              <w:t>个既有养老功能又具备健康管理、咨询和康复护理服务的社区居家养老综合护理中心</w:t>
            </w:r>
          </w:p>
        </w:tc>
      </w:tr>
    </w:tbl>
    <w:p w14:paraId="210321F7"/>
    <w:p w14:paraId="70FD6A55">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59" w:name="_Toc60466306"/>
      <w:r>
        <w:rPr>
          <w:rFonts w:hint="eastAsia" w:ascii="方正黑体_GBK" w:hAnsi="方正黑体_GBK" w:eastAsia="方正黑体_GBK" w:cs="方正黑体_GBK"/>
          <w:b w:val="0"/>
          <w:bCs w:val="0"/>
        </w:rPr>
        <w:t>第二十五章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实现更高质量的文体生活</w:t>
      </w:r>
      <w:bookmarkEnd w:id="159"/>
    </w:p>
    <w:p w14:paraId="514F8F5F">
      <w:pPr>
        <w:pStyle w:val="5"/>
        <w:spacing w:after="200" w:line="520" w:lineRule="exact"/>
        <w:jc w:val="center"/>
        <w:rPr>
          <w:rFonts w:ascii="方正楷体_GBK" w:hAnsi="方正楷体_GBK" w:eastAsia="方正楷体_GBK"/>
          <w:b w:val="0"/>
          <w:bCs w:val="0"/>
        </w:rPr>
      </w:pPr>
      <w:bookmarkStart w:id="160" w:name="_Toc6046630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完善公共文化服务体系</w:t>
      </w:r>
      <w:bookmarkEnd w:id="160"/>
    </w:p>
    <w:p w14:paraId="4798D81F">
      <w:pPr>
        <w:spacing w:line="590" w:lineRule="exact"/>
        <w:ind w:firstLine="629"/>
        <w:rPr>
          <w:rFonts w:eastAsia="方正仿宋_GBK"/>
          <w:sz w:val="32"/>
          <w:szCs w:val="32"/>
        </w:rPr>
      </w:pPr>
      <w:r>
        <w:rPr>
          <w:rFonts w:hint="eastAsia" w:eastAsia="方正仿宋_GBK" w:cs="方正仿宋_GBK"/>
          <w:sz w:val="32"/>
          <w:szCs w:val="32"/>
        </w:rPr>
        <w:t>实施文化体育惠民工程，优化提升区、街道、社区三级基层文体阵地网络。增添优质公共空间，新城片区高标准规划建设，老城片区高品质提升改造一批社区服务中心、文体广场，推动街区、园区、景区文体设施建设和功能提升。支持市场文化载体升级为综合性文化体验中心，构建覆盖全域、结构合理、功能健全、实用高效、多元参与的公共文化体育设施网络。到</w:t>
      </w:r>
      <w:r>
        <w:rPr>
          <w:rFonts w:eastAsia="方正仿宋_GBK"/>
          <w:sz w:val="32"/>
          <w:szCs w:val="32"/>
        </w:rPr>
        <w:t>2025</w:t>
      </w:r>
      <w:r>
        <w:rPr>
          <w:rFonts w:hint="eastAsia" w:eastAsia="方正仿宋_GBK" w:cs="方正仿宋_GBK"/>
          <w:sz w:val="32"/>
          <w:szCs w:val="32"/>
        </w:rPr>
        <w:t>年，人均公共文化体育设施面积达</w:t>
      </w:r>
      <w:r>
        <w:rPr>
          <w:rFonts w:eastAsia="方正仿宋_GBK"/>
          <w:sz w:val="32"/>
          <w:szCs w:val="32"/>
        </w:rPr>
        <w:t>2.2</w:t>
      </w:r>
      <w:r>
        <w:rPr>
          <w:rFonts w:hint="eastAsia" w:eastAsia="方正仿宋_GBK" w:cs="方正仿宋_GBK"/>
          <w:sz w:val="32"/>
          <w:szCs w:val="32"/>
        </w:rPr>
        <w:t>平方米，公共文化体育资源利用效率和综合效益超</w:t>
      </w:r>
      <w:r>
        <w:rPr>
          <w:rFonts w:eastAsia="方正仿宋_GBK"/>
          <w:sz w:val="32"/>
          <w:szCs w:val="32"/>
        </w:rPr>
        <w:t>90%</w:t>
      </w:r>
      <w:r>
        <w:rPr>
          <w:rFonts w:hint="eastAsia" w:eastAsia="方正仿宋_GBK" w:cs="方正仿宋_GBK"/>
          <w:sz w:val="32"/>
          <w:szCs w:val="32"/>
        </w:rPr>
        <w:t>。</w:t>
      </w:r>
    </w:p>
    <w:p w14:paraId="2FF01972">
      <w:pPr>
        <w:pStyle w:val="5"/>
        <w:spacing w:after="200" w:line="520" w:lineRule="exact"/>
        <w:jc w:val="center"/>
        <w:rPr>
          <w:rFonts w:ascii="方正楷体_GBK" w:hAnsi="方正楷体_GBK" w:eastAsia="方正楷体_GBK"/>
          <w:b w:val="0"/>
          <w:bCs w:val="0"/>
        </w:rPr>
      </w:pPr>
      <w:bookmarkStart w:id="161" w:name="_Toc6046630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提升文体设施使用效率</w:t>
      </w:r>
      <w:bookmarkEnd w:id="161"/>
    </w:p>
    <w:p w14:paraId="2A1CBB0C">
      <w:pPr>
        <w:spacing w:line="590" w:lineRule="exact"/>
        <w:ind w:firstLine="629"/>
        <w:rPr>
          <w:rFonts w:eastAsia="方正仿宋_GBK"/>
          <w:sz w:val="32"/>
          <w:szCs w:val="32"/>
        </w:rPr>
      </w:pPr>
      <w:r>
        <w:rPr>
          <w:rFonts w:hint="eastAsia" w:eastAsia="方正仿宋_GBK" w:cs="方正仿宋_GBK"/>
          <w:sz w:val="32"/>
          <w:szCs w:val="32"/>
        </w:rPr>
        <w:t>整合文体资源，建立健全公共文化体育资源配置和供给机制。增强秦淮区文化馆、图书馆总分馆服务功能，街道文体广场全覆盖。推动公共文化体育服务体系数字化建设，提高公共文化体育服务的科技含量，普及数字化服务管理模式，基本形成信息化全覆盖网络。建立文化场馆合作机制，实现街道图书馆“一卡通”，综合性体育健身运动场馆“一卡通”，实现全域博物馆、展览馆、园区景区等文化空间交流联动，提升“转角遇见”文化空间、沿秦淮河小剧场群使用效率，发挥文化传播功能。</w:t>
      </w:r>
    </w:p>
    <w:p w14:paraId="3CD90266">
      <w:pPr>
        <w:pStyle w:val="5"/>
        <w:spacing w:after="200" w:line="520" w:lineRule="exact"/>
        <w:jc w:val="center"/>
        <w:rPr>
          <w:rFonts w:ascii="方正楷体_GBK" w:hAnsi="方正楷体_GBK" w:eastAsia="方正楷体_GBK"/>
          <w:b w:val="0"/>
          <w:bCs w:val="0"/>
        </w:rPr>
      </w:pPr>
      <w:bookmarkStart w:id="162" w:name="_Toc6046630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扩大活动影响力参与度</w:t>
      </w:r>
      <w:bookmarkEnd w:id="162"/>
    </w:p>
    <w:p w14:paraId="65F5A5A3">
      <w:pPr>
        <w:spacing w:line="590" w:lineRule="exact"/>
        <w:ind w:firstLine="629"/>
        <w:rPr>
          <w:rFonts w:eastAsia="方正仿宋_GBK"/>
          <w:sz w:val="32"/>
          <w:szCs w:val="32"/>
        </w:rPr>
      </w:pPr>
      <w:r>
        <w:rPr>
          <w:rFonts w:hint="eastAsia" w:eastAsia="方正仿宋_GBK" w:cs="方正仿宋_GBK"/>
          <w:sz w:val="32"/>
          <w:szCs w:val="32"/>
        </w:rPr>
        <w:t>打造群众文化活动品牌，推动秦淮灯会、秦淮和谐大戏、秦淮之夏、都市文化节为代表的秦淮“四季歌”活动创新，打响“秦淮城墙马拉松”等体育品牌，扩大影响力。加大文化体育活动惠民力度，推进公共服务均衡协调发展，年均组织各类文化活动超过</w:t>
      </w:r>
      <w:r>
        <w:rPr>
          <w:rFonts w:eastAsia="方正仿宋_GBK"/>
          <w:sz w:val="32"/>
          <w:szCs w:val="32"/>
        </w:rPr>
        <w:t>1500</w:t>
      </w:r>
      <w:r>
        <w:rPr>
          <w:rFonts w:hint="eastAsia" w:eastAsia="方正仿宋_GBK" w:cs="方正仿宋_GBK"/>
          <w:sz w:val="32"/>
          <w:szCs w:val="32"/>
        </w:rPr>
        <w:t>场（次），体育活动</w:t>
      </w:r>
      <w:r>
        <w:rPr>
          <w:rFonts w:eastAsia="方正仿宋_GBK"/>
          <w:sz w:val="32"/>
          <w:szCs w:val="32"/>
        </w:rPr>
        <w:t>300</w:t>
      </w:r>
      <w:r>
        <w:rPr>
          <w:rFonts w:hint="eastAsia" w:eastAsia="方正仿宋_GBK" w:cs="方正仿宋_GBK"/>
          <w:sz w:val="32"/>
          <w:szCs w:val="32"/>
        </w:rPr>
        <w:t>场（次）。构建市民文化、机关文化、园区文化等群众文化共同体，巩固发展特色群众文体活动团队，推动团队活动市场化建设。加快“书香秦淮”建设，通过书香社区等活动，组织引导各方阅读资源和社会力量，营造“多读书、读好书、好读书”的良好氛围。</w:t>
      </w:r>
    </w:p>
    <w:p w14:paraId="49961DBD">
      <w:pPr>
        <w:pStyle w:val="5"/>
        <w:spacing w:after="200" w:line="520" w:lineRule="exact"/>
        <w:jc w:val="center"/>
        <w:rPr>
          <w:rFonts w:ascii="方正楷体_GBK" w:hAnsi="方正楷体_GBK" w:eastAsia="方正楷体_GBK"/>
          <w:b w:val="0"/>
          <w:bCs w:val="0"/>
        </w:rPr>
      </w:pPr>
      <w:bookmarkStart w:id="163" w:name="_Toc6046631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持续推进健康秦淮建设</w:t>
      </w:r>
      <w:bookmarkEnd w:id="163"/>
    </w:p>
    <w:p w14:paraId="005F22C0">
      <w:pPr>
        <w:spacing w:line="590" w:lineRule="exact"/>
        <w:ind w:firstLine="629"/>
        <w:rPr>
          <w:rFonts w:eastAsia="方正仿宋_GBK"/>
          <w:sz w:val="32"/>
          <w:szCs w:val="32"/>
        </w:rPr>
      </w:pPr>
      <w:r>
        <w:rPr>
          <w:rFonts w:hint="eastAsia" w:eastAsia="方正仿宋_GBK" w:cs="方正仿宋_GBK"/>
          <w:sz w:val="32"/>
          <w:szCs w:val="32"/>
        </w:rPr>
        <w:t>以建设体育强区为引领，广泛开展全民健身活动，建成投用南部新城全民健身中心，建成河头地区、双龙产业园区体育主题公园。推进“体医融合”、促进“体教融合”发展，加强体育、卫健、教育等部门协同，建立体医融和、体教融合部门联席会议制度。在全省率先启动依托医疗机构、国民体质监测站建设区、街、社区运动促进健康中心（站、点）试点工作，居民健康素养高于全省平均水平。促进鼓励青少年体育运动，开足开齐体育课，实现传统体育与校园体育有效衔接，突出轮滑、射箭、蹦床、女排、女篮等秦淮体育强项，促进优势体育项目进校园，实施“为市争光”计划。深入推进足球改革发展，建设全区青少年足球梯队。完善业余训练运动员入口、成长、出口机制，着力为国家培养体育后备人才。到</w:t>
      </w:r>
      <w:r>
        <w:rPr>
          <w:rFonts w:eastAsia="方正仿宋_GBK"/>
          <w:sz w:val="32"/>
          <w:szCs w:val="32"/>
        </w:rPr>
        <w:t>2025</w:t>
      </w:r>
      <w:r>
        <w:rPr>
          <w:rFonts w:hint="eastAsia" w:eastAsia="方正仿宋_GBK" w:cs="方正仿宋_GBK"/>
          <w:sz w:val="32"/>
          <w:szCs w:val="32"/>
        </w:rPr>
        <w:t>年，全区中小学生体质合格率稳定在</w:t>
      </w:r>
      <w:r>
        <w:rPr>
          <w:rFonts w:eastAsia="方正仿宋_GBK"/>
          <w:sz w:val="32"/>
          <w:szCs w:val="32"/>
        </w:rPr>
        <w:t>94%</w:t>
      </w:r>
      <w:r>
        <w:rPr>
          <w:rFonts w:hint="eastAsia" w:eastAsia="方正仿宋_GBK" w:cs="方正仿宋_GBK"/>
          <w:sz w:val="32"/>
          <w:szCs w:val="32"/>
        </w:rPr>
        <w:t>以上，体育锻炼人口比例达</w:t>
      </w:r>
      <w:r>
        <w:rPr>
          <w:rFonts w:eastAsia="方正仿宋_GBK"/>
          <w:sz w:val="32"/>
          <w:szCs w:val="32"/>
        </w:rPr>
        <w:t>43%</w:t>
      </w:r>
      <w:r>
        <w:rPr>
          <w:rFonts w:hint="eastAsia" w:eastAsia="方正仿宋_GBK" w:cs="方正仿宋_GBK"/>
          <w:sz w:val="32"/>
          <w:szCs w:val="32"/>
        </w:rPr>
        <w:t>，国民体质测试合格率超</w:t>
      </w:r>
      <w:r>
        <w:rPr>
          <w:rFonts w:eastAsia="方正仿宋_GBK"/>
          <w:sz w:val="32"/>
          <w:szCs w:val="32"/>
        </w:rPr>
        <w:t>93%</w:t>
      </w:r>
      <w:r>
        <w:rPr>
          <w:rFonts w:hint="eastAsia" w:eastAsia="方正仿宋_GBK" w:cs="方正仿宋_GBK"/>
          <w:sz w:val="32"/>
          <w:szCs w:val="32"/>
        </w:rPr>
        <w:t>。</w:t>
      </w:r>
    </w:p>
    <w:tbl>
      <w:tblPr>
        <w:tblStyle w:val="12"/>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0CBF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tcPr>
          <w:p w14:paraId="66E79280">
            <w:pPr>
              <w:spacing w:line="520" w:lineRule="exact"/>
              <w:jc w:val="center"/>
              <w:rPr>
                <w:rFonts w:eastAsia="方正黑体_GBK"/>
                <w:sz w:val="24"/>
                <w:szCs w:val="24"/>
              </w:rPr>
            </w:pPr>
            <w:r>
              <w:rPr>
                <w:rFonts w:hint="eastAsia" w:eastAsia="方正黑体简体" w:cs="方正黑体简体"/>
                <w:sz w:val="24"/>
                <w:szCs w:val="24"/>
              </w:rPr>
              <w:t>专栏九：文化体育高质量发展工程</w:t>
            </w:r>
          </w:p>
        </w:tc>
      </w:tr>
      <w:tr w14:paraId="6234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5000" w:type="pct"/>
          </w:tcPr>
          <w:p w14:paraId="4B959DBC">
            <w:pPr>
              <w:spacing w:line="460" w:lineRule="exact"/>
              <w:jc w:val="left"/>
              <w:rPr>
                <w:sz w:val="22"/>
                <w:szCs w:val="22"/>
              </w:rPr>
            </w:pPr>
            <w:r>
              <w:rPr>
                <w:sz w:val="22"/>
                <w:szCs w:val="22"/>
              </w:rPr>
              <w:t>1</w:t>
            </w:r>
            <w:r>
              <w:rPr>
                <w:rFonts w:hint="eastAsia" w:cs="宋体"/>
                <w:sz w:val="22"/>
                <w:szCs w:val="22"/>
              </w:rPr>
              <w:t>、文体阵地建设工程：建成南部新城艺术中心、南部新城全民健身中心、南京名人馆及配套、南京博物院故宫馆新馆建设；完成科举博物馆二期、南京城墙博物馆、市工人文化宫建设；拓展秦淮区文化馆、图书馆和“转角遇见”文化空间，完成</w:t>
            </w:r>
            <w:r>
              <w:rPr>
                <w:sz w:val="22"/>
                <w:szCs w:val="22"/>
              </w:rPr>
              <w:t>6</w:t>
            </w:r>
            <w:r>
              <w:rPr>
                <w:rFonts w:hint="eastAsia" w:cs="宋体"/>
                <w:sz w:val="22"/>
                <w:szCs w:val="22"/>
              </w:rPr>
              <w:t>个街道</w:t>
            </w:r>
            <w:r>
              <w:rPr>
                <w:sz w:val="22"/>
                <w:szCs w:val="22"/>
              </w:rPr>
              <w:t>24</w:t>
            </w:r>
            <w:r>
              <w:rPr>
                <w:rFonts w:hint="eastAsia" w:cs="宋体"/>
                <w:sz w:val="22"/>
                <w:szCs w:val="22"/>
              </w:rPr>
              <w:t>小时书屋建设，提升沿秦淮河小剧场群功能；在</w:t>
            </w:r>
            <w:r>
              <w:rPr>
                <w:sz w:val="22"/>
                <w:szCs w:val="22"/>
              </w:rPr>
              <w:t>12</w:t>
            </w:r>
            <w:r>
              <w:rPr>
                <w:rFonts w:hint="eastAsia" w:cs="宋体"/>
                <w:sz w:val="22"/>
                <w:szCs w:val="22"/>
              </w:rPr>
              <w:t>个街道建成不少于</w:t>
            </w:r>
            <w:r>
              <w:rPr>
                <w:sz w:val="22"/>
                <w:szCs w:val="22"/>
              </w:rPr>
              <w:t>5</w:t>
            </w:r>
            <w:r>
              <w:rPr>
                <w:rFonts w:hint="eastAsia" w:cs="宋体"/>
                <w:sz w:val="22"/>
                <w:szCs w:val="22"/>
              </w:rPr>
              <w:t>个体育项目的文体广场；鼓励驻区部队、院校、企业的文体活动场所有条件的向居民开放，推进文体阵地进一步向园区、街区、景区延伸；建成南部新城河头地区、双龙产业园区体育主题公园；年新建健身步道不少于</w:t>
            </w:r>
            <w:r>
              <w:rPr>
                <w:sz w:val="22"/>
                <w:szCs w:val="22"/>
              </w:rPr>
              <w:t>6</w:t>
            </w:r>
            <w:r>
              <w:rPr>
                <w:rFonts w:hint="eastAsia" w:cs="宋体"/>
                <w:sz w:val="22"/>
                <w:szCs w:val="22"/>
              </w:rPr>
              <w:t>公里；年新建健身小绿园</w:t>
            </w:r>
            <w:r>
              <w:rPr>
                <w:sz w:val="22"/>
                <w:szCs w:val="22"/>
              </w:rPr>
              <w:t>3</w:t>
            </w:r>
            <w:r>
              <w:rPr>
                <w:rFonts w:hint="eastAsia" w:cs="宋体"/>
                <w:sz w:val="22"/>
                <w:szCs w:val="22"/>
              </w:rPr>
              <w:t>个</w:t>
            </w:r>
          </w:p>
          <w:p w14:paraId="2A6E179C">
            <w:pPr>
              <w:spacing w:line="460" w:lineRule="exact"/>
              <w:jc w:val="left"/>
              <w:rPr>
                <w:sz w:val="22"/>
                <w:szCs w:val="22"/>
              </w:rPr>
            </w:pPr>
            <w:r>
              <w:rPr>
                <w:sz w:val="22"/>
                <w:szCs w:val="22"/>
              </w:rPr>
              <w:t>2</w:t>
            </w:r>
            <w:r>
              <w:rPr>
                <w:rFonts w:hint="eastAsia" w:cs="宋体"/>
                <w:sz w:val="22"/>
                <w:szCs w:val="22"/>
              </w:rPr>
              <w:t>、文体精品打造工程：实施文化品牌再创计划，创新“秦淮灯会、和谐大戏园、秦淮之夏社区艺术节、都市文化节”“四季歌”形式，打造文化惠民直通车；加快“书香秦淮”建设，通过开展书香社区、书香家庭、书香企业、书香机关等活动，营造“多读书、读好书、好读书”的良好氛围；进一步打响“秦淮城墙马拉松”等体育运动品牌，争创中国田协金牌赛事</w:t>
            </w:r>
          </w:p>
          <w:p w14:paraId="706E8760">
            <w:pPr>
              <w:spacing w:line="460" w:lineRule="exact"/>
              <w:jc w:val="left"/>
              <w:rPr>
                <w:sz w:val="22"/>
                <w:szCs w:val="22"/>
              </w:rPr>
            </w:pPr>
            <w:r>
              <w:rPr>
                <w:sz w:val="22"/>
                <w:szCs w:val="22"/>
              </w:rPr>
              <w:t>3</w:t>
            </w:r>
            <w:r>
              <w:rPr>
                <w:rFonts w:hint="eastAsia" w:cs="宋体"/>
                <w:sz w:val="22"/>
                <w:szCs w:val="22"/>
              </w:rPr>
              <w:t>、文化人才培养工程：实施高端文化人才引培计划，壮大公共文化政策研究和决策咨询队伍，建立健全重大文化项目首席专家制度；实施民间文化人才壮大计划，培养本土文化能人、民族民间文化传承人；拓展多种文化人才培养晋升渠道，重点实施技术型文化人才培训计划、管理型文化人才培训计划与服务型文化人才晋升计划</w:t>
            </w:r>
          </w:p>
          <w:p w14:paraId="03DBD36C">
            <w:pPr>
              <w:spacing w:line="460" w:lineRule="exact"/>
              <w:jc w:val="left"/>
              <w:rPr>
                <w:rFonts w:eastAsia="方正黑体_GBK"/>
                <w:sz w:val="24"/>
                <w:szCs w:val="24"/>
              </w:rPr>
            </w:pPr>
            <w:r>
              <w:rPr>
                <w:sz w:val="22"/>
                <w:szCs w:val="22"/>
              </w:rPr>
              <w:t>4</w:t>
            </w:r>
            <w:r>
              <w:rPr>
                <w:rFonts w:hint="eastAsia" w:cs="宋体"/>
                <w:sz w:val="22"/>
                <w:szCs w:val="22"/>
              </w:rPr>
              <w:t>、体育人才成长工程：顺应青少年体育运动发展规律，促进优势体育项目进校园，突出轮滑、射箭、蹦床、女排、女篮等秦淮体育强项，实施“为市争光”计划；完善业余训练运动员入口、成长、出口机制，每年向上一级运动队输送体育后备人才不少于</w:t>
            </w:r>
            <w:r>
              <w:rPr>
                <w:sz w:val="22"/>
                <w:szCs w:val="22"/>
              </w:rPr>
              <w:t>20</w:t>
            </w:r>
            <w:r>
              <w:rPr>
                <w:rFonts w:hint="eastAsia" w:cs="宋体"/>
                <w:sz w:val="22"/>
                <w:szCs w:val="22"/>
              </w:rPr>
              <w:t>人</w:t>
            </w:r>
          </w:p>
        </w:tc>
      </w:tr>
    </w:tbl>
    <w:p w14:paraId="4514C5B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64" w:name="_Toc60466311"/>
      <w:r>
        <w:rPr>
          <w:rFonts w:hint="eastAsia" w:ascii="方正黑体_GBK" w:hAnsi="方正黑体_GBK" w:eastAsia="方正黑体_GBK" w:cs="方正黑体_GBK"/>
          <w:b w:val="0"/>
          <w:bCs w:val="0"/>
        </w:rPr>
        <w:t>第二十六章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实现更高质量的就业创业</w:t>
      </w:r>
      <w:bookmarkEnd w:id="164"/>
    </w:p>
    <w:p w14:paraId="36B58050">
      <w:pPr>
        <w:pStyle w:val="5"/>
        <w:spacing w:after="200" w:line="520" w:lineRule="exact"/>
        <w:jc w:val="center"/>
        <w:rPr>
          <w:rFonts w:ascii="方正楷体_GBK" w:hAnsi="方正楷体_GBK" w:eastAsia="方正楷体_GBK"/>
          <w:b w:val="0"/>
          <w:bCs w:val="0"/>
        </w:rPr>
      </w:pPr>
      <w:bookmarkStart w:id="165" w:name="_Toc6046631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保障劳动人口就业创业</w:t>
      </w:r>
      <w:bookmarkEnd w:id="165"/>
    </w:p>
    <w:p w14:paraId="31490B6A">
      <w:pPr>
        <w:spacing w:line="590" w:lineRule="exact"/>
        <w:ind w:firstLine="629"/>
        <w:rPr>
          <w:rFonts w:eastAsia="方正仿宋_GBK"/>
          <w:sz w:val="32"/>
          <w:szCs w:val="32"/>
        </w:rPr>
      </w:pPr>
      <w:r>
        <w:rPr>
          <w:rFonts w:hint="eastAsia" w:eastAsia="方正仿宋_GBK" w:cs="方正仿宋_GBK"/>
          <w:sz w:val="32"/>
          <w:szCs w:val="32"/>
        </w:rPr>
        <w:t>坚持就业优先，发挥民营经济和中小微企业“就业容纳器”作用，培育新的就业增长点。做好创业创新服务保障，加强对灵活就业、新形态就业的政策支持，切实解决劳动者创业过程中融资难、税负重、门槛高等问题。加强就业信息监测平台和就业信息公共服务平台建设，提供公共就业信息服务。建立完善失业动态监测，适时发布预警信息和启动应急预案。到</w:t>
      </w:r>
      <w:r>
        <w:rPr>
          <w:rFonts w:eastAsia="方正仿宋_GBK"/>
          <w:sz w:val="32"/>
          <w:szCs w:val="32"/>
        </w:rPr>
        <w:t>2025</w:t>
      </w:r>
      <w:r>
        <w:rPr>
          <w:rFonts w:hint="eastAsia" w:eastAsia="方正仿宋_GBK" w:cs="方正仿宋_GBK"/>
          <w:sz w:val="32"/>
          <w:szCs w:val="32"/>
        </w:rPr>
        <w:t>年，新增城镇就业</w:t>
      </w:r>
      <w:r>
        <w:rPr>
          <w:rFonts w:eastAsia="方正仿宋_GBK"/>
          <w:sz w:val="32"/>
          <w:szCs w:val="32"/>
        </w:rPr>
        <w:t>14</w:t>
      </w:r>
      <w:r>
        <w:rPr>
          <w:rFonts w:hint="eastAsia" w:eastAsia="方正仿宋_GBK" w:cs="方正仿宋_GBK"/>
          <w:sz w:val="32"/>
          <w:szCs w:val="32"/>
        </w:rPr>
        <w:t>万人，实现再就业</w:t>
      </w:r>
      <w:r>
        <w:rPr>
          <w:rFonts w:eastAsia="方正仿宋_GBK"/>
          <w:sz w:val="32"/>
          <w:szCs w:val="32"/>
        </w:rPr>
        <w:t>6</w:t>
      </w:r>
      <w:r>
        <w:rPr>
          <w:rFonts w:hint="eastAsia" w:eastAsia="方正仿宋_GBK" w:cs="方正仿宋_GBK"/>
          <w:sz w:val="32"/>
          <w:szCs w:val="32"/>
        </w:rPr>
        <w:t>万人。加大创业资金支持，拓宽创业投融资渠道，及时兑现一次性创业补贴、创业岗位开发补贴和创业担保贷款贴息。加强创业孵化基地、创业园区和众创空间等新型创业平台建设，促进产业资源、创业资本、高端人才等创业创新要素和各类服务向创业平台聚集。到</w:t>
      </w:r>
      <w:r>
        <w:rPr>
          <w:rFonts w:eastAsia="方正仿宋_GBK"/>
          <w:sz w:val="32"/>
          <w:szCs w:val="32"/>
        </w:rPr>
        <w:t>2025</w:t>
      </w:r>
      <w:r>
        <w:rPr>
          <w:rFonts w:hint="eastAsia" w:eastAsia="方正仿宋_GBK" w:cs="方正仿宋_GBK"/>
          <w:sz w:val="32"/>
          <w:szCs w:val="32"/>
        </w:rPr>
        <w:t>年，力争累计培育自主创业者</w:t>
      </w:r>
      <w:r>
        <w:rPr>
          <w:rFonts w:eastAsia="方正仿宋_GBK"/>
          <w:sz w:val="32"/>
          <w:szCs w:val="32"/>
        </w:rPr>
        <w:t>2.5</w:t>
      </w:r>
      <w:r>
        <w:rPr>
          <w:rFonts w:hint="eastAsia" w:eastAsia="方正仿宋_GBK" w:cs="方正仿宋_GBK"/>
          <w:sz w:val="32"/>
          <w:szCs w:val="32"/>
        </w:rPr>
        <w:t>万人、创业带动就业</w:t>
      </w:r>
      <w:r>
        <w:rPr>
          <w:rFonts w:eastAsia="方正仿宋_GBK"/>
          <w:sz w:val="32"/>
          <w:szCs w:val="32"/>
        </w:rPr>
        <w:t>14</w:t>
      </w:r>
      <w:r>
        <w:rPr>
          <w:rFonts w:hint="eastAsia" w:eastAsia="方正仿宋_GBK" w:cs="方正仿宋_GBK"/>
          <w:sz w:val="32"/>
          <w:szCs w:val="32"/>
        </w:rPr>
        <w:t>万人。统筹做好重点群体就业。深入实施高校毕业生就业促进和创业引领计划，加强就业指导和就业见习。支持企业吸纳重点群体就业，规范公益岗位开发和管理。对就业困难人员实行实名制动态管理和分类帮扶，确保零就业家庭、最低生活保障家庭等困难家庭至少一人实现就业。到</w:t>
      </w:r>
      <w:r>
        <w:rPr>
          <w:rFonts w:eastAsia="方正仿宋_GBK"/>
          <w:sz w:val="32"/>
          <w:szCs w:val="32"/>
        </w:rPr>
        <w:t>2025</w:t>
      </w:r>
      <w:r>
        <w:rPr>
          <w:rFonts w:hint="eastAsia" w:eastAsia="方正仿宋_GBK" w:cs="方正仿宋_GBK"/>
          <w:sz w:val="32"/>
          <w:szCs w:val="32"/>
        </w:rPr>
        <w:t>年，累计帮扶就业困难人员就业达</w:t>
      </w:r>
      <w:r>
        <w:rPr>
          <w:rFonts w:eastAsia="方正仿宋_GBK"/>
          <w:sz w:val="32"/>
          <w:szCs w:val="32"/>
        </w:rPr>
        <w:t>9500</w:t>
      </w:r>
      <w:r>
        <w:rPr>
          <w:rFonts w:hint="eastAsia" w:eastAsia="方正仿宋_GBK" w:cs="方正仿宋_GBK"/>
          <w:sz w:val="32"/>
          <w:szCs w:val="32"/>
        </w:rPr>
        <w:t>人。</w:t>
      </w:r>
    </w:p>
    <w:p w14:paraId="08584B13">
      <w:pPr>
        <w:pStyle w:val="5"/>
        <w:spacing w:after="200" w:line="520" w:lineRule="exact"/>
        <w:jc w:val="center"/>
        <w:rPr>
          <w:rFonts w:ascii="方正楷体_GBK" w:hAnsi="方正楷体_GBK" w:eastAsia="方正楷体_GBK"/>
          <w:b w:val="0"/>
          <w:bCs w:val="0"/>
        </w:rPr>
      </w:pPr>
      <w:bookmarkStart w:id="166" w:name="_Toc6046631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提升劳动者就业技能</w:t>
      </w:r>
      <w:bookmarkEnd w:id="166"/>
    </w:p>
    <w:p w14:paraId="431D0E40">
      <w:pPr>
        <w:spacing w:line="590" w:lineRule="exact"/>
        <w:ind w:firstLine="629"/>
        <w:rPr>
          <w:rFonts w:eastAsia="方正仿宋_GBK"/>
          <w:sz w:val="32"/>
          <w:szCs w:val="32"/>
        </w:rPr>
      </w:pPr>
      <w:r>
        <w:rPr>
          <w:rFonts w:hint="eastAsia" w:eastAsia="方正仿宋_GBK" w:cs="方正仿宋_GBK"/>
          <w:sz w:val="32"/>
          <w:szCs w:val="32"/>
        </w:rPr>
        <w:t>强化企业在技能人才培训中的主体地位，完善以就业技能、岗位技能提升和创业为主的培训体系。推行职业技能培训制度，构建覆盖城乡全体劳动者、贯穿劳动者学习工作终身、适应劳动者和市场需求的职业培训制度，促进职业培训与市场就业相适应。完善市场配置资源、劳动者自主选择、政府购买服务和依法监管的职业培训工作机制，全方位提升人力资本质量和劳动者就业创业能力。深化职业技能培训体系建设和职称制度改革，大力培训技术技能人才队伍。对贫困家庭子女、未升学初高中毕业生、农民工、失业人员等实行免费职业培训。到</w:t>
      </w:r>
      <w:r>
        <w:rPr>
          <w:rFonts w:eastAsia="方正仿宋_GBK"/>
          <w:sz w:val="32"/>
          <w:szCs w:val="32"/>
        </w:rPr>
        <w:t>2025</w:t>
      </w:r>
      <w:r>
        <w:rPr>
          <w:rFonts w:hint="eastAsia" w:eastAsia="方正仿宋_GBK" w:cs="方正仿宋_GBK"/>
          <w:sz w:val="32"/>
          <w:szCs w:val="32"/>
        </w:rPr>
        <w:t>年，累计开展各类职业技能培训</w:t>
      </w:r>
      <w:r>
        <w:rPr>
          <w:rFonts w:eastAsia="方正仿宋_GBK"/>
          <w:sz w:val="32"/>
          <w:szCs w:val="32"/>
        </w:rPr>
        <w:t>12</w:t>
      </w:r>
      <w:r>
        <w:rPr>
          <w:rFonts w:hint="eastAsia" w:eastAsia="方正仿宋_GBK" w:cs="方正仿宋_GBK"/>
          <w:sz w:val="32"/>
          <w:szCs w:val="32"/>
        </w:rPr>
        <w:t>万人次，新建博士后工作站</w:t>
      </w:r>
      <w:r>
        <w:rPr>
          <w:rFonts w:eastAsia="方正仿宋_GBK"/>
          <w:sz w:val="32"/>
          <w:szCs w:val="32"/>
        </w:rPr>
        <w:t>8</w:t>
      </w:r>
      <w:r>
        <w:rPr>
          <w:rFonts w:hint="eastAsia" w:eastAsia="方正仿宋_GBK" w:cs="方正仿宋_GBK"/>
          <w:sz w:val="32"/>
          <w:szCs w:val="32"/>
        </w:rPr>
        <w:t>家、新增高技能人才</w:t>
      </w:r>
      <w:r>
        <w:rPr>
          <w:rFonts w:eastAsia="方正仿宋_GBK"/>
          <w:sz w:val="32"/>
          <w:szCs w:val="32"/>
        </w:rPr>
        <w:t>7600</w:t>
      </w:r>
      <w:r>
        <w:rPr>
          <w:rFonts w:hint="eastAsia" w:eastAsia="方正仿宋_GBK" w:cs="方正仿宋_GBK"/>
          <w:sz w:val="32"/>
          <w:szCs w:val="32"/>
        </w:rPr>
        <w:t>人、新增初级职称以上专业技术人才</w:t>
      </w:r>
      <w:r>
        <w:rPr>
          <w:rFonts w:eastAsia="方正仿宋_GBK"/>
          <w:sz w:val="32"/>
          <w:szCs w:val="32"/>
        </w:rPr>
        <w:t>1</w:t>
      </w:r>
      <w:r>
        <w:rPr>
          <w:rFonts w:hint="eastAsia" w:eastAsia="方正仿宋_GBK" w:cs="方正仿宋_GBK"/>
          <w:sz w:val="32"/>
          <w:szCs w:val="32"/>
        </w:rPr>
        <w:t>万人以上。</w:t>
      </w:r>
    </w:p>
    <w:p w14:paraId="4178DF30">
      <w:pPr>
        <w:pStyle w:val="5"/>
        <w:spacing w:after="200" w:line="520" w:lineRule="exact"/>
        <w:jc w:val="center"/>
        <w:rPr>
          <w:rFonts w:ascii="方正楷体_GBK" w:hAnsi="方正楷体_GBK" w:eastAsia="方正楷体_GBK"/>
          <w:b w:val="0"/>
          <w:bCs w:val="0"/>
        </w:rPr>
      </w:pPr>
      <w:bookmarkStart w:id="167" w:name="_Toc6046631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建设产业工人队伍</w:t>
      </w:r>
      <w:bookmarkEnd w:id="167"/>
    </w:p>
    <w:p w14:paraId="7A6130AE">
      <w:pPr>
        <w:spacing w:line="590" w:lineRule="exact"/>
        <w:ind w:firstLine="629"/>
        <w:rPr>
          <w:rFonts w:eastAsia="方正仿宋_GBK"/>
          <w:sz w:val="32"/>
          <w:szCs w:val="32"/>
        </w:rPr>
      </w:pPr>
      <w:r>
        <w:rPr>
          <w:rFonts w:hint="eastAsia" w:eastAsia="方正仿宋_GBK" w:cs="方正仿宋_GBK"/>
          <w:sz w:val="32"/>
          <w:szCs w:val="32"/>
        </w:rPr>
        <w:t>按照政治上保证、制度上落实、素质上提高、权益上维护的总体思路，加快建设知识型、技能型、创新型产业工人队伍。加强党对产业工人队伍的领导，把握为实现中华民族伟大复兴中国梦而奋斗的工人运动时代主题，积极营造劳动光荣、技能宝贵、创造伟大的浓厚社会氛围，着力提升产业工人素质能力，团结动员产业工人在秦淮高质量发展中建功立业。提高产业工人的经济、政治、文化、社会地位，实现体面劳动、舒心工作、全面发展。积极稳妥推进产业工人队伍建设改革，健全产业工人保障制度，保护产业工人合法权益，造就一支有理想守信念、懂技术会创新、敢担当讲奉献的高素质秦淮产业工人队伍。</w:t>
      </w:r>
    </w:p>
    <w:p w14:paraId="1F50821D">
      <w:pPr>
        <w:pStyle w:val="5"/>
        <w:spacing w:after="200" w:line="520" w:lineRule="exact"/>
        <w:jc w:val="center"/>
        <w:rPr>
          <w:rFonts w:ascii="方正楷体_GBK" w:hAnsi="方正楷体_GBK" w:eastAsia="方正楷体_GBK"/>
          <w:b w:val="0"/>
          <w:bCs w:val="0"/>
        </w:rPr>
      </w:pPr>
      <w:bookmarkStart w:id="168" w:name="_Toc60466315"/>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优化和谐劳动关系</w:t>
      </w:r>
      <w:bookmarkEnd w:id="168"/>
    </w:p>
    <w:p w14:paraId="35CD8C21">
      <w:pPr>
        <w:spacing w:line="590" w:lineRule="exact"/>
        <w:ind w:firstLine="629"/>
        <w:rPr>
          <w:rFonts w:eastAsia="方正仿宋_GBK"/>
          <w:sz w:val="32"/>
          <w:szCs w:val="32"/>
        </w:rPr>
      </w:pPr>
      <w:r>
        <w:rPr>
          <w:rFonts w:hint="eastAsia" w:eastAsia="方正仿宋_GBK" w:cs="方正仿宋_GBK"/>
          <w:sz w:val="32"/>
          <w:szCs w:val="32"/>
        </w:rPr>
        <w:t>深入推行劳动合同制度，完善劳动用工备案制度，巩固大中型企业劳动合同签订率，提高小微企业和农民工劳动合同签订率，改善劳动合同履行质量。完善劳动人事争议调解制度，加强专业性劳动人事争议调解工作，加大基层调解规范化建设力度，完善劳动人事争议多元处理机制。加强劳动保障监察执法能力建设，落实随机抽取检查对象、随机选派执法检查人员的“双随机”监督检查制度。完善劳动保障监察执法程序，全面落实执法责任制，健全劳动保障监察执法长效机制。提升劳动者健康素质，全面开展职业健康服务，落实职业健康检查制度，加强职业病防治，强化职业劳动安全教育。</w:t>
      </w:r>
    </w:p>
    <w:p w14:paraId="3D89FC30">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69" w:name="_Toc60466316"/>
      <w:r>
        <w:rPr>
          <w:rFonts w:hint="eastAsia" w:ascii="方正黑体_GBK" w:hAnsi="方正黑体_GBK" w:eastAsia="方正黑体_GBK" w:cs="方正黑体_GBK"/>
          <w:b w:val="0"/>
          <w:bCs w:val="0"/>
        </w:rPr>
        <w:t>第二十七章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健全多层次社会保障体系</w:t>
      </w:r>
      <w:bookmarkEnd w:id="169"/>
    </w:p>
    <w:p w14:paraId="2313E48D">
      <w:pPr>
        <w:pStyle w:val="5"/>
        <w:spacing w:after="200" w:line="520" w:lineRule="exact"/>
        <w:jc w:val="center"/>
        <w:rPr>
          <w:rFonts w:ascii="方正楷体_GBK" w:hAnsi="方正楷体_GBK" w:eastAsia="方正楷体_GBK"/>
          <w:b w:val="0"/>
          <w:bCs w:val="0"/>
        </w:rPr>
      </w:pPr>
      <w:bookmarkStart w:id="170" w:name="_Toc6046631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落实全民参保计划</w:t>
      </w:r>
      <w:bookmarkEnd w:id="170"/>
    </w:p>
    <w:p w14:paraId="5E37E42C">
      <w:pPr>
        <w:spacing w:line="590" w:lineRule="exact"/>
        <w:ind w:firstLine="629"/>
        <w:rPr>
          <w:rFonts w:eastAsia="方正仿宋_GBK"/>
          <w:sz w:val="32"/>
          <w:szCs w:val="32"/>
        </w:rPr>
      </w:pPr>
      <w:r>
        <w:rPr>
          <w:rFonts w:hint="eastAsia" w:eastAsia="方正仿宋_GBK" w:cs="方正仿宋_GBK"/>
          <w:sz w:val="32"/>
          <w:szCs w:val="32"/>
        </w:rPr>
        <w:t>实现社会保障精准扩面，推进企业职工应保尽保和灵活就业人员等各类重点群体参保全覆盖。细化社会保险经办服务，落实社保转移接续、基本养老保险全国统筹，基本医疗保险、失业保险、工伤保险省级统筹。完善重大疾病医疗保险和救助制度，落实异地就医结算。依托金保二期工程信息系统，落实企业社会保险费缴纳政策。到</w:t>
      </w:r>
      <w:r>
        <w:rPr>
          <w:rFonts w:eastAsia="方正仿宋_GBK"/>
          <w:sz w:val="32"/>
          <w:szCs w:val="32"/>
        </w:rPr>
        <w:t>2025</w:t>
      </w:r>
      <w:r>
        <w:rPr>
          <w:rFonts w:hint="eastAsia" w:eastAsia="方正仿宋_GBK" w:cs="方正仿宋_GBK"/>
          <w:sz w:val="32"/>
          <w:szCs w:val="32"/>
        </w:rPr>
        <w:t>年，城乡基本社会保险参保缴费率超</w:t>
      </w:r>
      <w:r>
        <w:rPr>
          <w:rFonts w:eastAsia="方正仿宋_GBK"/>
          <w:sz w:val="32"/>
          <w:szCs w:val="32"/>
        </w:rPr>
        <w:t>90%</w:t>
      </w:r>
      <w:r>
        <w:rPr>
          <w:rFonts w:hint="eastAsia" w:eastAsia="方正仿宋_GBK" w:cs="方正仿宋_GBK"/>
          <w:sz w:val="32"/>
          <w:szCs w:val="32"/>
        </w:rPr>
        <w:t>。</w:t>
      </w:r>
    </w:p>
    <w:p w14:paraId="0442295C">
      <w:pPr>
        <w:pStyle w:val="5"/>
        <w:spacing w:after="200" w:line="520" w:lineRule="exact"/>
        <w:jc w:val="center"/>
        <w:rPr>
          <w:rFonts w:ascii="方正楷体_GBK" w:hAnsi="方正楷体_GBK" w:eastAsia="方正楷体_GBK"/>
          <w:b w:val="0"/>
          <w:bCs w:val="0"/>
        </w:rPr>
      </w:pPr>
      <w:bookmarkStart w:id="171" w:name="_Toc6046631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健全完善救助体系</w:t>
      </w:r>
      <w:bookmarkEnd w:id="171"/>
    </w:p>
    <w:p w14:paraId="17455643">
      <w:pPr>
        <w:spacing w:line="590" w:lineRule="exact"/>
        <w:ind w:firstLine="629"/>
        <w:rPr>
          <w:rFonts w:eastAsia="方正仿宋_GBK"/>
          <w:sz w:val="32"/>
          <w:szCs w:val="32"/>
        </w:rPr>
      </w:pPr>
      <w:r>
        <w:rPr>
          <w:rFonts w:hint="eastAsia" w:eastAsia="方正仿宋_GBK" w:cs="方正仿宋_GBK"/>
          <w:sz w:val="32"/>
          <w:szCs w:val="32"/>
        </w:rPr>
        <w:t>增强社会救助能力，提升社会救助水平。打造全区统一的社会救助信息平台，实行清单管理，完善社会救助家庭情况核查机制，实现救助信息互通、救助政策统筹、救助服务精准。加大社会救助信息公开力度，加快建立社会救助风险监测预警机制，建立被救助人群诚信体系。积极培育社会救助领域的社会工作服务机构和专业社会工作人才，加大政府购买服务力度，形成分层分类的救助制度体系，完善社会救助服务多元供给格局。以社区、社会团体为依托，广泛发动社会各方面的力量，建立社区服务志愿者活动组织，开展多层次、多形式的互助互济活动。</w:t>
      </w:r>
    </w:p>
    <w:p w14:paraId="6D8259E8">
      <w:pPr>
        <w:pStyle w:val="5"/>
        <w:spacing w:after="200" w:line="520" w:lineRule="exact"/>
        <w:jc w:val="center"/>
        <w:rPr>
          <w:rFonts w:ascii="方正楷体_GBK" w:hAnsi="方正楷体_GBK" w:eastAsia="方正楷体_GBK"/>
          <w:b w:val="0"/>
          <w:bCs w:val="0"/>
        </w:rPr>
      </w:pPr>
      <w:bookmarkStart w:id="172" w:name="_Toc6046631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完善住房保障体系</w:t>
      </w:r>
      <w:bookmarkEnd w:id="172"/>
    </w:p>
    <w:p w14:paraId="6F646984">
      <w:pPr>
        <w:spacing w:line="590" w:lineRule="exact"/>
        <w:ind w:firstLine="629"/>
        <w:rPr>
          <w:rFonts w:eastAsia="方正仿宋_GBK"/>
          <w:sz w:val="32"/>
          <w:szCs w:val="32"/>
        </w:rPr>
      </w:pPr>
      <w:r>
        <w:rPr>
          <w:rFonts w:hint="eastAsia" w:eastAsia="方正仿宋_GBK" w:cs="方正仿宋_GBK"/>
          <w:sz w:val="32"/>
          <w:szCs w:val="32"/>
        </w:rPr>
        <w:t>分类指导、统筹推进，全面完成棚户区改造任务，有效改善非成套住房条件，完善住房保障体系。建立危旧房信息管理系统，开展分类治理。加快保障性住房建设，观门口、杨庄北、中牌楼项目实现竣工。推进人才住房建设，采取租赁住房、企业自筹等多种形式筹集人才住房。探索面向百姓居民的城市有机更新模式，运用翻复建、留改拆、消险改造、征收安置等多种形式，提升居民感知度和满意度。推广小西湖渐进更新模式，推进石榴新村片区试点项目建设，加快推进大阳沟、御河新村、毛家苑片区等项目建设，因地制宜地提升群众生活品质。</w:t>
      </w:r>
    </w:p>
    <w:p w14:paraId="427F30E7">
      <w:pPr>
        <w:pStyle w:val="5"/>
        <w:spacing w:after="200" w:line="520" w:lineRule="exact"/>
        <w:jc w:val="center"/>
        <w:rPr>
          <w:rFonts w:ascii="方正楷体_GBK" w:hAnsi="方正楷体_GBK" w:eastAsia="方正楷体_GBK"/>
          <w:b w:val="0"/>
          <w:bCs w:val="0"/>
        </w:rPr>
      </w:pPr>
      <w:bookmarkStart w:id="173" w:name="_Toc6046632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加强残疾人帮扶保障</w:t>
      </w:r>
      <w:bookmarkEnd w:id="173"/>
    </w:p>
    <w:p w14:paraId="46FEBB4B">
      <w:pPr>
        <w:spacing w:line="590" w:lineRule="exact"/>
        <w:ind w:firstLine="629"/>
        <w:rPr>
          <w:rFonts w:eastAsia="方正仿宋_GBK"/>
          <w:sz w:val="32"/>
          <w:szCs w:val="32"/>
        </w:rPr>
      </w:pPr>
      <w:r>
        <w:rPr>
          <w:rFonts w:hint="eastAsia" w:eastAsia="方正仿宋_GBK" w:cs="方正仿宋_GBK"/>
          <w:sz w:val="32"/>
          <w:szCs w:val="32"/>
        </w:rPr>
        <w:t>完善残疾人社会保障和服务体系，实现残疾人社会保险全覆盖。改善残疾人生存和发展状况，保障基本生活和劳动就业权益。有效提高残疾人受教育水平，丰富文化体育生活，改善无障碍环境，提高科学文化素质和法律意识。规范残疾人康复服务体系，社会帮扶助残氛围更加浓厚。</w:t>
      </w:r>
    </w:p>
    <w:p w14:paraId="788926F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74" w:name="_Toc60466321"/>
      <w:r>
        <w:rPr>
          <w:rFonts w:hint="eastAsia" w:ascii="方正黑体_GBK" w:hAnsi="方正黑体_GBK" w:eastAsia="方正黑体_GBK" w:cs="方正黑体_GBK"/>
          <w:b w:val="0"/>
          <w:bCs w:val="0"/>
        </w:rPr>
        <w:t>第二十八章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促进妇女儿童青少年发展</w:t>
      </w:r>
      <w:bookmarkEnd w:id="174"/>
    </w:p>
    <w:p w14:paraId="0B054CE1">
      <w:pPr>
        <w:pStyle w:val="5"/>
        <w:spacing w:after="200" w:line="520" w:lineRule="exact"/>
        <w:jc w:val="center"/>
        <w:rPr>
          <w:rFonts w:ascii="方正楷体_GBK" w:hAnsi="方正楷体_GBK" w:eastAsia="方正楷体_GBK"/>
          <w:b w:val="0"/>
          <w:bCs w:val="0"/>
        </w:rPr>
      </w:pPr>
      <w:bookmarkStart w:id="175" w:name="_Toc6046632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提升妇女发展环境</w:t>
      </w:r>
      <w:bookmarkEnd w:id="175"/>
    </w:p>
    <w:p w14:paraId="1081341F">
      <w:pPr>
        <w:spacing w:line="590" w:lineRule="exact"/>
        <w:ind w:firstLine="629"/>
        <w:rPr>
          <w:rFonts w:eastAsia="方正仿宋_GBK"/>
          <w:sz w:val="32"/>
          <w:szCs w:val="32"/>
        </w:rPr>
      </w:pPr>
      <w:r>
        <w:rPr>
          <w:rFonts w:hint="eastAsia" w:eastAsia="方正仿宋_GBK" w:cs="方正仿宋_GBK"/>
          <w:sz w:val="32"/>
          <w:szCs w:val="32"/>
        </w:rPr>
        <w:t>落实促进男女平等的法规政策，构建文明先进的性别文化，营造良好的社会环境，促进两性和谐发展。促进妇女在家庭建设中的作用发挥，完善支持家庭发展的政策和服务体系。完善计划生育奖励假制度和配偶陪产假制度。建立家事案件婚姻危机干预联动机制，保障婚姻家事妇女儿童人身权益。拓展女性参与社会治理路径，提升妇女经济参与度和贡献度。提高妇幼健康服务能力，提高孕龄妇女婚孕检率，规范孕妇健康管理，进一步降低出生缺陷发病率和剖宫产率，控制孕产妇死亡率，提高出生人口素质。实施妇幼重大公共卫生服务项目，强化出生缺陷综合防治和残疾儿童康复，提升妇女儿童健康保障水平。继续做好以宫颈癌和乳腺癌筛等常见妇女病防治工作，不断扩展筛查人群范围。</w:t>
      </w:r>
    </w:p>
    <w:p w14:paraId="49AFF996">
      <w:pPr>
        <w:pStyle w:val="5"/>
        <w:spacing w:after="200" w:line="520" w:lineRule="exact"/>
        <w:jc w:val="center"/>
        <w:rPr>
          <w:rFonts w:ascii="方正楷体_GBK" w:hAnsi="方正楷体_GBK" w:eastAsia="方正楷体_GBK"/>
          <w:b w:val="0"/>
          <w:bCs w:val="0"/>
        </w:rPr>
      </w:pPr>
      <w:bookmarkStart w:id="176" w:name="_Toc6046632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拓展儿童发展空间</w:t>
      </w:r>
      <w:bookmarkEnd w:id="176"/>
    </w:p>
    <w:p w14:paraId="33AD03E2">
      <w:pPr>
        <w:spacing w:line="590" w:lineRule="exact"/>
        <w:ind w:firstLine="629"/>
        <w:rPr>
          <w:rFonts w:eastAsia="方正仿宋_GBK"/>
          <w:sz w:val="32"/>
          <w:szCs w:val="32"/>
        </w:rPr>
      </w:pPr>
      <w:r>
        <w:rPr>
          <w:rFonts w:hint="eastAsia" w:eastAsia="方正仿宋_GBK" w:cs="方正仿宋_GBK"/>
          <w:sz w:val="32"/>
          <w:szCs w:val="32"/>
        </w:rPr>
        <w:t>践行儿童友好城市理念，从政策友好、服务友好、人文友好、环境友好等方面推进儿童友好城市建设。实施</w:t>
      </w:r>
      <w:r>
        <w:rPr>
          <w:rFonts w:eastAsia="方正仿宋_GBK"/>
          <w:sz w:val="32"/>
          <w:szCs w:val="32"/>
        </w:rPr>
        <w:t>0-3</w:t>
      </w:r>
      <w:r>
        <w:rPr>
          <w:rFonts w:hint="eastAsia" w:eastAsia="方正仿宋_GBK" w:cs="方正仿宋_GBK"/>
          <w:sz w:val="32"/>
          <w:szCs w:val="32"/>
        </w:rPr>
        <w:t>岁普惠托育服务能力提升工程，推进普惠托育服务机构设施建设。推动学前教育普及普惠优质发展，继续提升幼儿在公办和普惠性民办幼儿园就学比例，为符合条件的普惠性幼儿园在园儿童提供学前教育资助。通过医疗康复、无障碍改造、师资培训和学前教育资助制度等措施，帮助具有普通学前教育能力的残疾儿童在普通幼儿园接受普惠性学前教育，加大对区残障儿童少年随班就读指导中心建设。引导和鼓励社会力量举办非营利性妇女儿童医院。加强儿童健康干预和儿科诊疗能力建设，为</w:t>
      </w:r>
      <w:r>
        <w:rPr>
          <w:rFonts w:eastAsia="方正仿宋_GBK"/>
          <w:sz w:val="32"/>
          <w:szCs w:val="32"/>
        </w:rPr>
        <w:t>0-6</w:t>
      </w:r>
      <w:r>
        <w:rPr>
          <w:rFonts w:hint="eastAsia" w:eastAsia="方正仿宋_GBK" w:cs="方正仿宋_GBK"/>
          <w:sz w:val="32"/>
          <w:szCs w:val="32"/>
        </w:rPr>
        <w:t>岁儿童提供健康管理和预防接种。在大型公共场所、公共交通工具、旅游景区景点等设置母婴室或婴儿护理台，保障母婴权益。完善未成年人保护和儿童福利体系，加大困境儿童保障。</w:t>
      </w:r>
    </w:p>
    <w:p w14:paraId="17C10DFF">
      <w:pPr>
        <w:pStyle w:val="5"/>
        <w:spacing w:after="200" w:line="520" w:lineRule="exact"/>
        <w:jc w:val="center"/>
        <w:rPr>
          <w:rFonts w:ascii="方正楷体_GBK" w:hAnsi="方正楷体_GBK" w:eastAsia="方正楷体_GBK"/>
          <w:b w:val="0"/>
          <w:bCs w:val="0"/>
        </w:rPr>
      </w:pPr>
      <w:bookmarkStart w:id="177" w:name="_Toc60466324"/>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优化青年发展服务</w:t>
      </w:r>
      <w:bookmarkEnd w:id="177"/>
    </w:p>
    <w:p w14:paraId="40E4EB47">
      <w:pPr>
        <w:spacing w:line="590" w:lineRule="exact"/>
        <w:ind w:firstLine="629"/>
        <w:rPr>
          <w:rFonts w:eastAsia="方正仿宋_GBK"/>
          <w:sz w:val="32"/>
          <w:szCs w:val="32"/>
        </w:rPr>
      </w:pPr>
      <w:r>
        <w:rPr>
          <w:rFonts w:hint="eastAsia" w:eastAsia="方正仿宋_GBK" w:cs="方正仿宋_GBK"/>
          <w:sz w:val="32"/>
          <w:szCs w:val="32"/>
        </w:rPr>
        <w:t>聚焦青年群体发展，加强青年理想信念教育，开展“青年大学习”行动，建立“青年学习社”等交流平台。完善青年先进典型常态化选树机制。统筹发挥青年志愿服务队伍作用，鼓励青年开展学雷锋、敬老、助残、大型活动赛事保障、“青春闪亮”系列等多重形式志愿服务实践活动。深入开展网络素养教育，引导青年安全用网、阳光用网和理性上网。组织大中专学生参与暑期文化科技卫生社会实践活动、志愿服务，持续开展大学生“进机关进园区进企业进社区”岗位实习计划。加强青年就业服务，完善青年创业服务体系，推动青年投身创新创业实践。到</w:t>
      </w:r>
      <w:r>
        <w:rPr>
          <w:rFonts w:eastAsia="方正仿宋_GBK"/>
          <w:sz w:val="32"/>
          <w:szCs w:val="32"/>
        </w:rPr>
        <w:t xml:space="preserve"> 2025 </w:t>
      </w:r>
      <w:r>
        <w:rPr>
          <w:rFonts w:hint="eastAsia" w:eastAsia="方正仿宋_GBK" w:cs="方正仿宋_GBK"/>
          <w:sz w:val="32"/>
          <w:szCs w:val="32"/>
        </w:rPr>
        <w:t>年，富有秦淮特色的青年发展政策和工作机制更加完善，青年友好型社会环境不断优化，青年思想政治素养和全面发展水平显著提升，青年在“强富美高”新秦淮的建设中的参与度、贡献度明显提高，成为担当民族复兴大任的时代新人。</w:t>
      </w:r>
      <w:r>
        <w:rPr>
          <w:rFonts w:eastAsia="方正仿宋_GBK"/>
          <w:sz w:val="32"/>
          <w:szCs w:val="32"/>
        </w:rPr>
        <w:t xml:space="preserve"> </w:t>
      </w:r>
    </w:p>
    <w:p w14:paraId="1D891E27">
      <w:pPr>
        <w:spacing w:line="520" w:lineRule="exact"/>
        <w:ind w:firstLine="640" w:firstLineChars="200"/>
        <w:rPr>
          <w:rFonts w:eastAsia="仿宋"/>
          <w:sz w:val="32"/>
          <w:szCs w:val="32"/>
        </w:rPr>
      </w:pPr>
    </w:p>
    <w:p w14:paraId="6A767E9D">
      <w:pPr>
        <w:pStyle w:val="2"/>
      </w:pPr>
    </w:p>
    <w:p w14:paraId="1EC0720C">
      <w:pPr>
        <w:pStyle w:val="3"/>
        <w:keepNext w:val="0"/>
        <w:keepLines w:val="0"/>
        <w:spacing w:before="0" w:after="0" w:line="700" w:lineRule="exact"/>
        <w:jc w:val="center"/>
        <w:rPr>
          <w:rFonts w:ascii="方正小标宋_GBK" w:eastAsia="方正小标宋_GBK"/>
          <w:b w:val="0"/>
          <w:bCs w:val="0"/>
        </w:rPr>
      </w:pPr>
      <w:bookmarkStart w:id="178" w:name="_Toc60466325"/>
      <w:r>
        <w:rPr>
          <w:rFonts w:hint="eastAsia" w:ascii="方正小标宋_GBK" w:eastAsia="方正小标宋_GBK" w:cs="方正小标宋_GBK"/>
          <w:b w:val="0"/>
          <w:bCs w:val="0"/>
        </w:rPr>
        <w:t>第八篇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坚持创新改革开放，畅通内外双循环，贡献秦淮力量服务新发展格局</w:t>
      </w:r>
      <w:bookmarkEnd w:id="178"/>
    </w:p>
    <w:p w14:paraId="1173F62D">
      <w:pPr>
        <w:spacing w:line="520" w:lineRule="exact"/>
        <w:ind w:firstLine="640" w:firstLineChars="200"/>
        <w:rPr>
          <w:rFonts w:eastAsia="方正仿宋_GBK"/>
          <w:sz w:val="32"/>
          <w:szCs w:val="32"/>
        </w:rPr>
      </w:pPr>
    </w:p>
    <w:p w14:paraId="66781E91">
      <w:pPr>
        <w:spacing w:line="590" w:lineRule="exact"/>
        <w:ind w:firstLine="629"/>
        <w:rPr>
          <w:rFonts w:eastAsia="方正仿宋_GBK"/>
          <w:sz w:val="32"/>
          <w:szCs w:val="32"/>
        </w:rPr>
      </w:pPr>
      <w:r>
        <w:rPr>
          <w:rFonts w:hint="eastAsia" w:eastAsia="方正仿宋_GBK" w:cs="方正仿宋_GBK"/>
          <w:sz w:val="32"/>
          <w:szCs w:val="32"/>
        </w:rPr>
        <w:t>以推动形成国内大循环为主体、国内国际双循环相互促进的新发展格局为引领，立足资源优势，全面深化改革，用好国内市场，扩大有效开放，在提高资源配置效率、提高发展质量、调动各方面积极性等方面取得更大突破，在更面向未来的改革创新中探索发展先机，在更大的空间格局中寻求合作共赢。</w:t>
      </w:r>
    </w:p>
    <w:p w14:paraId="54AEE94E">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79" w:name="_Toc60466326"/>
      <w:r>
        <w:rPr>
          <w:rFonts w:hint="eastAsia" w:ascii="方正黑体_GBK" w:hAnsi="方正黑体_GBK" w:eastAsia="方正黑体_GBK" w:cs="方正黑体_GBK"/>
          <w:b w:val="0"/>
          <w:bCs w:val="0"/>
        </w:rPr>
        <w:t>第二十九章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深化重点领域改革</w:t>
      </w:r>
      <w:bookmarkEnd w:id="179"/>
    </w:p>
    <w:p w14:paraId="2F9276D5">
      <w:pPr>
        <w:pStyle w:val="5"/>
        <w:spacing w:after="200" w:line="520" w:lineRule="exact"/>
        <w:jc w:val="center"/>
        <w:rPr>
          <w:rFonts w:ascii="方正楷体_GBK" w:hAnsi="方正楷体_GBK" w:eastAsia="方正楷体_GBK"/>
          <w:b w:val="0"/>
          <w:bCs w:val="0"/>
        </w:rPr>
      </w:pPr>
      <w:bookmarkStart w:id="180" w:name="_Toc60466327"/>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实施经济一体化治理改革</w:t>
      </w:r>
      <w:bookmarkEnd w:id="180"/>
    </w:p>
    <w:p w14:paraId="71D53137">
      <w:pPr>
        <w:spacing w:line="590" w:lineRule="exact"/>
        <w:ind w:firstLine="629"/>
        <w:rPr>
          <w:rFonts w:eastAsia="方正仿宋_GBK"/>
          <w:sz w:val="32"/>
          <w:szCs w:val="32"/>
        </w:rPr>
      </w:pPr>
      <w:r>
        <w:rPr>
          <w:rFonts w:hint="eastAsia" w:eastAsia="方正仿宋_GBK" w:cs="方正仿宋_GBK"/>
          <w:sz w:val="32"/>
          <w:szCs w:val="32"/>
        </w:rPr>
        <w:t>加快推进全区经济治理一体化改革，完善体制机制、夯实基层基础、优化经济生态、加强队伍建设，构建一体化、生态化、智慧化的经济管理运行体系，建设一张网，打造两个平台，完善三项机制，开展四项行动，构建五位一体工作格局，为全区经济快速发展提供有力支撑。建设“纵到底、横到边、全覆盖”的经济网格，形成“网格神经末梢</w:t>
      </w:r>
      <w:r>
        <w:rPr>
          <w:rFonts w:eastAsia="方正仿宋_GBK"/>
          <w:sz w:val="32"/>
          <w:szCs w:val="32"/>
        </w:rPr>
        <w:t>—</w:t>
      </w:r>
      <w:r>
        <w:rPr>
          <w:rFonts w:hint="eastAsia" w:eastAsia="方正仿宋_GBK" w:cs="方正仿宋_GBK"/>
          <w:sz w:val="32"/>
          <w:szCs w:val="32"/>
        </w:rPr>
        <w:t>街道处理终端</w:t>
      </w:r>
      <w:r>
        <w:rPr>
          <w:rFonts w:eastAsia="方正仿宋_GBK"/>
          <w:sz w:val="32"/>
          <w:szCs w:val="32"/>
        </w:rPr>
        <w:t>—</w:t>
      </w:r>
      <w:r>
        <w:rPr>
          <w:rFonts w:hint="eastAsia" w:eastAsia="方正仿宋_GBK" w:cs="方正仿宋_GBK"/>
          <w:sz w:val="32"/>
          <w:szCs w:val="32"/>
        </w:rPr>
        <w:t>区级统筹大脑”快速智能响应，“市场主体</w:t>
      </w:r>
      <w:r>
        <w:rPr>
          <w:rFonts w:eastAsia="方正仿宋_GBK"/>
          <w:sz w:val="32"/>
          <w:szCs w:val="32"/>
        </w:rPr>
        <w:t>—</w:t>
      </w:r>
      <w:r>
        <w:rPr>
          <w:rFonts w:hint="eastAsia" w:eastAsia="方正仿宋_GBK" w:cs="方正仿宋_GBK"/>
          <w:sz w:val="32"/>
          <w:szCs w:val="32"/>
        </w:rPr>
        <w:t>发展要素</w:t>
      </w:r>
      <w:r>
        <w:rPr>
          <w:rFonts w:eastAsia="方正仿宋_GBK"/>
          <w:sz w:val="32"/>
          <w:szCs w:val="32"/>
        </w:rPr>
        <w:t>—</w:t>
      </w:r>
      <w:r>
        <w:rPr>
          <w:rFonts w:hint="eastAsia" w:eastAsia="方正仿宋_GBK" w:cs="方正仿宋_GBK"/>
          <w:sz w:val="32"/>
          <w:szCs w:val="32"/>
        </w:rPr>
        <w:t>服务保障”聚力联动的经济组织服务网格化管理体系。落实“工作清单化”，实施“事项工单化”，形成“管理逐级下沉、沟通不出网格、服务就在身边”的经济网格治理体系。依托区数据中心，打造“一体四库两平台”的经济工作智慧化系统，实现服务与管理互联互通互促。建立“企业、项目、载体、政策”四个数据库，依托数据库基本数据信息，打造经济管理和企业服务两个平台，形成内部管理和外部服务功能相互促进、支持的智能化经济统筹体系。构建五位一体工作格局，加强区级、部门、板块、街道、国企的协调联动，各成员单位明确专人专岗负责，形成各负其责、激发合力的经济工作一体化新格局。</w:t>
      </w:r>
    </w:p>
    <w:p w14:paraId="24EC33F8">
      <w:pPr>
        <w:pStyle w:val="5"/>
        <w:spacing w:after="200" w:line="520" w:lineRule="exact"/>
        <w:jc w:val="center"/>
        <w:rPr>
          <w:rFonts w:ascii="方正楷体_GBK" w:hAnsi="方正楷体_GBK" w:eastAsia="方正楷体_GBK"/>
          <w:b w:val="0"/>
          <w:bCs w:val="0"/>
        </w:rPr>
      </w:pPr>
      <w:bookmarkStart w:id="181" w:name="_Toc60466328"/>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深化基层社会治理改革</w:t>
      </w:r>
      <w:bookmarkEnd w:id="181"/>
    </w:p>
    <w:p w14:paraId="31C09BE4">
      <w:pPr>
        <w:spacing w:line="590" w:lineRule="exact"/>
        <w:ind w:firstLine="629"/>
        <w:rPr>
          <w:rFonts w:eastAsia="方正仿宋_GBK"/>
          <w:sz w:val="32"/>
          <w:szCs w:val="32"/>
        </w:rPr>
      </w:pPr>
      <w:r>
        <w:rPr>
          <w:rFonts w:hint="eastAsia" w:eastAsia="方正仿宋_GBK" w:cs="方正仿宋_GBK"/>
          <w:sz w:val="32"/>
          <w:szCs w:val="32"/>
        </w:rPr>
        <w:t>在“两赋两强”、“双做双增”秦淮基层社会治理实践基础上，继续深化“大数据</w:t>
      </w:r>
      <w:r>
        <w:rPr>
          <w:rFonts w:eastAsia="方正仿宋_GBK"/>
          <w:sz w:val="32"/>
          <w:szCs w:val="32"/>
        </w:rPr>
        <w:t>+</w:t>
      </w:r>
      <w:r>
        <w:rPr>
          <w:rFonts w:hint="eastAsia" w:eastAsia="方正仿宋_GBK" w:cs="方正仿宋_GBK"/>
          <w:sz w:val="32"/>
          <w:szCs w:val="32"/>
        </w:rPr>
        <w:t>网格化</w:t>
      </w:r>
      <w:r>
        <w:rPr>
          <w:rFonts w:eastAsia="方正仿宋_GBK"/>
          <w:sz w:val="32"/>
          <w:szCs w:val="32"/>
        </w:rPr>
        <w:t>+</w:t>
      </w:r>
      <w:r>
        <w:rPr>
          <w:rFonts w:hint="eastAsia" w:eastAsia="方正仿宋_GBK" w:cs="方正仿宋_GBK"/>
          <w:sz w:val="32"/>
          <w:szCs w:val="32"/>
        </w:rPr>
        <w:t>铁脚板”基层社会治理模式的秦淮实践，进一步提升社会治理现代化水平。推进部门数据共享，提升全区社会治理概貌感知、信息归集、研判预警、全域调度、监督考核能力。建设区级社会治理数据共享交换平台和数据运营管理机构，积极探索区块链技术在社会治理方面的前景应用。建设全要素网格信息采集应用，做到数据一次采集、按需共享，加强网格员和部门数据保障能力。加大新一代“雪亮工程”监控智能化升级、智能道闸建设，结合小区出新加快智慧物业平台建设，物业平台接入综合指挥平台；加大移动消防、防汛传感、环境监控、智慧工地、</w:t>
      </w:r>
      <w:r>
        <w:rPr>
          <w:rFonts w:hint="eastAsia" w:eastAsia="方正仿宋_GBK" w:cs="方正仿宋_GBK"/>
          <w:sz w:val="32"/>
          <w:szCs w:val="32"/>
          <w:lang w:val="en-US" w:eastAsia="zh-CN"/>
        </w:rPr>
        <w:t>明厨亮灶</w:t>
      </w:r>
      <w:r>
        <w:rPr>
          <w:rFonts w:hint="eastAsia" w:eastAsia="方正仿宋_GBK" w:cs="方正仿宋_GBK"/>
          <w:sz w:val="32"/>
          <w:szCs w:val="32"/>
        </w:rPr>
        <w:t>等平台建设，统一纳入区综合指挥平台运行。建强网格化治理工作平台。实体化运行区社会治理综合指挥中心，完善区中心与公安、应急、消防等重点部门联动体制，完成各街道指挥中心实体化运行，建立应急处置队伍，逐步实现</w:t>
      </w:r>
      <w:r>
        <w:rPr>
          <w:rFonts w:eastAsia="方正仿宋_GBK"/>
          <w:sz w:val="32"/>
          <w:szCs w:val="32"/>
        </w:rPr>
        <w:t>24</w:t>
      </w:r>
      <w:r>
        <w:rPr>
          <w:rFonts w:hint="eastAsia" w:eastAsia="方正仿宋_GBK" w:cs="方正仿宋_GBK"/>
          <w:sz w:val="32"/>
          <w:szCs w:val="32"/>
        </w:rPr>
        <w:t>小时线上线下相结合的全域全时指挥机制。提升城市治理精细化水平，完善网格事件流转保障方案，形成事件处置闭环流程，提升工作质效。健全非警务类警情、</w:t>
      </w:r>
      <w:r>
        <w:rPr>
          <w:rFonts w:eastAsia="方正仿宋_GBK"/>
          <w:sz w:val="32"/>
          <w:szCs w:val="32"/>
        </w:rPr>
        <w:t>12345</w:t>
      </w:r>
      <w:r>
        <w:rPr>
          <w:rFonts w:hint="eastAsia" w:eastAsia="方正仿宋_GBK" w:cs="方正仿宋_GBK"/>
          <w:sz w:val="32"/>
          <w:szCs w:val="32"/>
        </w:rPr>
        <w:t>投诉、城市管理、市场监管、文明城市创建等重点部门、重点领域突出问题常态化预警研判、综合调度机制，加大综合执法运用，形成群众诉求“接诉即办、未诉先办”能力，努力前移治理关口。加强网格共治力量建设。持续推动党员干部常态化下沉。加强网格专业力量建设，提升网格协作水平；加大专职网格员培训力度，提升业务水平和服务能力，充分发挥政法网格员专业优势，参与做好网格服务管理工作。动员社会力量参与网格化治理，全面提升老旧小区物业管理服务、健全社区党群服务中心功能，构筑多元联动社区治理模式。</w:t>
      </w:r>
    </w:p>
    <w:p w14:paraId="1040742C">
      <w:pPr>
        <w:pStyle w:val="5"/>
        <w:spacing w:after="200" w:line="520" w:lineRule="exact"/>
        <w:jc w:val="center"/>
        <w:rPr>
          <w:rFonts w:ascii="方正楷体_GBK" w:hAnsi="方正楷体_GBK" w:eastAsia="方正楷体_GBK"/>
          <w:b w:val="0"/>
          <w:bCs w:val="0"/>
        </w:rPr>
      </w:pPr>
      <w:bookmarkStart w:id="182" w:name="_Toc60466329"/>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深入打造最优营商环境</w:t>
      </w:r>
      <w:bookmarkEnd w:id="182"/>
    </w:p>
    <w:p w14:paraId="4F35888C">
      <w:pPr>
        <w:spacing w:line="590" w:lineRule="exact"/>
        <w:ind w:firstLine="629"/>
        <w:rPr>
          <w:rFonts w:eastAsia="方正仿宋_GBK"/>
          <w:sz w:val="32"/>
          <w:szCs w:val="32"/>
        </w:rPr>
      </w:pPr>
      <w:r>
        <w:rPr>
          <w:rFonts w:hint="eastAsia" w:eastAsia="方正仿宋_GBK" w:cs="方正仿宋_GBK"/>
          <w:sz w:val="32"/>
          <w:szCs w:val="32"/>
        </w:rPr>
        <w:t>持续深化“放管服改革”，聚焦政务服务、市场监管、法治建设等多领域，坚持企业思维、问题导向，进一步加大创新力度、简政放权，推动更多事项集成办理，不断降低制度性交易成本；加快构建依法行政政府治理体系，推进体制机制改革，围绕企业全生命周期，营造便捷高效、公平公正、服务优先的营商环境。坚持公平竞争审查制度，强化反垄断、反不正当竞争执法，加强对医疗服务、教育、检测等价格进行重点治理，加大对网络虚假广告、互联网非法金融资讯的监测查处力度，保障各类企业公平参与市场竞争；加大知识产权保护力度和服务，为优质企业发展腾出市场空间；构建以“双随机、一公开”为手段，以重点监管为补充，以信用监管为基础的新型市场监管体系；实现“证照分离”改革全覆盖，大力推进“照后减证”和简化审批，试点行业许可证告知承诺制改革，进一步扩大告知承诺制实施范围。聚焦企业全生命周期，从开办到注销持续推出优化审批服务，不断拓宽“一件事一次办”运用场景，加快推进高频事项“一网通办”；探索推动“</w:t>
      </w:r>
      <w:r>
        <w:rPr>
          <w:rFonts w:eastAsia="方正仿宋_GBK"/>
          <w:sz w:val="32"/>
          <w:szCs w:val="32"/>
        </w:rPr>
        <w:t>12345+</w:t>
      </w:r>
      <w:r>
        <w:rPr>
          <w:rFonts w:hint="eastAsia" w:eastAsia="方正仿宋_GBK" w:cs="方正仿宋_GBK"/>
          <w:sz w:val="32"/>
          <w:szCs w:val="32"/>
        </w:rPr>
        <w:t>网格化</w:t>
      </w:r>
      <w:r>
        <w:rPr>
          <w:rFonts w:eastAsia="方正仿宋_GBK"/>
          <w:sz w:val="32"/>
          <w:szCs w:val="32"/>
        </w:rPr>
        <w:t>+</w:t>
      </w:r>
      <w:r>
        <w:rPr>
          <w:rFonts w:hint="eastAsia" w:eastAsia="方正仿宋_GBK" w:cs="方正仿宋_GBK"/>
          <w:sz w:val="32"/>
          <w:szCs w:val="32"/>
        </w:rPr>
        <w:t>吹哨”工作深度融合，实现营商环境诉求快速受理，不断提升办理质效。加强法治化营商环境建设，依法平等保护各种所有制经济产权和合法权益；推进公共法律服务，法律顾问、法律援助、矛盾纠纷多元化解等机制运行规范化；加强府院联动，建立信息共享、案件协调等问题会商机制和沟通平台；深化法企同行，加强法治培训宣传，营造有利于民营企业、中小微市场主体和企业家权益保护的良好法治环境，保障中小企业权益，纾困解难，增强活力，促进健康稳定成长。</w:t>
      </w:r>
    </w:p>
    <w:p w14:paraId="18F2FFA4">
      <w:pPr>
        <w:pStyle w:val="5"/>
        <w:spacing w:after="200" w:line="520" w:lineRule="exact"/>
        <w:jc w:val="center"/>
        <w:rPr>
          <w:rFonts w:ascii="方正楷体_GBK" w:hAnsi="方正楷体_GBK" w:eastAsia="方正楷体_GBK"/>
          <w:b w:val="0"/>
          <w:bCs w:val="0"/>
        </w:rPr>
      </w:pPr>
      <w:bookmarkStart w:id="183" w:name="_Toc60466330"/>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推进国有企业市场化改革</w:t>
      </w:r>
      <w:bookmarkEnd w:id="183"/>
    </w:p>
    <w:p w14:paraId="7776B43F">
      <w:pPr>
        <w:spacing w:line="590" w:lineRule="exact"/>
        <w:ind w:firstLine="629"/>
        <w:rPr>
          <w:rFonts w:eastAsia="方正仿宋_GBK"/>
          <w:sz w:val="32"/>
          <w:szCs w:val="32"/>
        </w:rPr>
      </w:pPr>
      <w:r>
        <w:rPr>
          <w:rFonts w:hint="eastAsia" w:eastAsia="方正仿宋_GBK" w:cs="方正仿宋_GBK"/>
          <w:sz w:val="32"/>
          <w:szCs w:val="32"/>
        </w:rPr>
        <w:t>坚持和加强党对国有企业的全面领导，毫不动摇巩固和发展公有制经济，加快完善国有企业现代法人治理结构和市场化运营机制，提升国企市场化能力和活力。系统梳理、合理调配、统筹管理、逐步盘活在手国有资源，聚焦主业，提升专业，集中力量打造精品品牌，提高国有资产投资回报率。以绩效考核为引导，激励区属国企发挥自身资源优势，提高市场化业务占比，提高对区域经济工作的贡献度。规范有序、积极稳妥推进国有企业混合所有制改革，在科技创新、大数据管理、项目运作等领域探索先行先试，实现市场化运营。支持符合条件的国有企业建立骨干员工持股、分红激励等中长期激励机制。鼓励有条件的国有集团利用资本市场做大做强，创新融资机制、运用专业手段，在更大范围内拓宽融资渠道，全力提升整体实力和资产规模。支持非公有制经济高质量发展。健全支持民营企业、外商投资企业发展的市场、政策、法治和社会环境，建立面向各类企业主体的透明、公开信息获取和交流渠道，有效破除障碍和壁垒，营造并保护各种所有制主体依法平等使用资源要素、公开公平公正参与竞争、享受同等法治环境和政务信息资源的市场环境。</w:t>
      </w:r>
    </w:p>
    <w:p w14:paraId="4CFCC0D2">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84" w:name="_Toc60466331"/>
      <w:r>
        <w:rPr>
          <w:rFonts w:hint="eastAsia" w:ascii="方正黑体_GBK" w:hAnsi="方正黑体_GBK" w:eastAsia="方正黑体_GBK" w:cs="方正黑体_GBK"/>
          <w:b w:val="0"/>
          <w:bCs w:val="0"/>
        </w:rPr>
        <w:t>第三十章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深入扩大有效需求</w:t>
      </w:r>
      <w:bookmarkEnd w:id="184"/>
    </w:p>
    <w:p w14:paraId="0781309A">
      <w:pPr>
        <w:pStyle w:val="5"/>
        <w:spacing w:after="200" w:line="520" w:lineRule="exact"/>
        <w:jc w:val="center"/>
        <w:rPr>
          <w:rFonts w:ascii="方正楷体_GBK" w:hAnsi="方正楷体_GBK" w:eastAsia="方正楷体_GBK"/>
          <w:b w:val="0"/>
          <w:bCs w:val="0"/>
        </w:rPr>
      </w:pPr>
      <w:bookmarkStart w:id="185" w:name="_Toc60466332"/>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建设区域综合消费中心</w:t>
      </w:r>
      <w:bookmarkEnd w:id="185"/>
    </w:p>
    <w:p w14:paraId="76B99167">
      <w:pPr>
        <w:spacing w:line="590" w:lineRule="exact"/>
        <w:ind w:firstLine="629"/>
        <w:rPr>
          <w:rFonts w:eastAsia="方正仿宋_GBK"/>
          <w:sz w:val="32"/>
          <w:szCs w:val="32"/>
        </w:rPr>
      </w:pPr>
      <w:r>
        <w:rPr>
          <w:rFonts w:hint="eastAsia" w:eastAsia="方正仿宋_GBK" w:cs="方正仿宋_GBK"/>
          <w:sz w:val="32"/>
          <w:szCs w:val="32"/>
        </w:rPr>
        <w:t>构筑多层次、多样化消费载体平台作用，重塑太平南路、老门东等特色商业街区，放大夫子庙全国示范步行街效应，擦亮新街口“中华第一商圈”金字招牌，培育南部新城消费新增长级。推进智慧商圈建设，探索建设智慧商业服务体系，推动停车诱导、购物导航、移动支付、基于位置信息服务等在商圈中的应用，打造“智慧夫子庙”等一批有影响力的智慧商圈。促进夜间经济发展，以夫子庙、老门东、大板巷等为关键节点，加快沉浸式体验消费等夜间经济新模式、新业态布局，点亮“夜间经济带”。推动老字号回归再繁荣，壮大中央、新百、绿柳居、奇芳阁等商业老字号，在热点园区、景区、街区、楼宇设置老字号专柜，形成品牌专区。发展网红经济、直播经济、平台经济，推动品牌连锁经营和商业数字化。培育新消费，统筹享受型、家庭型、个性化、共享式、体验式“五代”消费类型，发展社群营销，引导消费进企业、进家庭。支持新零售企业下沉社区，依托邻里中心实现消费集成，提升社区商业发展品质。</w:t>
      </w:r>
    </w:p>
    <w:p w14:paraId="149309C1">
      <w:pPr>
        <w:pStyle w:val="5"/>
        <w:spacing w:after="200" w:line="520" w:lineRule="exact"/>
        <w:jc w:val="center"/>
        <w:rPr>
          <w:rFonts w:ascii="方正楷体_GBK" w:hAnsi="方正楷体_GBK" w:eastAsia="方正楷体_GBK"/>
          <w:b w:val="0"/>
          <w:bCs w:val="0"/>
        </w:rPr>
      </w:pPr>
      <w:bookmarkStart w:id="186" w:name="_Toc60466333"/>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放大项目投资牵引作用</w:t>
      </w:r>
      <w:bookmarkEnd w:id="186"/>
    </w:p>
    <w:p w14:paraId="15CCDD8A">
      <w:pPr>
        <w:spacing w:line="590" w:lineRule="exact"/>
        <w:ind w:firstLine="629"/>
        <w:rPr>
          <w:rFonts w:eastAsia="方正仿宋_GBK"/>
          <w:sz w:val="32"/>
          <w:szCs w:val="32"/>
        </w:rPr>
      </w:pPr>
      <w:r>
        <w:rPr>
          <w:rFonts w:hint="eastAsia" w:eastAsia="方正仿宋_GBK" w:cs="方正仿宋_GBK"/>
          <w:sz w:val="32"/>
          <w:szCs w:val="32"/>
        </w:rPr>
        <w:t>加强项目土地运作统筹，充分挖掘存量建设用地潜力，加快闲置土地的整理、开发、利用，鼓励开发主体充分利用地上地下空间，促进土地立体利用、综合利用，切实做好用地保障。深化投融资体制改革，强化政府投资引导带动作用，提高区属国企平台融资能力，鼓励社会资本通过</w:t>
      </w:r>
      <w:r>
        <w:rPr>
          <w:rFonts w:eastAsia="方正仿宋_GBK"/>
          <w:sz w:val="32"/>
          <w:szCs w:val="32"/>
        </w:rPr>
        <w:t>PPP</w:t>
      </w:r>
      <w:r>
        <w:rPr>
          <w:rFonts w:hint="eastAsia" w:eastAsia="方正仿宋_GBK" w:cs="方正仿宋_GBK"/>
          <w:sz w:val="32"/>
          <w:szCs w:val="32"/>
        </w:rPr>
        <w:t>、政府购买服务等方式参与重点领域项目建设，形成市场主导的投资内生增长机制。完善重大项目全生命周期服务机制，依托全区经济管理平台建设，创新智慧化推进手段，优化项目推进环境。加大对科技创新、生态环保、新型基础设施、基本公共服务等领域的投资力度，加快推进创新湾区建设、总部经济载体、示范性旧改工程、教育卫生民生工程等重大项目落地。</w:t>
      </w:r>
    </w:p>
    <w:p w14:paraId="3B2834CC">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87" w:name="_Toc60466334"/>
      <w:r>
        <w:rPr>
          <w:rFonts w:hint="eastAsia" w:ascii="方正黑体_GBK" w:hAnsi="方正黑体_GBK" w:eastAsia="方正黑体_GBK" w:cs="方正黑体_GBK"/>
          <w:b w:val="0"/>
          <w:bCs w:val="0"/>
        </w:rPr>
        <w:t>第三十一章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拓展外向发展空间</w:t>
      </w:r>
      <w:bookmarkEnd w:id="187"/>
    </w:p>
    <w:p w14:paraId="7619B75B">
      <w:pPr>
        <w:pStyle w:val="5"/>
        <w:spacing w:after="200" w:line="520" w:lineRule="exact"/>
        <w:jc w:val="center"/>
        <w:rPr>
          <w:rFonts w:ascii="方正楷体_GBK" w:hAnsi="方正楷体_GBK" w:eastAsia="方正楷体_GBK"/>
          <w:b w:val="0"/>
          <w:bCs w:val="0"/>
        </w:rPr>
      </w:pPr>
      <w:bookmarkStart w:id="188" w:name="_Toc60466335"/>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积极融入国家战略</w:t>
      </w:r>
      <w:bookmarkEnd w:id="188"/>
    </w:p>
    <w:p w14:paraId="1CF81194">
      <w:pPr>
        <w:spacing w:line="590" w:lineRule="exact"/>
        <w:ind w:firstLine="629"/>
        <w:rPr>
          <w:rFonts w:eastAsia="方正仿宋_GBK"/>
          <w:sz w:val="32"/>
          <w:szCs w:val="32"/>
        </w:rPr>
      </w:pPr>
      <w:r>
        <w:rPr>
          <w:rFonts w:hint="eastAsia" w:eastAsia="方正仿宋_GBK" w:cs="方正仿宋_GBK"/>
          <w:sz w:val="32"/>
          <w:szCs w:val="32"/>
        </w:rPr>
        <w:t>融入“一带一路”</w:t>
      </w:r>
      <w:r>
        <w:rPr>
          <w:rFonts w:hint="eastAsia" w:eastAsia="方正仿宋_GBK" w:cs="方正仿宋_GBK"/>
          <w:sz w:val="32"/>
          <w:szCs w:val="32"/>
          <w:lang w:val="en-US" w:eastAsia="zh-CN"/>
        </w:rPr>
        <w:t>倡议</w:t>
      </w:r>
      <w:r>
        <w:rPr>
          <w:rFonts w:hint="eastAsia" w:eastAsia="方正仿宋_GBK" w:cs="方正仿宋_GBK"/>
          <w:sz w:val="32"/>
          <w:szCs w:val="32"/>
        </w:rPr>
        <w:t>，整合秦淮河、明城墙、大报恩寺、郑和航海等国际关注度较高资源，推动“秦淮文化”走出去，扩大国际影响力。继续开展秦淮河与塞纳河、圣安东尼奥河，夫子庙与马六甲鸡场街等国际交流与深度合作，设计街区形象推广口号和标志，形成一揽子推广计划，提升街区在中外媒体的正面曝光度和辨识度。融入“大运河国家文化公园”建设，突出展现秦淮水文化特色，挖掘运河文化内涵，建立并增强与大运河沿线其他城市区域“河文化”的互动联系，建设水文化展示馆，拓展文旅商融合发展空间。融入“长江经济带”保护，加强对辖区内生态红线区域保护，建立健全断面水质监测预警、入河排污口监管、固废治理、地质灾害防治与应急管理等长效机制。与上海、武汉、重庆等长江经济带中心城市主城区建立开放合作和主体联动关系，学习借鉴产业发展、环境保护、城市管理等方面的经验，对标找差，提升发展质量。融入“长三角一体化”，加强与上海、苏州、常州、无锡、杭州、宁波等城市主城区的联系对接，开展专题招商推介、项目推荐和文化推广，主动研究并积极促成科技、文化、旅游、养老、医疗、教育等产业和民生项目跨地区合作。融入</w:t>
      </w:r>
      <w:r>
        <w:rPr>
          <w:rFonts w:eastAsia="方正仿宋_GBK"/>
          <w:sz w:val="32"/>
          <w:szCs w:val="32"/>
        </w:rPr>
        <w:t>G42</w:t>
      </w:r>
      <w:r>
        <w:rPr>
          <w:rFonts w:hint="eastAsia" w:eastAsia="方正仿宋_GBK" w:cs="方正仿宋_GBK"/>
          <w:sz w:val="32"/>
          <w:szCs w:val="32"/>
        </w:rPr>
        <w:t>创新走廊带，加快区块链产业技术协同发展。</w:t>
      </w:r>
    </w:p>
    <w:p w14:paraId="1B76306D">
      <w:pPr>
        <w:pStyle w:val="5"/>
        <w:spacing w:after="200" w:line="520" w:lineRule="exact"/>
        <w:jc w:val="center"/>
        <w:rPr>
          <w:rFonts w:ascii="方正楷体_GBK" w:hAnsi="方正楷体_GBK" w:eastAsia="方正楷体_GBK"/>
          <w:b w:val="0"/>
          <w:bCs w:val="0"/>
        </w:rPr>
      </w:pPr>
      <w:bookmarkStart w:id="189" w:name="_Toc60466336"/>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加强有效国际交流</w:t>
      </w:r>
      <w:bookmarkEnd w:id="189"/>
    </w:p>
    <w:p w14:paraId="685D1F10">
      <w:pPr>
        <w:spacing w:line="590" w:lineRule="exact"/>
        <w:ind w:firstLine="629"/>
        <w:rPr>
          <w:rFonts w:eastAsia="方正仿宋_GBK"/>
          <w:sz w:val="32"/>
          <w:szCs w:val="32"/>
        </w:rPr>
      </w:pPr>
      <w:r>
        <w:rPr>
          <w:rFonts w:hint="eastAsia" w:eastAsia="方正仿宋_GBK" w:cs="方正仿宋_GBK"/>
          <w:sz w:val="32"/>
          <w:szCs w:val="32"/>
        </w:rPr>
        <w:t>加大文化交流力度，扩大国内外友好城市建立和交流范围，加强联系合作，丰富交流活动，促进文化理解和价值认同。依托各级欧美同学会、海外学联、驻外使馆资源，广泛凝聚国内外交流活力。发挥“同乡共井”统战品牌影响力，团结可以团结的力量，实现共同文化和价值观的推广和共识达成。共同推进秦淮文化外向传播，突出国际性元素，主动参与国际文化交流。加深科技交流范围，依托高新区中日芬国际创新园、南部新城中芬合作交流中心等外向型科创载体资源，畅通对外科创交流渠道，积极融入国际创新网络，实现多边科技创新合作。做实“生根出访”，瞄准科创大国和强国的开放地区、开发企业，扩大国际合作，加快布局建立海外科技创新中心，依靠海外高校院所、民间商会等力量，精准对接有效科创产品和企业资源，形成“引进来”、“走出去”双向合作通道，探索更务实的合作模式。</w:t>
      </w:r>
    </w:p>
    <w:p w14:paraId="409A10E5"/>
    <w:p w14:paraId="4A2B55E7">
      <w:pPr>
        <w:pStyle w:val="2"/>
      </w:pPr>
    </w:p>
    <w:p w14:paraId="4CAEB913">
      <w:pPr>
        <w:pStyle w:val="2"/>
      </w:pPr>
    </w:p>
    <w:p w14:paraId="38BB9E8E">
      <w:pPr>
        <w:pStyle w:val="2"/>
      </w:pPr>
    </w:p>
    <w:p w14:paraId="556F7D4A">
      <w:pPr>
        <w:pStyle w:val="3"/>
        <w:keepNext w:val="0"/>
        <w:keepLines w:val="0"/>
        <w:spacing w:before="0" w:after="0" w:line="700" w:lineRule="exact"/>
        <w:jc w:val="center"/>
        <w:rPr>
          <w:rFonts w:ascii="方正小标宋_GBK" w:eastAsia="方正小标宋_GBK"/>
          <w:b w:val="0"/>
          <w:bCs w:val="0"/>
        </w:rPr>
      </w:pPr>
      <w:bookmarkStart w:id="190" w:name="_Toc60466337"/>
      <w:r>
        <w:rPr>
          <w:rFonts w:hint="eastAsia" w:ascii="方正小标宋_GBK" w:eastAsia="方正小标宋_GBK" w:cs="方正小标宋_GBK"/>
          <w:b w:val="0"/>
          <w:bCs w:val="0"/>
        </w:rPr>
        <w:t>第九篇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严防严控重大风险，建设安全韧性城市，推进平安秦淮迈上新台阶</w:t>
      </w:r>
      <w:bookmarkEnd w:id="190"/>
    </w:p>
    <w:p w14:paraId="6B16313C">
      <w:pPr>
        <w:spacing w:line="540" w:lineRule="exact"/>
        <w:ind w:firstLine="640" w:firstLineChars="200"/>
        <w:rPr>
          <w:rFonts w:eastAsia="方正仿宋_GBK"/>
          <w:sz w:val="32"/>
          <w:szCs w:val="32"/>
        </w:rPr>
      </w:pPr>
    </w:p>
    <w:p w14:paraId="62C1C887">
      <w:pPr>
        <w:spacing w:line="590" w:lineRule="exact"/>
        <w:ind w:firstLine="629"/>
        <w:rPr>
          <w:rFonts w:eastAsia="方正仿宋_GBK"/>
          <w:sz w:val="32"/>
          <w:szCs w:val="32"/>
        </w:rPr>
      </w:pPr>
      <w:r>
        <w:rPr>
          <w:rFonts w:hint="eastAsia" w:eastAsia="方正仿宋_GBK" w:cs="方正仿宋_GBK"/>
          <w:sz w:val="32"/>
          <w:szCs w:val="32"/>
        </w:rPr>
        <w:t>贯彻落实总体国家安全观和国家安全战略，把安全发展理念贯彻秦淮发展的全过程。完善安全生产、隐患排查和矛盾化解机制，增强重大风险防范化解能力、突发公共事件应急能力、防灾减灾救灾能力，健全完善平安秦淮建设体系，建设国家安全发展的示范城区，提升城市发展韧性和可持续发展水平。</w:t>
      </w:r>
    </w:p>
    <w:p w14:paraId="64B502FD">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1" w:name="_Toc60466338"/>
      <w:r>
        <w:rPr>
          <w:rFonts w:hint="eastAsia" w:ascii="方正黑体_GBK" w:hAnsi="方正黑体_GBK" w:eastAsia="方正黑体_GBK" w:cs="方正黑体_GBK"/>
          <w:b w:val="0"/>
          <w:bCs w:val="0"/>
        </w:rPr>
        <w:t>第三十二章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坚决捍卫国家安全</w:t>
      </w:r>
      <w:bookmarkEnd w:id="191"/>
    </w:p>
    <w:p w14:paraId="3E8450DC">
      <w:pPr>
        <w:spacing w:line="590" w:lineRule="exact"/>
        <w:ind w:firstLine="629"/>
        <w:rPr>
          <w:rFonts w:eastAsia="方正仿宋_GBK"/>
          <w:sz w:val="32"/>
          <w:szCs w:val="32"/>
        </w:rPr>
      </w:pPr>
      <w:r>
        <w:rPr>
          <w:rFonts w:hint="eastAsia" w:eastAsia="方正仿宋_GBK" w:cs="方正仿宋_GBK"/>
          <w:sz w:val="32"/>
          <w:szCs w:val="32"/>
        </w:rPr>
        <w:t>完善区委国家安全委员会领导体制和运行机制，加强对国家安全领域重大问题的分析研判和应对，强化国家安全宣传教育，全面加强网络安全工作，坚决维护国家政权安全、制度安全、意识形态安全。严厉打击敌对势力渗透、颠覆、破坏、分裂活动，持续深化反恐怖、反间谍、反邪教斗争，着力夯实国家安全人民防线。</w:t>
      </w:r>
    </w:p>
    <w:p w14:paraId="6F6EB851">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2" w:name="_Toc60466339"/>
      <w:r>
        <w:rPr>
          <w:rFonts w:hint="eastAsia" w:ascii="方正黑体_GBK" w:hAnsi="方正黑体_GBK" w:eastAsia="方正黑体_GBK" w:cs="方正黑体_GBK"/>
          <w:b w:val="0"/>
          <w:bCs w:val="0"/>
        </w:rPr>
        <w:t>第三十三章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注重防控重大风险</w:t>
      </w:r>
      <w:bookmarkEnd w:id="192"/>
    </w:p>
    <w:p w14:paraId="481E3DA5">
      <w:pPr>
        <w:spacing w:line="590" w:lineRule="exact"/>
        <w:ind w:firstLine="629"/>
        <w:rPr>
          <w:rFonts w:eastAsia="方正仿宋_GBK"/>
          <w:sz w:val="32"/>
          <w:szCs w:val="32"/>
        </w:rPr>
      </w:pPr>
      <w:r>
        <w:rPr>
          <w:rFonts w:hint="eastAsia" w:eastAsia="方正仿宋_GBK" w:cs="方正仿宋_GBK"/>
          <w:sz w:val="32"/>
          <w:szCs w:val="32"/>
        </w:rPr>
        <w:t>深入推进风险防控“四项机制”实战运用，提高风险研判和评估质量，源头防范化解重大矛盾风险。加强经济安全风险预警、防控机制和能力建设，保障全区重要产业、基础设施安全可控。维护水利、电力、供水、交通、通信、网络、金融等重要基础设施安全，积极防范化解金融领域风险，坚决维护生态环境安全。完善和落实安全生产责任，推进安全生产改造，提升安全生产管理水平。推动危险化学品、建筑施工、交通、火灾等重特大安全事故起数、死亡人数同步实现明显下降。维护社会稳定和安全。坚持和发展新时代“枫桥经验”，畅通和规范群众诉求表达、利益协调、权益保障通道。健全完善信访工作机制，构建源头防控、排查梳理、纠纷化解、应急处置的社会矛盾综合处理体系。加强社会心理服务和危机干预。提高社会治安防控体系现代化水平，坚决防范和打击暴力恐怖、黑恶势力和各类犯罪，不断提高群众安全感。</w:t>
      </w:r>
    </w:p>
    <w:p w14:paraId="3EEC564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3" w:name="_Toc60466340"/>
      <w:r>
        <w:rPr>
          <w:rFonts w:hint="eastAsia" w:ascii="方正黑体_GBK" w:hAnsi="方正黑体_GBK" w:eastAsia="方正黑体_GBK" w:cs="方正黑体_GBK"/>
          <w:b w:val="0"/>
          <w:bCs w:val="0"/>
        </w:rPr>
        <w:t>第三十四章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健全应急管理体系</w:t>
      </w:r>
      <w:bookmarkEnd w:id="193"/>
    </w:p>
    <w:p w14:paraId="3B973000">
      <w:pPr>
        <w:spacing w:line="590" w:lineRule="exact"/>
        <w:ind w:firstLine="629"/>
        <w:rPr>
          <w:rFonts w:eastAsia="方正仿宋_GBK"/>
          <w:sz w:val="32"/>
          <w:szCs w:val="32"/>
        </w:rPr>
      </w:pPr>
      <w:r>
        <w:rPr>
          <w:rFonts w:hint="eastAsia" w:eastAsia="方正仿宋_GBK" w:cs="方正仿宋_GBK"/>
          <w:sz w:val="32"/>
          <w:szCs w:val="32"/>
        </w:rPr>
        <w:t>逐步建成具有秦淮特色、满足</w:t>
      </w:r>
      <w:r>
        <w:fldChar w:fldCharType="begin"/>
      </w:r>
      <w:r>
        <w:instrText xml:space="preserve"> HYPERLINK "http://www.baidu.com/link?url=ExtfWRnS77TrUXqrSnfNlRhZDFjYhgm5LfP7KwKsar4-t-x1NzAVXMghe5CC5ou_sxiMVYehaZ5_iZr_lhRixK" \t "https://www.baidu.com/_blank" </w:instrText>
      </w:r>
      <w:r>
        <w:fldChar w:fldCharType="separate"/>
      </w:r>
      <w:r>
        <w:rPr>
          <w:rFonts w:hint="eastAsia" w:eastAsia="方正仿宋_GBK" w:cs="方正仿宋_GBK"/>
          <w:sz w:val="32"/>
          <w:szCs w:val="32"/>
        </w:rPr>
        <w:t>现代化国际性城市中心</w:t>
      </w:r>
      <w:r>
        <w:rPr>
          <w:rFonts w:hint="eastAsia" w:eastAsia="方正仿宋_GBK" w:cs="方正仿宋_GBK"/>
          <w:sz w:val="32"/>
          <w:szCs w:val="32"/>
        </w:rPr>
        <w:fldChar w:fldCharType="end"/>
      </w:r>
      <w:r>
        <w:rPr>
          <w:rFonts w:hint="eastAsia" w:eastAsia="方正仿宋_GBK" w:cs="方正仿宋_GBK"/>
          <w:sz w:val="32"/>
          <w:szCs w:val="32"/>
        </w:rPr>
        <w:t>需要的应急管理工作机制，健全完善安全生产责任制度，落实企业主体责任，实施科学有效监管，完善防灾减灾救灾体系，进一步改善重点行业、领域安全生产状况，提升应急管理精细化服务水平，增进社会各方力量参与度和公共安全文化素质。</w:t>
      </w:r>
    </w:p>
    <w:p w14:paraId="3C47614D">
      <w:pPr>
        <w:spacing w:line="550" w:lineRule="exact"/>
        <w:ind w:firstLine="629"/>
        <w:rPr>
          <w:rFonts w:eastAsia="方正仿宋_GBK"/>
          <w:sz w:val="32"/>
          <w:szCs w:val="32"/>
        </w:rPr>
      </w:pPr>
      <w:r>
        <w:rPr>
          <w:rFonts w:hint="eastAsia" w:eastAsia="方正仿宋_GBK" w:cs="方正仿宋_GBK"/>
          <w:sz w:val="32"/>
          <w:szCs w:val="32"/>
        </w:rPr>
        <w:t>加强自然灾害防御设施建设，重点提升学校、医院、居民住房、高层建筑、交通基础设施、化工园区、水电气生命线工程以及其他重点设施的设防水平和承灾能力。充分利用公园、广场、学校、体育场馆、地下空间等公共服务设施及规划用地，推进全区应急避难场所设施标准化建设。重点加强街道、社区应急避难场所和应急避灾站点建设，就近就便为群众提供应急安置服务。</w:t>
      </w:r>
    </w:p>
    <w:p w14:paraId="0BB48502">
      <w:pPr>
        <w:spacing w:line="550" w:lineRule="exact"/>
        <w:ind w:firstLine="629"/>
        <w:rPr>
          <w:rFonts w:eastAsia="方正仿宋_GBK"/>
          <w:sz w:val="32"/>
          <w:szCs w:val="32"/>
        </w:rPr>
      </w:pPr>
      <w:r>
        <w:rPr>
          <w:rFonts w:hint="eastAsia" w:eastAsia="方正仿宋_GBK" w:cs="方正仿宋_GBK"/>
          <w:sz w:val="32"/>
          <w:szCs w:val="32"/>
        </w:rPr>
        <w:t>建立健全物资储备体系，完善现有的救灾物资储备点，增加应急物资储备量，制定应急物资采购、调配、征用方案。建立健全应急物资社会化储备制度，开展工作试点，优化储备布局，丰富储备种类。建立应急物资社会化储备补偿制度，鼓励有条件的企事业单位、超市（商店）、居民家庭代储应急物资。</w:t>
      </w:r>
    </w:p>
    <w:p w14:paraId="476AEE37">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4" w:name="_Toc60466341"/>
      <w:r>
        <w:rPr>
          <w:rFonts w:hint="eastAsia" w:ascii="方正黑体_GBK" w:hAnsi="方正黑体_GBK" w:eastAsia="方正黑体_GBK" w:cs="方正黑体_GBK"/>
          <w:b w:val="0"/>
          <w:bCs w:val="0"/>
        </w:rPr>
        <w:t>第三十五章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提升安全服务能力</w:t>
      </w:r>
      <w:bookmarkEnd w:id="194"/>
    </w:p>
    <w:p w14:paraId="01168255">
      <w:pPr>
        <w:spacing w:line="550" w:lineRule="exact"/>
        <w:ind w:firstLine="629"/>
        <w:rPr>
          <w:rFonts w:eastAsia="方正仿宋_GBK"/>
          <w:sz w:val="32"/>
          <w:szCs w:val="32"/>
        </w:rPr>
      </w:pPr>
      <w:r>
        <w:rPr>
          <w:rFonts w:hint="eastAsia" w:eastAsia="方正仿宋_GBK" w:cs="方正仿宋_GBK"/>
          <w:sz w:val="32"/>
          <w:szCs w:val="32"/>
        </w:rPr>
        <w:t>推进安全生产改造，制定安全生产禁止和限制类产业目录，推进企业安全生产标准化建设。加强城市公共设施风险防控，建立地下管线综合管理信息系统，城市电梯应急处置平台。建立城市应急管理综合服务平台，整合监管数据和应急资源，提升工作效能。安全生产事故起数、死亡人数、亿元</w:t>
      </w:r>
      <w:r>
        <w:rPr>
          <w:rFonts w:eastAsia="方正仿宋_GBK"/>
          <w:sz w:val="32"/>
          <w:szCs w:val="32"/>
        </w:rPr>
        <w:t>GDP</w:t>
      </w:r>
      <w:r>
        <w:rPr>
          <w:rFonts w:hint="eastAsia" w:eastAsia="方正仿宋_GBK" w:cs="方正仿宋_GBK"/>
          <w:sz w:val="32"/>
          <w:szCs w:val="32"/>
        </w:rPr>
        <w:t>生产安全事故死亡率、道路交通事故万车死亡率、火灾十万人口死亡率、万台特种设备事故死亡率和平均每百万人口因灾死亡率等逐年下降。</w:t>
      </w:r>
    </w:p>
    <w:p w14:paraId="32A98785">
      <w:pPr>
        <w:spacing w:line="550" w:lineRule="exact"/>
        <w:ind w:firstLine="629"/>
        <w:rPr>
          <w:rFonts w:eastAsia="方正仿宋_GBK"/>
          <w:sz w:val="32"/>
          <w:szCs w:val="32"/>
        </w:rPr>
      </w:pPr>
      <w:r>
        <w:rPr>
          <w:rFonts w:hint="eastAsia" w:eastAsia="方正仿宋_GBK" w:cs="方正仿宋_GBK"/>
          <w:sz w:val="32"/>
          <w:szCs w:val="32"/>
        </w:rPr>
        <w:t>推进校园食品安全建设，建立食堂、用餐配送单位及学校周边食品经营单位长效检查机制，实现校园食品安全监管全覆盖</w:t>
      </w:r>
      <w:r>
        <w:rPr>
          <w:rFonts w:eastAsia="方正仿宋_GBK"/>
          <w:sz w:val="32"/>
          <w:szCs w:val="32"/>
        </w:rPr>
        <w:t>,</w:t>
      </w:r>
      <w:r>
        <w:rPr>
          <w:rFonts w:hint="eastAsia" w:eastAsia="方正仿宋_GBK" w:cs="方正仿宋_GBK"/>
          <w:sz w:val="32"/>
          <w:szCs w:val="32"/>
        </w:rPr>
        <w:t>确保校园食品安全零事故。加强食用农产品监管，推进农贸市场使用食用农产品信息化溯源系统建立完善，农贸市场食用农产品快检室建设全覆盖。加快推进食品经营风险分级管理，强化网络餐饮服务、食品摊贩服务管理水平。规范药品、医疗器械市场秩序，打击制售假劣药品、医疗器械的违法行为，完善药品、医疗器械安全管理体系。加强老旧高层电梯消险，完善“预诊预警”机制，继续开展老旧住宅电梯专项整治行动。</w:t>
      </w:r>
    </w:p>
    <w:p w14:paraId="2ADB9E79">
      <w:pPr>
        <w:pStyle w:val="3"/>
        <w:keepNext w:val="0"/>
        <w:keepLines w:val="0"/>
        <w:spacing w:before="0" w:after="0" w:line="540" w:lineRule="exact"/>
        <w:jc w:val="center"/>
        <w:rPr>
          <w:rFonts w:eastAsia="华文中宋"/>
          <w:b w:val="0"/>
          <w:bCs w:val="0"/>
        </w:rPr>
      </w:pPr>
    </w:p>
    <w:p w14:paraId="6D187983"/>
    <w:p w14:paraId="6BB2DAC5">
      <w:pPr>
        <w:pStyle w:val="3"/>
        <w:keepNext w:val="0"/>
        <w:keepLines w:val="0"/>
        <w:spacing w:before="0" w:after="0" w:line="700" w:lineRule="exact"/>
        <w:jc w:val="center"/>
        <w:rPr>
          <w:rFonts w:eastAsia="华文中宋"/>
          <w:b w:val="0"/>
          <w:bCs w:val="0"/>
        </w:rPr>
      </w:pPr>
      <w:bookmarkStart w:id="195" w:name="_Toc60466342"/>
      <w:r>
        <w:rPr>
          <w:rFonts w:hint="eastAsia" w:ascii="方正小标宋_GBK" w:eastAsia="方正小标宋_GBK" w:cs="方正小标宋_GBK"/>
          <w:b w:val="0"/>
          <w:bCs w:val="0"/>
        </w:rPr>
        <w:t>第十篇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完善顶层设计体系，强化数字赋权赋能，建立智慧秦淮发展新支撑</w:t>
      </w:r>
      <w:bookmarkEnd w:id="195"/>
    </w:p>
    <w:p w14:paraId="183295B0"/>
    <w:p w14:paraId="762E9215"/>
    <w:p w14:paraId="310DC283">
      <w:pPr>
        <w:spacing w:line="590" w:lineRule="exact"/>
        <w:ind w:firstLine="629"/>
        <w:rPr>
          <w:rFonts w:eastAsia="方正仿宋_GBK"/>
          <w:sz w:val="32"/>
          <w:szCs w:val="32"/>
        </w:rPr>
      </w:pPr>
      <w:r>
        <w:rPr>
          <w:rFonts w:hint="eastAsia" w:eastAsia="方正仿宋_GBK" w:cs="方正仿宋_GBK"/>
          <w:sz w:val="32"/>
          <w:szCs w:val="32"/>
        </w:rPr>
        <w:t>顺应信息化、数字化、智慧化发展趋势，有效夯实基层基础，系统集成信息资源，完成智慧秦淮顶层设计，运行经济统筹、社会治理、城市建管、民生服务、生态管养、文化建设等多功能模块，实现全领域统筹管理和全流程跟踪服务，提升基层政府管理和服务效能。</w:t>
      </w:r>
    </w:p>
    <w:p w14:paraId="6CAEAAC8">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196" w:name="_Toc60466343"/>
      <w:r>
        <w:rPr>
          <w:rFonts w:hint="eastAsia" w:ascii="方正黑体_GBK" w:hAnsi="方正黑体_GBK" w:eastAsia="方正黑体_GBK" w:cs="方正黑体_GBK"/>
          <w:b w:val="0"/>
          <w:bCs w:val="0"/>
        </w:rPr>
        <w:t>第三十六章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完善智慧秦淮顶层设计</w:t>
      </w:r>
      <w:bookmarkEnd w:id="196"/>
    </w:p>
    <w:p w14:paraId="70E58F03">
      <w:pPr>
        <w:pStyle w:val="5"/>
        <w:spacing w:after="200"/>
        <w:jc w:val="center"/>
        <w:rPr>
          <w:rFonts w:ascii="方正楷体_GBK" w:hAnsi="方正楷体_GBK" w:eastAsia="方正楷体_GBK"/>
          <w:b w:val="0"/>
          <w:bCs w:val="0"/>
        </w:rPr>
      </w:pPr>
      <w:bookmarkStart w:id="197" w:name="_Toc60466344"/>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打通形成基础数据平台</w:t>
      </w:r>
      <w:bookmarkEnd w:id="197"/>
    </w:p>
    <w:p w14:paraId="36C9BBEF">
      <w:pPr>
        <w:spacing w:line="590" w:lineRule="exact"/>
        <w:ind w:firstLine="629"/>
        <w:rPr>
          <w:rFonts w:eastAsia="方正仿宋_GBK"/>
          <w:sz w:val="32"/>
          <w:szCs w:val="32"/>
        </w:rPr>
      </w:pPr>
      <w:r>
        <w:rPr>
          <w:rFonts w:hint="eastAsia" w:eastAsia="方正仿宋_GBK" w:cs="方正仿宋_GBK"/>
          <w:sz w:val="32"/>
          <w:szCs w:val="32"/>
        </w:rPr>
        <w:t>依托政务云平台建设，打通部门间数据信息壁垒，建立安全高效、分级管理的经济、社会发展信息</w:t>
      </w:r>
      <w:r>
        <w:rPr>
          <w:rFonts w:hint="eastAsia" w:eastAsia="方正仿宋_GBK" w:cs="方正仿宋_GBK"/>
          <w:sz w:val="32"/>
          <w:szCs w:val="32"/>
          <w:lang w:eastAsia="zh-CN"/>
        </w:rPr>
        <w:t>共建共治共享</w:t>
      </w:r>
      <w:r>
        <w:rPr>
          <w:rFonts w:hint="eastAsia" w:eastAsia="方正仿宋_GBK" w:cs="方正仿宋_GBK"/>
          <w:sz w:val="32"/>
          <w:szCs w:val="32"/>
        </w:rPr>
        <w:t>平台。通过信息收集、数据直报、数据整合、指标统筹、数据预警、趋势分析等功能，为决策部门提供智能在线的监测、分析、诊断的科学辅助。通过智能化、可视化信息技术，面向决策者提供全域、全平台、全行业、各类企业、社区居民事务等综合运行监测全景图。通过数据算法设定，对重大经济社会发展数据波动、重点指标、项目、事项进行更为精准的预警、分析、研判。</w:t>
      </w:r>
    </w:p>
    <w:p w14:paraId="0DA9A958">
      <w:pPr>
        <w:pStyle w:val="5"/>
        <w:spacing w:after="200"/>
        <w:jc w:val="center"/>
        <w:rPr>
          <w:rFonts w:ascii="方正楷体_GBK" w:hAnsi="方正楷体_GBK" w:eastAsia="方正楷体_GBK"/>
          <w:b w:val="0"/>
          <w:bCs w:val="0"/>
        </w:rPr>
      </w:pPr>
      <w:bookmarkStart w:id="198" w:name="_Toc60466345"/>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完成基础设施功能建设</w:t>
      </w:r>
      <w:bookmarkEnd w:id="198"/>
    </w:p>
    <w:p w14:paraId="49B740AE">
      <w:pPr>
        <w:spacing w:line="590" w:lineRule="exact"/>
        <w:ind w:firstLine="629"/>
        <w:rPr>
          <w:rFonts w:eastAsia="方正仿宋_GBK"/>
          <w:sz w:val="32"/>
          <w:szCs w:val="32"/>
        </w:rPr>
      </w:pPr>
      <w:r>
        <w:rPr>
          <w:rFonts w:hint="eastAsia" w:eastAsia="方正仿宋_GBK" w:cs="方正仿宋_GBK"/>
          <w:sz w:val="32"/>
          <w:szCs w:val="32"/>
        </w:rPr>
        <w:t>在硬件建设上，推进政务云平台建设和网络改造提升，发展公有云平台，组建城区级“环网</w:t>
      </w:r>
      <w:r>
        <w:rPr>
          <w:rFonts w:eastAsia="方正仿宋_GBK"/>
          <w:sz w:val="32"/>
          <w:szCs w:val="32"/>
        </w:rPr>
        <w:t>+</w:t>
      </w:r>
      <w:r>
        <w:rPr>
          <w:rFonts w:hint="eastAsia" w:eastAsia="方正仿宋_GBK" w:cs="方正仿宋_GBK"/>
          <w:sz w:val="32"/>
          <w:szCs w:val="32"/>
        </w:rPr>
        <w:t>星型”的万兆核心网，并依托太平南路和秦虹路的核心网络节点，千兆直连全区</w:t>
      </w:r>
      <w:r>
        <w:rPr>
          <w:rFonts w:eastAsia="方正仿宋_GBK"/>
          <w:sz w:val="32"/>
          <w:szCs w:val="32"/>
        </w:rPr>
        <w:t>75</w:t>
      </w:r>
      <w:r>
        <w:rPr>
          <w:rFonts w:hint="eastAsia" w:eastAsia="方正仿宋_GBK" w:cs="方正仿宋_GBK"/>
          <w:sz w:val="32"/>
          <w:szCs w:val="32"/>
        </w:rPr>
        <w:t>个党政机关和区属国企、</w:t>
      </w:r>
      <w:r>
        <w:rPr>
          <w:rFonts w:eastAsia="方正仿宋_GBK"/>
          <w:sz w:val="32"/>
          <w:szCs w:val="32"/>
        </w:rPr>
        <w:t>104</w:t>
      </w:r>
      <w:r>
        <w:rPr>
          <w:rFonts w:hint="eastAsia" w:eastAsia="方正仿宋_GBK" w:cs="方正仿宋_GBK"/>
          <w:sz w:val="32"/>
          <w:szCs w:val="32"/>
        </w:rPr>
        <w:t>个社区。在软件功能上，完成数据目录梳理归集、标准体系建设工作，按照需求建设专题模块。依托区数据中心统一的基础能力支撑和计算存储云服务体系，提供跨部门、跨领域的数据交换、共享、分析、运营等数据服务，逐步实现“统筹建云、数据上云”。</w:t>
      </w:r>
    </w:p>
    <w:p w14:paraId="0A06C30D">
      <w:pPr>
        <w:pStyle w:val="5"/>
        <w:spacing w:after="200"/>
        <w:jc w:val="center"/>
        <w:rPr>
          <w:rFonts w:ascii="方正楷体_GBK" w:hAnsi="方正楷体_GBK" w:eastAsia="方正楷体_GBK"/>
          <w:b w:val="0"/>
          <w:bCs w:val="0"/>
        </w:rPr>
      </w:pPr>
      <w:bookmarkStart w:id="199" w:name="_Toc60466346"/>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增强数据风险控制能力</w:t>
      </w:r>
      <w:bookmarkEnd w:id="199"/>
    </w:p>
    <w:p w14:paraId="31E6FB1F">
      <w:pPr>
        <w:spacing w:line="590" w:lineRule="exact"/>
        <w:ind w:firstLine="629"/>
        <w:rPr>
          <w:rFonts w:eastAsia="方正仿宋_GBK"/>
          <w:sz w:val="32"/>
          <w:szCs w:val="32"/>
        </w:rPr>
      </w:pPr>
      <w:r>
        <w:rPr>
          <w:rFonts w:hint="eastAsia" w:eastAsia="方正仿宋_GBK" w:cs="方正仿宋_GBK"/>
          <w:sz w:val="32"/>
          <w:szCs w:val="32"/>
        </w:rPr>
        <w:t>部署私有云，实现数据“托管式专用”，提升数据存储安全性。充分考虑基础数据浏览、查询、获取的保密等级和分级权限设定，对基础数据开放范围、数据引用、公开范围等内容实现严格界定和精准管理，形成数据提供部门、使用部门、管理部门共同治理、共同监督、共同使用、共同维护的制度体系和协作氛围，减少数据盲区和灰色地带，提高数据风险控制的意识和能力。</w:t>
      </w:r>
    </w:p>
    <w:p w14:paraId="5DBC847F">
      <w:pPr>
        <w:pStyle w:val="5"/>
        <w:spacing w:after="200"/>
        <w:jc w:val="center"/>
        <w:rPr>
          <w:rFonts w:ascii="方正楷体_GBK" w:hAnsi="方正楷体_GBK" w:eastAsia="方正楷体_GBK"/>
          <w:b w:val="0"/>
          <w:bCs w:val="0"/>
        </w:rPr>
      </w:pPr>
      <w:bookmarkStart w:id="200" w:name="_Toc60466347"/>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增强数据资产运管能力</w:t>
      </w:r>
      <w:bookmarkEnd w:id="200"/>
    </w:p>
    <w:p w14:paraId="2E307CB1">
      <w:pPr>
        <w:spacing w:line="590" w:lineRule="exact"/>
        <w:ind w:firstLine="629"/>
        <w:rPr>
          <w:rFonts w:eastAsia="方正仿宋_GBK"/>
          <w:sz w:val="32"/>
          <w:szCs w:val="32"/>
        </w:rPr>
      </w:pPr>
      <w:r>
        <w:rPr>
          <w:rFonts w:hint="eastAsia" w:eastAsia="方正仿宋_GBK" w:cs="方正仿宋_GBK"/>
          <w:sz w:val="32"/>
          <w:szCs w:val="32"/>
        </w:rPr>
        <w:t>在加强数据安全和隐私保护的前提下，对全区数据资源进行统一扎口管理，引进国有资产对大数据资源进行统筹运营，增强政府数据资产运营管理意识和能力，探索数据资源化、资产化、资本化实现路径。建立高效的数据交换共享机制，深度利用分散数据，实现数据互联互通、信息共享、业务协同。推动数据资产运营应用场景引进、培育和建设，对可合理利用、开发的政府数据进行深入挖掘和系统盘活，通过制度保障，实现并增强各部门数据聚合价值。</w:t>
      </w:r>
    </w:p>
    <w:p w14:paraId="62465B8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01" w:name="_Toc60466348"/>
      <w:r>
        <w:rPr>
          <w:rFonts w:hint="eastAsia" w:ascii="方正黑体_GBK" w:hAnsi="方正黑体_GBK" w:eastAsia="方正黑体_GBK" w:cs="方正黑体_GBK"/>
          <w:b w:val="0"/>
          <w:bCs w:val="0"/>
        </w:rPr>
        <w:t>第三十七章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充实智慧秦淮管理服务功能</w:t>
      </w:r>
      <w:bookmarkEnd w:id="201"/>
    </w:p>
    <w:p w14:paraId="20225627">
      <w:pPr>
        <w:pStyle w:val="5"/>
        <w:spacing w:after="200"/>
        <w:jc w:val="center"/>
        <w:rPr>
          <w:rFonts w:ascii="方正楷体_GBK" w:hAnsi="方正楷体_GBK" w:eastAsia="方正楷体_GBK"/>
          <w:b w:val="0"/>
          <w:bCs w:val="0"/>
        </w:rPr>
      </w:pPr>
      <w:bookmarkStart w:id="202" w:name="_Toc60466349"/>
      <w:r>
        <w:rPr>
          <w:rFonts w:hint="eastAsia" w:ascii="方正楷体_GBK" w:hAnsi="方正楷体_GBK" w:eastAsia="方正楷体_GBK" w:cs="方正楷体_GBK"/>
          <w:b w:val="0"/>
          <w:bCs w:val="0"/>
        </w:rPr>
        <w:t>第一节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实现智慧经济统筹</w:t>
      </w:r>
      <w:bookmarkEnd w:id="202"/>
    </w:p>
    <w:p w14:paraId="04F7B8E3">
      <w:pPr>
        <w:spacing w:line="590" w:lineRule="exact"/>
        <w:ind w:firstLine="629"/>
        <w:rPr>
          <w:rFonts w:eastAsia="方正仿宋_GBK"/>
          <w:sz w:val="32"/>
          <w:szCs w:val="32"/>
        </w:rPr>
      </w:pPr>
      <w:r>
        <w:rPr>
          <w:rFonts w:hint="eastAsia" w:eastAsia="方正仿宋_GBK" w:cs="方正仿宋_GBK"/>
          <w:sz w:val="32"/>
          <w:szCs w:val="32"/>
        </w:rPr>
        <w:t>建设经济管理平台。统筹汇集综合经济部门、行业监管部门及各类涉企运营数据，搭建经济部门间</w:t>
      </w:r>
      <w:r>
        <w:rPr>
          <w:rFonts w:hint="eastAsia" w:eastAsia="方正仿宋_GBK" w:cs="方正仿宋_GBK"/>
          <w:sz w:val="32"/>
          <w:szCs w:val="32"/>
          <w:lang w:eastAsia="zh-CN"/>
        </w:rPr>
        <w:t>共建共治共享</w:t>
      </w:r>
      <w:r>
        <w:rPr>
          <w:rFonts w:hint="eastAsia" w:eastAsia="方正仿宋_GBK" w:cs="方正仿宋_GBK"/>
          <w:sz w:val="32"/>
          <w:szCs w:val="32"/>
        </w:rPr>
        <w:t>的大数据平台，实现指标推进、企业跟踪、招商服务、项目推进、运行分析等多项功能，为政府决策提供全时智能在线的监测、分析、诊断等科学辅助，为经济部门考核奖惩提供基础支撑。建设企业服务平台。统筹发布政府各类经济服务信息，及时对接解答企业诉求，搭建政企沟通平台，通过行业生态营造、产业链资源联动、投融资对接、政策发布申报、服务工单流转、政企互动对接、信用体系建设、满意度测评等功能，为企业提供全天候服务，增进政企互动、企企互动活跃度和企业粘性。实现园区、楼宇、街区的智慧化、集成化、标准化管理服务，预留社会化资源接入端口。建设全区资源网上服务交易平台，实现载体信息动态、政策申报、产品采购对接、知识产权服务、人才招聘服务、法律咨询服务等资源信息统筹上网。</w:t>
      </w:r>
    </w:p>
    <w:p w14:paraId="2548F546">
      <w:pPr>
        <w:pStyle w:val="5"/>
        <w:spacing w:after="200"/>
        <w:jc w:val="center"/>
        <w:rPr>
          <w:rFonts w:ascii="方正楷体_GBK" w:hAnsi="方正楷体_GBK" w:eastAsia="方正楷体_GBK"/>
          <w:b w:val="0"/>
          <w:bCs w:val="0"/>
        </w:rPr>
      </w:pPr>
      <w:bookmarkStart w:id="203" w:name="_Toc60466350"/>
      <w:r>
        <w:rPr>
          <w:rFonts w:hint="eastAsia" w:ascii="方正楷体_GBK" w:hAnsi="方正楷体_GBK" w:eastAsia="方正楷体_GBK" w:cs="方正楷体_GBK"/>
          <w:b w:val="0"/>
          <w:bCs w:val="0"/>
        </w:rPr>
        <w:t>第二节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实现智慧民生服务</w:t>
      </w:r>
      <w:bookmarkEnd w:id="203"/>
    </w:p>
    <w:p w14:paraId="5E100ACD">
      <w:pPr>
        <w:spacing w:line="590" w:lineRule="exact"/>
        <w:ind w:firstLine="629"/>
        <w:rPr>
          <w:rFonts w:eastAsia="方正仿宋_GBK"/>
          <w:sz w:val="32"/>
          <w:szCs w:val="32"/>
        </w:rPr>
      </w:pPr>
      <w:r>
        <w:rPr>
          <w:rFonts w:hint="eastAsia" w:eastAsia="方正仿宋_GBK" w:cs="方正仿宋_GBK"/>
          <w:sz w:val="32"/>
          <w:szCs w:val="32"/>
        </w:rPr>
        <w:t>实现各类公共服务设施的落图落点，服务设施详细情况展示查询，服务辐射人群的动态展示，为科学规划公用服务设施，有效补齐民生短板提供基础支撑。建立全区公共设施服务管理动态数据平台，对接社区网格化管理服务系统的数据，对接国土空间规划，实现新建公共服务设施选址、规划、建设和服务人群的科学、精准匹配，提高空间使用效率，实现多种功能复合融入。实现医疗、养老、托幼、文化、体育、教育、社会保障、民生救助等民生信息整合联动，探索民生指标、民生项目、民生实事的全流程跟踪和全生命周期管理。</w:t>
      </w:r>
    </w:p>
    <w:p w14:paraId="61253798">
      <w:pPr>
        <w:pStyle w:val="5"/>
        <w:spacing w:after="200"/>
        <w:jc w:val="center"/>
        <w:rPr>
          <w:rFonts w:ascii="方正楷体_GBK" w:hAnsi="方正楷体_GBK" w:eastAsia="方正楷体_GBK"/>
          <w:b w:val="0"/>
          <w:bCs w:val="0"/>
        </w:rPr>
      </w:pPr>
      <w:bookmarkStart w:id="204" w:name="_Toc60466351"/>
      <w:r>
        <w:rPr>
          <w:rFonts w:hint="eastAsia" w:ascii="方正楷体_GBK" w:hAnsi="方正楷体_GBK" w:eastAsia="方正楷体_GBK" w:cs="方正楷体_GBK"/>
          <w:b w:val="0"/>
          <w:bCs w:val="0"/>
        </w:rPr>
        <w:t>第三节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实现智慧城市建管</w:t>
      </w:r>
      <w:bookmarkEnd w:id="204"/>
    </w:p>
    <w:p w14:paraId="3F41FB4A">
      <w:pPr>
        <w:spacing w:line="590" w:lineRule="exact"/>
        <w:ind w:firstLine="629"/>
        <w:rPr>
          <w:rFonts w:eastAsia="方正仿宋_GBK"/>
          <w:sz w:val="32"/>
          <w:szCs w:val="32"/>
        </w:rPr>
      </w:pPr>
      <w:r>
        <w:rPr>
          <w:rFonts w:hint="eastAsia" w:eastAsia="方正仿宋_GBK" w:cs="方正仿宋_GBK"/>
          <w:sz w:val="32"/>
          <w:szCs w:val="32"/>
        </w:rPr>
        <w:t>实现全域道路交通路网体系、轨道交通体系、公共交通站点和线路体系、城市慢行系统和绿道体系、城市公园绿地、道路街巷、湖泊水系、地下管网等建设要素落图，统筹推进餐饮企业油烟在线监控、智慧工地监控、污染物排放和变化监控等智慧化城市管理体系建设，系统布设智能灯杆、智能窨井盖、智能垃圾桶、积淹水片区智能报警等智能城市基础设施，为城市管理、道路养护、应急处置等提供智能化、精准化、科学化服务。</w:t>
      </w:r>
    </w:p>
    <w:p w14:paraId="50ABC8BA">
      <w:pPr>
        <w:pStyle w:val="5"/>
        <w:spacing w:after="200"/>
        <w:jc w:val="center"/>
        <w:rPr>
          <w:rFonts w:ascii="方正楷体_GBK" w:hAnsi="方正楷体_GBK" w:eastAsia="方正楷体_GBK"/>
          <w:b w:val="0"/>
          <w:bCs w:val="0"/>
        </w:rPr>
      </w:pPr>
      <w:bookmarkStart w:id="205" w:name="_Toc60466352"/>
      <w:r>
        <w:rPr>
          <w:rFonts w:hint="eastAsia" w:ascii="方正楷体_GBK" w:hAnsi="方正楷体_GBK" w:eastAsia="方正楷体_GBK" w:cs="方正楷体_GBK"/>
          <w:b w:val="0"/>
          <w:bCs w:val="0"/>
        </w:rPr>
        <w:t>第四节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实现智慧生态管养</w:t>
      </w:r>
      <w:bookmarkEnd w:id="205"/>
    </w:p>
    <w:p w14:paraId="1CCB34CC">
      <w:pPr>
        <w:spacing w:line="550" w:lineRule="exact"/>
        <w:ind w:firstLine="629"/>
        <w:rPr>
          <w:rFonts w:eastAsia="方正仿宋_GBK"/>
          <w:sz w:val="32"/>
          <w:szCs w:val="32"/>
        </w:rPr>
      </w:pPr>
      <w:r>
        <w:rPr>
          <w:rFonts w:hint="eastAsia" w:eastAsia="方正仿宋_GBK" w:cs="方正仿宋_GBK"/>
          <w:sz w:val="32"/>
          <w:szCs w:val="32"/>
        </w:rPr>
        <w:t>创新生态环境、水环境监管手段，拓展污染防治、水务监管的智慧化方式，运用全球定位系统、视频监控、卫星遥感、红外探测、无人机巡查等技术，搭建基于物联网技术的生态环境保护数据平台、智慧水务平台，搭建大气环境网格化监管系统和水环境综合治理可视化监控系统，实现污染源、环境质量等信息实时采集，助力高效精准传递，以及污染源监控、环境质量检测、监督执法及管理决策。</w:t>
      </w:r>
    </w:p>
    <w:p w14:paraId="14583E9C">
      <w:pPr>
        <w:pStyle w:val="5"/>
        <w:spacing w:after="200"/>
        <w:jc w:val="center"/>
        <w:rPr>
          <w:rFonts w:ascii="方正楷体_GBK" w:hAnsi="方正楷体_GBK" w:eastAsia="方正楷体_GBK"/>
          <w:b w:val="0"/>
          <w:bCs w:val="0"/>
        </w:rPr>
      </w:pPr>
      <w:bookmarkStart w:id="206" w:name="_Toc60466353"/>
      <w:r>
        <w:rPr>
          <w:rFonts w:hint="eastAsia" w:ascii="方正楷体_GBK" w:hAnsi="方正楷体_GBK" w:eastAsia="方正楷体_GBK" w:cs="方正楷体_GBK"/>
          <w:b w:val="0"/>
          <w:bCs w:val="0"/>
        </w:rPr>
        <w:t>第五节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实现智慧社会治理</w:t>
      </w:r>
      <w:bookmarkEnd w:id="206"/>
    </w:p>
    <w:p w14:paraId="6CF76A77">
      <w:pPr>
        <w:spacing w:line="550" w:lineRule="exact"/>
        <w:ind w:firstLine="629"/>
        <w:rPr>
          <w:rFonts w:eastAsia="方正仿宋_GBK"/>
          <w:sz w:val="32"/>
          <w:szCs w:val="32"/>
        </w:rPr>
      </w:pPr>
      <w:r>
        <w:rPr>
          <w:rFonts w:eastAsia="方正仿宋_GBK"/>
          <w:sz w:val="32"/>
          <w:szCs w:val="32"/>
        </w:rPr>
        <w:t xml:space="preserve"> </w:t>
      </w:r>
      <w:r>
        <w:rPr>
          <w:rFonts w:hint="eastAsia" w:eastAsia="方正仿宋_GBK" w:cs="方正仿宋_GBK"/>
          <w:sz w:val="32"/>
          <w:szCs w:val="32"/>
        </w:rPr>
        <w:t>按照统一领导、联动共治、一体运行、智治支撑的“大治理”理念，优化全区社会治理综合指挥中心体系，调度解决全区与社会治理相关各类事件和问题。加强区综合指挥平台建设，通过概貌感知、信息归集、一网监管、研判预警、监督考核等方式完善</w:t>
      </w:r>
      <w:r>
        <w:rPr>
          <w:rFonts w:eastAsia="方正仿宋_GBK"/>
          <w:sz w:val="32"/>
          <w:szCs w:val="32"/>
        </w:rPr>
        <w:t>24</w:t>
      </w:r>
      <w:r>
        <w:rPr>
          <w:rFonts w:hint="eastAsia" w:eastAsia="方正仿宋_GBK" w:cs="方正仿宋_GBK"/>
          <w:sz w:val="32"/>
          <w:szCs w:val="32"/>
        </w:rPr>
        <w:t>小时全域调度体系，充分发挥指挥平台智能化优势，打造功能完备、反应敏捷、决策有力的区级“指挥方舱”，提升各级指挥中心“</w:t>
      </w:r>
      <w:r>
        <w:rPr>
          <w:rFonts w:eastAsia="方正仿宋_GBK"/>
          <w:sz w:val="32"/>
          <w:szCs w:val="32"/>
        </w:rPr>
        <w:t>1+N</w:t>
      </w:r>
      <w:r>
        <w:rPr>
          <w:rFonts w:hint="eastAsia" w:eastAsia="方正仿宋_GBK" w:cs="方正仿宋_GBK"/>
          <w:sz w:val="32"/>
          <w:szCs w:val="32"/>
        </w:rPr>
        <w:t>”快速处置响应能力，形成全区社会治理一个平台网上指挥，线上、线下高效协同的集约化、智能化运行平台，提升基层社会治理现代化水平。</w:t>
      </w:r>
    </w:p>
    <w:p w14:paraId="5C913F7A">
      <w:pPr>
        <w:pStyle w:val="5"/>
        <w:spacing w:after="200"/>
        <w:jc w:val="center"/>
        <w:rPr>
          <w:rFonts w:ascii="方正楷体_GBK" w:hAnsi="方正楷体_GBK" w:eastAsia="方正楷体_GBK"/>
          <w:b w:val="0"/>
          <w:bCs w:val="0"/>
        </w:rPr>
      </w:pPr>
      <w:bookmarkStart w:id="207" w:name="_Toc60466354"/>
      <w:r>
        <w:rPr>
          <w:rFonts w:hint="eastAsia" w:ascii="方正楷体_GBK" w:hAnsi="方正楷体_GBK" w:eastAsia="方正楷体_GBK" w:cs="方正楷体_GBK"/>
          <w:b w:val="0"/>
          <w:bCs w:val="0"/>
        </w:rPr>
        <w:t>第六节</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实现智慧文化建设</w:t>
      </w:r>
      <w:bookmarkEnd w:id="207"/>
    </w:p>
    <w:p w14:paraId="3B3A2D54">
      <w:pPr>
        <w:spacing w:line="550" w:lineRule="exact"/>
        <w:ind w:firstLine="629"/>
        <w:rPr>
          <w:rFonts w:eastAsia="方正仿宋_GBK"/>
          <w:sz w:val="32"/>
          <w:szCs w:val="32"/>
        </w:rPr>
      </w:pPr>
      <w:r>
        <w:rPr>
          <w:rFonts w:hint="eastAsia" w:eastAsia="方正仿宋_GBK" w:cs="方正仿宋_GBK"/>
          <w:sz w:val="32"/>
          <w:szCs w:val="32"/>
        </w:rPr>
        <w:t>搭建文旅商大数据资源、领军型人才、多元化产品、交易性功能、流量化传播等模块平台，实现精准客群、消费画像等功能，构建数字化体验式消费和场景化营销，加快向新零售转型。打造公共文化云平台，增添新闻出版、广播影视、数字传媒等企业打造数字精品内容创作和新型数字文化资源传播渠道，推进数字文化产品和公共服务在公共空间应用，在文化场馆、文娱场所、景区景点、街区园区开发数字化产品和服务，将创作、生产和传播等向云上拓展，扩大优质数字公共文化产品供给。</w:t>
      </w:r>
    </w:p>
    <w:p w14:paraId="5A6D3E50">
      <w:pPr>
        <w:pStyle w:val="2"/>
        <w:rPr>
          <w:rFonts w:eastAsia="方正仿宋_GBK"/>
          <w:sz w:val="32"/>
          <w:szCs w:val="32"/>
        </w:rPr>
      </w:pPr>
    </w:p>
    <w:p w14:paraId="4073A517">
      <w:pPr>
        <w:pStyle w:val="2"/>
        <w:rPr>
          <w:rFonts w:eastAsia="方正仿宋_GBK"/>
          <w:sz w:val="32"/>
          <w:szCs w:val="32"/>
        </w:rPr>
      </w:pPr>
    </w:p>
    <w:p w14:paraId="73E9AA20">
      <w:pPr>
        <w:pStyle w:val="2"/>
        <w:rPr>
          <w:rFonts w:eastAsia="华文中宋"/>
        </w:rPr>
      </w:pPr>
    </w:p>
    <w:p w14:paraId="40C1FDAA">
      <w:pPr>
        <w:pStyle w:val="3"/>
        <w:keepNext w:val="0"/>
        <w:keepLines w:val="0"/>
        <w:spacing w:before="0" w:after="0" w:line="700" w:lineRule="exact"/>
        <w:jc w:val="center"/>
        <w:rPr>
          <w:rFonts w:ascii="方正小标宋_GBK" w:eastAsia="方正小标宋_GBK"/>
          <w:b w:val="0"/>
          <w:bCs w:val="0"/>
        </w:rPr>
      </w:pPr>
      <w:bookmarkStart w:id="208" w:name="_Toc60466355"/>
      <w:r>
        <w:rPr>
          <w:rFonts w:hint="eastAsia" w:ascii="方正小标宋_GBK" w:eastAsia="方正小标宋_GBK" w:cs="方正小标宋_GBK"/>
          <w:b w:val="0"/>
          <w:bCs w:val="0"/>
        </w:rPr>
        <w:t>第十一篇</w:t>
      </w:r>
      <w:r>
        <w:rPr>
          <w:rFonts w:ascii="方正小标宋_GBK" w:eastAsia="方正小标宋_GBK" w:cs="方正小标宋_GBK"/>
          <w:b w:val="0"/>
          <w:bCs w:val="0"/>
        </w:rPr>
        <w:t xml:space="preserve"> </w:t>
      </w:r>
      <w:r>
        <w:rPr>
          <w:rFonts w:hint="eastAsia" w:ascii="方正小标宋_GBK" w:eastAsia="方正小标宋_GBK" w:cs="方正小标宋_GBK"/>
          <w:b w:val="0"/>
          <w:bCs w:val="0"/>
        </w:rPr>
        <w:t>坚持党的全面领导，切实强化实施保障，共促秦淮高质量发展蓝图落地</w:t>
      </w:r>
      <w:bookmarkEnd w:id="208"/>
    </w:p>
    <w:p w14:paraId="650DA48E">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09" w:name="_Toc60466356"/>
      <w:r>
        <w:rPr>
          <w:rFonts w:hint="eastAsia" w:ascii="方正黑体_GBK" w:hAnsi="方正黑体_GBK" w:eastAsia="方正黑体_GBK" w:cs="方正黑体_GBK"/>
          <w:b w:val="0"/>
          <w:bCs w:val="0"/>
        </w:rPr>
        <w:t>第三十八章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坚持党的全面领导</w:t>
      </w:r>
      <w:bookmarkEnd w:id="209"/>
    </w:p>
    <w:p w14:paraId="3C0E209B">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实现“十四五”规划和二〇三五年远景目标，必须坚持党的全面领导，充分调动一切积极因素，广泛团结一切可以团结的力量，最大限度凝聚起推动发展的强大合力。坚持旗帜鲜明讲政治，推动全区党员深入学习贯彻习近平新时代中国特色社会主义思想，树牢“四个意识”、坚定“四个自信”、坚决做到“两个维护”，在思想上政治上行动上始终同以习近平同志为核心的党中央保持高度一致，确保党中央决策部署不折不扣在秦淮落地生根。落实党委全面从严治党主体责任，提高秦淮党的建设质量。深化党史学习运用，教育引导全区党员干部坚持共产主义远大理想和中国特色社会主义共同理想，不忘初心、牢记使命，为推动各项事业迈上新台阶不懈奋斗。全面贯彻新时代党的组织路线，加强干部队伍建设，落实好干部标准，实施专业化能力提升计划，提高全区各级领导班子和干部适应新时代要求抓改革、促发展、保稳定水平和能力。深化省委“三项机制”运用，加强对敢担当、善作为干部的激励保护，以正确用人导向引领干事创业导向。</w:t>
      </w:r>
    </w:p>
    <w:p w14:paraId="16AB5353">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0" w:name="_Toc60466357"/>
      <w:r>
        <w:rPr>
          <w:rFonts w:hint="eastAsia" w:ascii="方正黑体_GBK" w:hAnsi="方正黑体_GBK" w:eastAsia="方正黑体_GBK" w:cs="方正黑体_GBK"/>
          <w:b w:val="0"/>
          <w:bCs w:val="0"/>
        </w:rPr>
        <w:t>第三十九章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广泛汇聚多方共识</w:t>
      </w:r>
      <w:bookmarkEnd w:id="210"/>
    </w:p>
    <w:p w14:paraId="6B8FCC36">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鼓励广大人民群众和社会各界广泛参与“十四五”规划编制和实施的全过程，坚持人民至上，紧紧依靠人民，牢牢植根人民，始终践行以人民为中心的发展思想，更好凝聚人民群众智慧和力量，开门问策、集思广益，面对面倾听来自基层的声音，了解群众所思所盼，解决百姓的困难问题。加强人大对“一府一委两院”的监督，确保全区人民依法通过各种途径和形式管理秦淮事务、管理经济文化事业、管理社会事务。坚持和完善中国共产党领导的多党合作和政治协商制度，加强区政协专门协商机构建设，发挥社会主义协商民主独特优势，提高建言资政和凝聚共识水平。注重发挥工会、共青团、妇联等群团组织的作用，不断提高联系服务群众凝聚群众的实效。增强双拥工作的使命感责任感，创新方法手段，提升双拥工作质效。学习贯彻习近平总书记关于加强和改进统一战线工作的重要思想，完善大统战工作格局，巩固和发展大团结大联合局面。充分发挥人才荟萃、智力密集、联系广泛、资源丰富的独特优势，做好民主党派、党外知识分子、民族宗教、非公有制经济、侨台海外、新的社会阶层统战工作，促进政党关系、民族关系、宗教关系、阶层关系、海内外同胞关系和谐。创建“全国民族团结进步示范区”“全国民族团结进步模范集体”，全面贯彻党的民族政策，铸牢中华民族共同体意识。创建全国“五好”县级工商联，发挥红花街道全国“四好”商会示范效应，推动基层商会全面发展，高标准打造新的社会阶层人士统战工作实践创新基地。以最大公约数画好最大同心圆，凝聚最大正能量，奋进新时代，开启新征程。</w:t>
      </w:r>
    </w:p>
    <w:p w14:paraId="40934208">
      <w:pPr>
        <w:pStyle w:val="2"/>
      </w:pPr>
    </w:p>
    <w:p w14:paraId="50F63CE4">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1" w:name="_Toc60466358"/>
      <w:r>
        <w:rPr>
          <w:rFonts w:hint="eastAsia" w:ascii="方正黑体_GBK" w:hAnsi="方正黑体_GBK" w:eastAsia="方正黑体_GBK" w:cs="方正黑体_GBK"/>
          <w:b w:val="0"/>
          <w:bCs w:val="0"/>
        </w:rPr>
        <w:t>第四十章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强化规划落实保障</w:t>
      </w:r>
      <w:bookmarkEnd w:id="211"/>
    </w:p>
    <w:p w14:paraId="19605796">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建立以规划纲要为统领，与国土空间规划有机融合，专项规划有机衔接支撑的规划体系。加强与国家、省、市上位规划的紧密衔接，加强与“十三五”规划的有机延续，明确各领域的发展目标、重点任务和保障举措，确保规划纲要“一以贯之”，确保“一张蓝图绘到底”。完善规划实施机制，规划纲要提出的发展目标、重点任务和重大项目，将纳入国民经济和社会发展的年度计划按期推进落实，同时分解到相关部门、街道、板块、国有集团公司，确保规划目标任务按序时进度推进落实。加强规划统筹引导，围绕规划纲要提出的目标任务、总体格局、重点任务，加强经济社会发展政策的协调，加强经济社会发展资源的统筹合理调配，集中优势资源实现重点改革领域的突破。</w:t>
      </w:r>
    </w:p>
    <w:p w14:paraId="76E7C820">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2" w:name="_Toc60466359"/>
      <w:r>
        <w:rPr>
          <w:rFonts w:hint="eastAsia" w:ascii="方正黑体_GBK" w:hAnsi="方正黑体_GBK" w:eastAsia="方正黑体_GBK" w:cs="方正黑体_GBK"/>
          <w:b w:val="0"/>
          <w:bCs w:val="0"/>
        </w:rPr>
        <w:t>第四十一章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深化依法治区建设</w:t>
      </w:r>
      <w:bookmarkEnd w:id="212"/>
    </w:p>
    <w:p w14:paraId="3292F82C">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实施法治秦淮建设五年规划，推进法治秦淮建设，扎实落实党政主要负责人履行推进法治建设第一责任人职责，用法治思维、法治方式促进改革、推动发展、保障和改善民生。以保证民法典有效实施为重要抓手推进法治政府建设，把民法典作为行政决策、行政管理、行政监督的重要标尺，制定落实新一轮法治政府建设方案。进一步简政放权，着力提高社会治理、城区管理质效；深入推进依法行政，严格执行规范性文件制定程序规定；推进行政决策科学民主法治，落实重大行政决策程序要求；深化行政执法体制改革，严格规范执法行为，建立区级综合行政执法新机制，推进景区综合执法；加强行政权力制约监督，落实行政机关负责人出庭应诉工作要求，逐步实行对公共资金、国有资产、国有资源和领导干部履行经济责任审计全覆盖。推进公共法律服务，法律顾问、法律援助、矛盾纠纷多元化解等机制运行更加科学规范，人民群众法治获得感、满意度不断提升。制定并组织实施“八五”普法规划，健全常态化普法宣传机制，提升全民法治观念和法治素养，推进法治文化建设。推进信用体系建设。全面贯彻执行政府信息公开条例，扎实推进公共服务类信息、依法履职类信息、政府预算审计类信息公开开展“红名单”、“黑名单”社会公示，切实推进行政许可和行政处罚事项“</w:t>
      </w:r>
      <w:r>
        <w:rPr>
          <w:rFonts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t>天双公示”，确保许可和处罚事项在“信用中国”网站及时准确公开。</w:t>
      </w:r>
    </w:p>
    <w:p w14:paraId="2B4E87EB">
      <w:pPr>
        <w:pStyle w:val="4"/>
        <w:keepNext w:val="0"/>
        <w:keepLines w:val="0"/>
        <w:spacing w:beforeLines="100" w:afterLines="100" w:line="540" w:lineRule="exact"/>
        <w:jc w:val="center"/>
        <w:rPr>
          <w:rFonts w:ascii="方正黑体_GBK" w:hAnsi="方正黑体_GBK" w:eastAsia="方正黑体_GBK" w:cs="Times New Roman"/>
          <w:b w:val="0"/>
          <w:bCs w:val="0"/>
        </w:rPr>
      </w:pPr>
      <w:bookmarkStart w:id="213" w:name="_Toc60466360"/>
      <w:r>
        <w:rPr>
          <w:rFonts w:hint="eastAsia" w:ascii="方正黑体_GBK" w:hAnsi="方正黑体_GBK" w:eastAsia="方正黑体_GBK" w:cs="方正黑体_GBK"/>
          <w:b w:val="0"/>
          <w:bCs w:val="0"/>
        </w:rPr>
        <w:t>第四十二章</w:t>
      </w:r>
      <w:r>
        <w:rPr>
          <w:rFonts w:ascii="方正黑体_GBK" w:hAnsi="方正黑体_GBK" w:eastAsia="方正黑体_GBK" w:cs="方正黑体_GBK"/>
          <w:b w:val="0"/>
          <w:bCs w:val="0"/>
        </w:rPr>
        <w:t xml:space="preserve"> </w:t>
      </w:r>
      <w:r>
        <w:rPr>
          <w:rFonts w:hint="eastAsia" w:ascii="方正黑体_GBK" w:hAnsi="方正黑体_GBK" w:eastAsia="方正黑体_GBK" w:cs="方正黑体_GBK"/>
          <w:b w:val="0"/>
          <w:bCs w:val="0"/>
        </w:rPr>
        <w:t>加强多元要素协同</w:t>
      </w:r>
      <w:bookmarkEnd w:id="213"/>
    </w:p>
    <w:p w14:paraId="60C337A5">
      <w:pPr>
        <w:spacing w:line="590" w:lineRule="exact"/>
        <w:ind w:firstLine="640" w:firstLineChars="200"/>
        <w:rPr>
          <w:rFonts w:ascii="方正仿宋_GBK" w:hAnsi="方正仿宋_GBK" w:eastAsia="方正仿宋_GBK"/>
          <w:sz w:val="32"/>
          <w:szCs w:val="32"/>
        </w:rPr>
      </w:pPr>
      <w:r>
        <w:rPr>
          <w:rFonts w:hint="eastAsia" w:ascii="方正仿宋_GBK" w:hAnsi="方正仿宋_GBK" w:eastAsia="方正仿宋_GBK" w:cs="方正仿宋_GBK"/>
          <w:sz w:val="32"/>
          <w:szCs w:val="32"/>
        </w:rPr>
        <w:t>用好人才资源。坚持党管人才原则，树立人才资源是第一资源理念，统筹人才队伍建设，形成素质优良、结构合理、引领发展的人才集群。建立健全多主体、社会化的人才资源开发机制，营造各类人才近悦远来的良好氛围。完善人才服务体系，优化人才发展环境，全力做好市级人才政策的承接落地和跨前服务。加强项目保障。科学前瞻谋划项目，在科技创新、关键产业、新型基础设施、传统基础设施、文化建设、生态文明、社会民生等领域谋划一批重大项目、重大工程，形成未来发展的项目支撑。加强财政保障。加强财政预算与规划实施的衔接协调，合理安排支出规模和结构。加大资金整合力度，优化资金配置，确保投向关键领域和薄弱环节。加强财政监督管理，最大限度发挥财政资金的使用效益。加强机制统筹。加强规划衔接，细化分解本规划确定的发展目标、主要任务，完善考核体系，确保规划落地。加强规划实施的组织、协调和督导，明确责任主体、实施进度要求，分解明确年度目标、工作指标和推进举措，确保如期完成。加强规划实施过程监督，动员全社会力量参与，引入第三方机构，依法开展阶段性评估，提高规划实施效果。</w:t>
      </w:r>
    </w:p>
    <w:p w14:paraId="70C288D1">
      <w:pPr>
        <w:spacing w:line="520" w:lineRule="exact"/>
        <w:rPr>
          <w:rFonts w:eastAsia="方正仿宋_GBK"/>
          <w:sz w:val="32"/>
          <w:szCs w:val="32"/>
        </w:rPr>
      </w:pPr>
    </w:p>
    <w:sectPr>
      <w:footerReference r:id="rId8" w:type="default"/>
      <w:footerReference r:id="rId9" w:type="even"/>
      <w:pgSz w:w="11906" w:h="16838"/>
      <w:pgMar w:top="2098" w:right="1588" w:bottom="1701" w:left="1588" w:header="851" w:footer="141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黑体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A00002BF" w:usb1="38CF7CFA" w:usb2="00082016" w:usb3="00000000" w:csb0="00040001" w:csb1="00000000"/>
  </w:font>
  <w:font w:name="方正楷体简体">
    <w:panose1 w:val="02010601030101010101"/>
    <w:charset w:val="86"/>
    <w:family w:val="auto"/>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方正书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黑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193F3">
    <w:pPr>
      <w:pStyle w:val="2"/>
      <w:wordWrap w:val="0"/>
      <w:snapToGrid/>
      <w:ind w:left="210" w:leftChars="100" w:right="210" w:rightChars="100"/>
      <w:jc w:val="right"/>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1</w:t>
    </w:r>
    <w:r>
      <w:rPr>
        <w:rFonts w:eastAsia="仿宋_GB2312"/>
        <w:sz w:val="28"/>
        <w:szCs w:val="28"/>
      </w:rPr>
      <w:fldChar w:fldCharType="end"/>
    </w:r>
    <w:r>
      <w:rPr>
        <w:rFonts w:eastAsia="仿宋_GB2312"/>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7DB71">
    <w:pPr>
      <w:pStyle w:val="2"/>
      <w:snapToGrid/>
      <w:ind w:left="210" w:leftChars="100" w:right="210" w:rightChars="100"/>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8</w:t>
    </w:r>
    <w:r>
      <w:rPr>
        <w:rFonts w:eastAsia="仿宋_GB2312"/>
        <w:sz w:val="28"/>
        <w:szCs w:val="28"/>
      </w:rPr>
      <w:fldChar w:fldCharType="end"/>
    </w:r>
    <w:r>
      <w:rPr>
        <w:rFonts w:eastAsia="仿宋_GB2312"/>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C3F96">
    <w:pPr>
      <w:pStyle w:val="2"/>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FD5138F">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9</w:t>
                          </w:r>
                          <w:r>
                            <w:rPr>
                              <w:color w:val="000000"/>
                              <w:sz w:val="28"/>
                              <w:szCs w:val="28"/>
                            </w:rPr>
                            <w:fldChar w:fldCharType="end"/>
                          </w:r>
                          <w:r>
                            <w:rPr>
                              <w:color w:val="000000"/>
                              <w:sz w:val="28"/>
                              <w:szCs w:val="28"/>
                            </w:rPr>
                            <w:t xml:space="preserve"> —</w:t>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FEnse0QEAAKIDAAAOAAAAAAAAAAEAIAAAAB8BAABk&#10;cnMvZTJvRG9jLnhtbFBLBQYAAAAABgAGAFkBAABiBQAAAAA=&#10;">
              <v:fill on="f" focussize="0,0"/>
              <v:stroke on="f" weight="0.5pt"/>
              <v:imagedata o:title=""/>
              <o:lock v:ext="edit" aspectratio="f"/>
              <v:textbox inset="0mm,0mm,0mm,0mm" style="mso-fit-shape-to-text:t;">
                <w:txbxContent>
                  <w:p w14:paraId="6FD5138F">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9</w:t>
                    </w:r>
                    <w:r>
                      <w:rPr>
                        <w:color w:val="000000"/>
                        <w:sz w:val="28"/>
                        <w:szCs w:val="28"/>
                      </w:rPr>
                      <w:fldChar w:fldCharType="end"/>
                    </w:r>
                    <w:r>
                      <w:rPr>
                        <w:color w:val="000000"/>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DBA56">
    <w:pPr>
      <w:pStyle w:val="2"/>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2" descr="7b0a20202020227461726765744d6f64756c65223a20226b6f6e6c696e6574657874626f78220a7d0a"/>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6CC07BC">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wrap="none" lIns="0" tIns="0" rIns="0" bIns="0" upright="1">
                      <a:spAutoFit/>
                    </wps:bodyPr>
                  </wps:wsp>
                </a:graphicData>
              </a:graphic>
            </wp:anchor>
          </w:drawing>
        </mc:Choice>
        <mc:Fallback>
          <w:pict>
            <v:shape id="文本框 2" o:spid="_x0000_s1026" o:spt="202" alt="7b0a20202020227461726765744d6f64756c65223a20226b6f6e6c696e6574657874626f78220a7d0a"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EULAiEAIAAP0DAAAOAAAAAAAAAAEAIAAA&#10;AB8BAABkcnMvZTJvRG9jLnhtbFBLBQYAAAAABgAGAFkBAAChBQAAAAA=&#10;">
              <v:fill on="f" focussize="0,0"/>
              <v:stroke on="f" weight="0.5pt"/>
              <v:imagedata o:title=""/>
              <o:lock v:ext="edit" aspectratio="f"/>
              <v:textbox inset="0mm,0mm,0mm,0mm" style="mso-fit-shape-to-text:t;">
                <w:txbxContent>
                  <w:p w14:paraId="56CC07BC">
                    <w:pPr>
                      <w:pStyle w:val="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6A635">
    <w:pPr>
      <w:pStyle w:val="2"/>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DC72AA">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117</w:t>
                          </w:r>
                          <w:r>
                            <w:rPr>
                              <w:color w:val="000000"/>
                              <w:sz w:val="28"/>
                              <w:szCs w:val="28"/>
                            </w:rPr>
                            <w:fldChar w:fldCharType="end"/>
                          </w:r>
                          <w:r>
                            <w:rPr>
                              <w:color w:val="000000"/>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n9ETe0QEAAKIDAAAOAAAAAAAAAAEAIAAAAB8BAABk&#10;cnMvZTJvRG9jLnhtbFBLBQYAAAAABgAGAFkBAABiBQAAAAA=&#10;">
              <v:fill on="f" focussize="0,0"/>
              <v:stroke on="f" weight="0.5pt"/>
              <v:imagedata o:title=""/>
              <o:lock v:ext="edit" aspectratio="f"/>
              <v:textbox inset="0mm,0mm,0mm,0mm" style="mso-fit-shape-to-text:t;">
                <w:txbxContent>
                  <w:p w14:paraId="03DC72AA">
                    <w:pPr>
                      <w:pStyle w:val="4"/>
                      <w:rPr>
                        <w:color w:val="000000"/>
                        <w:sz w:val="28"/>
                        <w:szCs w:val="28"/>
                      </w:rPr>
                    </w:pPr>
                    <w:r>
                      <w:rPr>
                        <w:color w:val="000000"/>
                        <w:sz w:val="28"/>
                        <w:szCs w:val="28"/>
                      </w:rPr>
                      <w:t xml:space="preserve">— </w:t>
                    </w:r>
                    <w:r>
                      <w:rPr>
                        <w:color w:val="000000"/>
                        <w:sz w:val="28"/>
                        <w:szCs w:val="28"/>
                      </w:rPr>
                      <w:fldChar w:fldCharType="begin"/>
                    </w:r>
                    <w:r>
                      <w:rPr>
                        <w:color w:val="000000"/>
                        <w:sz w:val="28"/>
                        <w:szCs w:val="28"/>
                      </w:rPr>
                      <w:instrText xml:space="preserve"> PAGE  \* MERGEFORMAT </w:instrText>
                    </w:r>
                    <w:r>
                      <w:rPr>
                        <w:color w:val="000000"/>
                        <w:sz w:val="28"/>
                        <w:szCs w:val="28"/>
                      </w:rPr>
                      <w:fldChar w:fldCharType="separate"/>
                    </w:r>
                    <w:r>
                      <w:rPr>
                        <w:color w:val="000000"/>
                        <w:sz w:val="28"/>
                        <w:szCs w:val="28"/>
                      </w:rPr>
                      <w:t>117</w:t>
                    </w:r>
                    <w:r>
                      <w:rPr>
                        <w:color w:val="000000"/>
                        <w:sz w:val="28"/>
                        <w:szCs w:val="28"/>
                      </w:rPr>
                      <w:fldChar w:fldCharType="end"/>
                    </w:r>
                    <w:r>
                      <w:rPr>
                        <w:color w:val="000000"/>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28301">
    <w:pPr>
      <w:pStyle w:val="2"/>
      <w:snapToGrid/>
      <w:ind w:left="210" w:leftChars="100" w:right="210" w:rightChars="100"/>
      <w:rPr>
        <w:rFonts w:eastAsia="仿宋_GB2312"/>
        <w:sz w:val="28"/>
        <w:szCs w:val="28"/>
      </w:rPr>
    </w:pPr>
    <w:r>
      <w:rPr>
        <w:rFonts w:eastAsia="仿宋_GB2312"/>
        <w:sz w:val="28"/>
        <w:szCs w:val="28"/>
      </w:rPr>
      <w:t xml:space="preserve">— </w:t>
    </w:r>
    <w:r>
      <w:rPr>
        <w:rFonts w:eastAsia="仿宋_GB2312"/>
        <w:sz w:val="28"/>
        <w:szCs w:val="28"/>
      </w:rPr>
      <w:fldChar w:fldCharType="begin"/>
    </w:r>
    <w:r>
      <w:rPr>
        <w:rFonts w:eastAsia="仿宋_GB2312"/>
        <w:sz w:val="28"/>
        <w:szCs w:val="28"/>
      </w:rPr>
      <w:instrText xml:space="preserve"> PAGE   \* MERGEFORMAT </w:instrText>
    </w:r>
    <w:r>
      <w:rPr>
        <w:rFonts w:eastAsia="仿宋_GB2312"/>
        <w:sz w:val="28"/>
        <w:szCs w:val="28"/>
      </w:rPr>
      <w:fldChar w:fldCharType="separate"/>
    </w:r>
    <w:r>
      <w:rPr>
        <w:rFonts w:eastAsia="仿宋_GB2312"/>
        <w:sz w:val="28"/>
        <w:szCs w:val="28"/>
        <w:lang w:val="zh-CN"/>
      </w:rPr>
      <w:t>118</w:t>
    </w:r>
    <w:r>
      <w:rPr>
        <w:rFonts w:eastAsia="仿宋_GB2312"/>
        <w:sz w:val="28"/>
        <w:szCs w:val="28"/>
      </w:rPr>
      <w:fldChar w:fldCharType="end"/>
    </w:r>
    <w:r>
      <w:rPr>
        <w:rFonts w:eastAsia="仿宋_GB2312"/>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17813586">
      <w:pPr>
        <w:pStyle w:val="10"/>
      </w:pPr>
      <w:r>
        <w:footnoteRef/>
      </w:r>
      <w:r>
        <w:rPr>
          <w:rFonts w:hint="eastAsia" w:cs="宋体"/>
        </w:rPr>
        <w:t>、全社会研发经费支出占地区生产总值比重、人均体育活动场地面积、绿化覆盖率、非工业企业碳排放控制目标完成率等</w:t>
      </w:r>
      <w:r>
        <w:t>4</w:t>
      </w:r>
      <w:r>
        <w:rPr>
          <w:rFonts w:hint="eastAsia" w:cs="宋体"/>
        </w:rPr>
        <w:t>项指标已不列入省、市对区考核统计</w:t>
      </w:r>
    </w:p>
    <w:p w14:paraId="2A359E83">
      <w:pPr>
        <w:pStyle w:val="10"/>
      </w:pPr>
      <w:r>
        <w:t>2</w:t>
      </w:r>
      <w:r>
        <w:rPr>
          <w:rFonts w:hint="eastAsia" w:cs="宋体"/>
        </w:rPr>
        <w:t>、千名老人拥有养老床位数指标市目标已从</w:t>
      </w:r>
      <w:r>
        <w:t>50%</w:t>
      </w:r>
      <w:r>
        <w:rPr>
          <w:rFonts w:hint="eastAsia" w:cs="宋体"/>
        </w:rPr>
        <w:t>调低为</w:t>
      </w:r>
      <w:r>
        <w:t>45%</w:t>
      </w:r>
    </w:p>
    <w:p w14:paraId="4C9CF768">
      <w:pPr>
        <w:pStyle w:val="10"/>
      </w:pPr>
      <w:r>
        <w:t>3</w:t>
      </w:r>
      <w:r>
        <w:rPr>
          <w:rFonts w:hint="eastAsia" w:cs="宋体"/>
        </w:rPr>
        <w:t>、公众安全感是省上半年测评情况</w:t>
      </w:r>
    </w:p>
    <w:p w14:paraId="34879E82">
      <w:pPr>
        <w:pStyle w:val="10"/>
      </w:pPr>
      <w:r>
        <w:t>4</w:t>
      </w:r>
      <w:r>
        <w:rPr>
          <w:rFonts w:hint="eastAsia" w:cs="宋体"/>
        </w:rPr>
        <w:t>、区域内常住人口指标将根据第七次人口普查数据进行调整</w:t>
      </w:r>
    </w:p>
  </w:footnote>
  <w:footnote w:id="1">
    <w:p w14:paraId="70017150">
      <w:pPr>
        <w:pStyle w:val="10"/>
      </w:pPr>
      <w:r>
        <w:rPr>
          <w:rStyle w:val="16"/>
        </w:rPr>
        <w:footnoteRef/>
      </w:r>
      <w:r>
        <w:rPr>
          <w:rFonts w:hint="eastAsia" w:cs="宋体"/>
        </w:rPr>
        <w:t>高新技术企业数、科技型中小企业数、领军人才数、</w:t>
      </w:r>
      <w:r>
        <w:t>PCT</w:t>
      </w:r>
      <w:r>
        <w:rPr>
          <w:rFonts w:hint="eastAsia" w:cs="宋体"/>
        </w:rPr>
        <w:t>国际发明专利申请实现倍增；高新技术产业产值占规上工业比重、全社会研发经费占</w:t>
      </w:r>
      <w:r>
        <w:t>GDP</w:t>
      </w:r>
      <w:r>
        <w:rPr>
          <w:rFonts w:hint="eastAsia" w:cs="宋体"/>
        </w:rPr>
        <w:t>比重、白下高新区对全区经济贡献度、新型研发机构数量实现较大提升</w:t>
      </w:r>
    </w:p>
  </w:footnote>
  <w:footnote w:id="2">
    <w:p w14:paraId="7B3FDB7F">
      <w:pPr>
        <w:pStyle w:val="10"/>
      </w:pPr>
      <w:r>
        <w:rPr>
          <w:rStyle w:val="16"/>
        </w:rPr>
        <w:footnoteRef/>
      </w:r>
      <w:r>
        <w:rPr>
          <w:rFonts w:hint="eastAsia" w:cs="宋体"/>
        </w:rPr>
        <w:t>具体指标和</w:t>
      </w:r>
      <w:r>
        <w:t>2025</w:t>
      </w:r>
      <w:r>
        <w:rPr>
          <w:rFonts w:hint="eastAsia" w:cs="宋体"/>
        </w:rPr>
        <w:t>年预计完成目标以南京市“十四五”规划确定的指标体系下达区目标为准进行调整</w:t>
      </w:r>
    </w:p>
  </w:footnote>
  <w:footnote w:id="3">
    <w:p w14:paraId="7DE4C2CA">
      <w:pPr>
        <w:pStyle w:val="10"/>
      </w:pPr>
      <w:r>
        <w:rPr>
          <w:rStyle w:val="16"/>
        </w:rPr>
        <w:footnoteRef/>
      </w:r>
      <w:r>
        <w:rPr>
          <w:rFonts w:hint="eastAsia" w:cs="宋体"/>
        </w:rPr>
        <w:t>义务教育优质均衡比例监测评价体系中共</w:t>
      </w:r>
      <w:r>
        <w:t>32</w:t>
      </w:r>
      <w:r>
        <w:rPr>
          <w:rFonts w:hint="eastAsia" w:cs="宋体"/>
        </w:rPr>
        <w:t>项，预计到</w:t>
      </w:r>
      <w:r>
        <w:t>2025</w:t>
      </w:r>
      <w:r>
        <w:rPr>
          <w:rFonts w:hint="eastAsia" w:cs="宋体"/>
        </w:rPr>
        <w:t>年完成</w:t>
      </w:r>
      <w:r>
        <w:t>30</w:t>
      </w:r>
      <w:r>
        <w:rPr>
          <w:rFonts w:hint="eastAsia" w:cs="宋体"/>
        </w:rPr>
        <w:t>项，完成比例</w:t>
      </w:r>
      <w:r>
        <w:t>93.7%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42EB4A"/>
    <w:multiLevelType w:val="singleLevel"/>
    <w:tmpl w:val="0F42EB4A"/>
    <w:lvl w:ilvl="0" w:tentative="0">
      <w:start w:val="1"/>
      <w:numFmt w:val="decimal"/>
      <w:suff w:val="nothing"/>
      <w:lvlText w:val="%1、"/>
      <w:lvlJc w:val="left"/>
    </w:lvl>
  </w:abstractNum>
  <w:abstractNum w:abstractNumId="1">
    <w:nsid w:val="74F22B64"/>
    <w:multiLevelType w:val="multilevel"/>
    <w:tmpl w:val="74F22B64"/>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evenAndOddHeaders w:val="1"/>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footnotePr>
    <w:numRestart w:val="eachPage"/>
    <w:footnote w:id="8"/>
    <w:footnote w:id="9"/>
  </w:foot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kNzViNTVkZTZkNjRmMDAyODY2YjAxODQ3ZGNkNjIifQ=="/>
  </w:docVars>
  <w:rsids>
    <w:rsidRoot w:val="00455E67"/>
    <w:rsid w:val="000224C4"/>
    <w:rsid w:val="00091572"/>
    <w:rsid w:val="000A6B75"/>
    <w:rsid w:val="00123475"/>
    <w:rsid w:val="00147091"/>
    <w:rsid w:val="001479E3"/>
    <w:rsid w:val="001858FD"/>
    <w:rsid w:val="001B22D8"/>
    <w:rsid w:val="00246F19"/>
    <w:rsid w:val="00313492"/>
    <w:rsid w:val="003807F2"/>
    <w:rsid w:val="003A4512"/>
    <w:rsid w:val="003B25B9"/>
    <w:rsid w:val="003B6C03"/>
    <w:rsid w:val="00455E67"/>
    <w:rsid w:val="00475D82"/>
    <w:rsid w:val="004A1EF2"/>
    <w:rsid w:val="004D4B7C"/>
    <w:rsid w:val="00545BFF"/>
    <w:rsid w:val="00563BA3"/>
    <w:rsid w:val="005712E2"/>
    <w:rsid w:val="005A71B7"/>
    <w:rsid w:val="00665AD5"/>
    <w:rsid w:val="00672492"/>
    <w:rsid w:val="00676143"/>
    <w:rsid w:val="006F3AC6"/>
    <w:rsid w:val="007C39F9"/>
    <w:rsid w:val="007F111D"/>
    <w:rsid w:val="00880F4E"/>
    <w:rsid w:val="0089541E"/>
    <w:rsid w:val="008A38AB"/>
    <w:rsid w:val="008E0F64"/>
    <w:rsid w:val="00984DE4"/>
    <w:rsid w:val="009A1B5F"/>
    <w:rsid w:val="009D6752"/>
    <w:rsid w:val="00A17A00"/>
    <w:rsid w:val="00A87625"/>
    <w:rsid w:val="00AF29A0"/>
    <w:rsid w:val="00B509AE"/>
    <w:rsid w:val="00B52F17"/>
    <w:rsid w:val="00B76355"/>
    <w:rsid w:val="00BD741D"/>
    <w:rsid w:val="00BE2AA6"/>
    <w:rsid w:val="00C07995"/>
    <w:rsid w:val="00C20F1E"/>
    <w:rsid w:val="00C76A10"/>
    <w:rsid w:val="00D478F9"/>
    <w:rsid w:val="00D646F8"/>
    <w:rsid w:val="00D94D2C"/>
    <w:rsid w:val="00DB3990"/>
    <w:rsid w:val="00DD5A1D"/>
    <w:rsid w:val="00E04B68"/>
    <w:rsid w:val="00F6779C"/>
    <w:rsid w:val="012632B5"/>
    <w:rsid w:val="018B2691"/>
    <w:rsid w:val="01DB4192"/>
    <w:rsid w:val="022157FB"/>
    <w:rsid w:val="025958BC"/>
    <w:rsid w:val="02693BFA"/>
    <w:rsid w:val="030A3AE7"/>
    <w:rsid w:val="043D74CA"/>
    <w:rsid w:val="04616737"/>
    <w:rsid w:val="04E0578C"/>
    <w:rsid w:val="05833747"/>
    <w:rsid w:val="058D613F"/>
    <w:rsid w:val="05DA1372"/>
    <w:rsid w:val="065378EF"/>
    <w:rsid w:val="066314C5"/>
    <w:rsid w:val="066F04FF"/>
    <w:rsid w:val="06A7118F"/>
    <w:rsid w:val="06C30199"/>
    <w:rsid w:val="06CD103D"/>
    <w:rsid w:val="06E33973"/>
    <w:rsid w:val="07B51F3A"/>
    <w:rsid w:val="08064369"/>
    <w:rsid w:val="08A86AA2"/>
    <w:rsid w:val="09355551"/>
    <w:rsid w:val="0A1E298E"/>
    <w:rsid w:val="0A2E6FCB"/>
    <w:rsid w:val="0A84220F"/>
    <w:rsid w:val="0B140595"/>
    <w:rsid w:val="0B5C4880"/>
    <w:rsid w:val="0BD813AE"/>
    <w:rsid w:val="0C0F2DF3"/>
    <w:rsid w:val="0C6B7AD3"/>
    <w:rsid w:val="0C7B77BA"/>
    <w:rsid w:val="0D215440"/>
    <w:rsid w:val="0D7F19CE"/>
    <w:rsid w:val="0E134242"/>
    <w:rsid w:val="0E260560"/>
    <w:rsid w:val="0E3B10D7"/>
    <w:rsid w:val="0E992CAE"/>
    <w:rsid w:val="0EC51122"/>
    <w:rsid w:val="0F0D6566"/>
    <w:rsid w:val="0F2F71F1"/>
    <w:rsid w:val="0F4366A5"/>
    <w:rsid w:val="0F62049C"/>
    <w:rsid w:val="0F7D78B9"/>
    <w:rsid w:val="102D357E"/>
    <w:rsid w:val="10624EDA"/>
    <w:rsid w:val="10B94364"/>
    <w:rsid w:val="10F9031B"/>
    <w:rsid w:val="11164B7C"/>
    <w:rsid w:val="111F6FB3"/>
    <w:rsid w:val="11432903"/>
    <w:rsid w:val="115D70BD"/>
    <w:rsid w:val="11631F92"/>
    <w:rsid w:val="11937CAB"/>
    <w:rsid w:val="11C02E7F"/>
    <w:rsid w:val="11EE406D"/>
    <w:rsid w:val="123F13AE"/>
    <w:rsid w:val="128B1451"/>
    <w:rsid w:val="12B6393D"/>
    <w:rsid w:val="1322610D"/>
    <w:rsid w:val="134624F5"/>
    <w:rsid w:val="13B81544"/>
    <w:rsid w:val="144B605A"/>
    <w:rsid w:val="14743D98"/>
    <w:rsid w:val="15920BE2"/>
    <w:rsid w:val="15C80372"/>
    <w:rsid w:val="166D3443"/>
    <w:rsid w:val="16AB1242"/>
    <w:rsid w:val="16D832EB"/>
    <w:rsid w:val="16DB02C5"/>
    <w:rsid w:val="170521AD"/>
    <w:rsid w:val="172617DB"/>
    <w:rsid w:val="179E26ED"/>
    <w:rsid w:val="17E637EE"/>
    <w:rsid w:val="18244EA8"/>
    <w:rsid w:val="18296E78"/>
    <w:rsid w:val="189B51E1"/>
    <w:rsid w:val="18B923D9"/>
    <w:rsid w:val="18C0525E"/>
    <w:rsid w:val="191C7ED6"/>
    <w:rsid w:val="1A2F2E22"/>
    <w:rsid w:val="1B090A77"/>
    <w:rsid w:val="1B5F0404"/>
    <w:rsid w:val="1B6C3DFB"/>
    <w:rsid w:val="1B9967D7"/>
    <w:rsid w:val="1BD246CD"/>
    <w:rsid w:val="1C490D01"/>
    <w:rsid w:val="1C735615"/>
    <w:rsid w:val="1C7475D5"/>
    <w:rsid w:val="1C9B1907"/>
    <w:rsid w:val="1D0806B5"/>
    <w:rsid w:val="1D2A5F38"/>
    <w:rsid w:val="1D4A7E0D"/>
    <w:rsid w:val="1D957D8C"/>
    <w:rsid w:val="1DCB38B2"/>
    <w:rsid w:val="1DD34EDA"/>
    <w:rsid w:val="1DDA63DD"/>
    <w:rsid w:val="1DDE6AF4"/>
    <w:rsid w:val="1E4D565E"/>
    <w:rsid w:val="1E815CF5"/>
    <w:rsid w:val="1E8D0857"/>
    <w:rsid w:val="1F02592F"/>
    <w:rsid w:val="1F3F6D86"/>
    <w:rsid w:val="1F807FF0"/>
    <w:rsid w:val="20602AFE"/>
    <w:rsid w:val="20870AE7"/>
    <w:rsid w:val="20D779DC"/>
    <w:rsid w:val="20F04595"/>
    <w:rsid w:val="213F7F42"/>
    <w:rsid w:val="21A77E4F"/>
    <w:rsid w:val="21BF53FA"/>
    <w:rsid w:val="21CA3A42"/>
    <w:rsid w:val="221D6F1E"/>
    <w:rsid w:val="227E4683"/>
    <w:rsid w:val="23D87170"/>
    <w:rsid w:val="23E57872"/>
    <w:rsid w:val="241B0433"/>
    <w:rsid w:val="24222233"/>
    <w:rsid w:val="24231DBE"/>
    <w:rsid w:val="24437E35"/>
    <w:rsid w:val="249A3A2B"/>
    <w:rsid w:val="250220B7"/>
    <w:rsid w:val="25225290"/>
    <w:rsid w:val="25B350FC"/>
    <w:rsid w:val="260612CE"/>
    <w:rsid w:val="2622795A"/>
    <w:rsid w:val="26903D9D"/>
    <w:rsid w:val="26AC797D"/>
    <w:rsid w:val="272E6D0C"/>
    <w:rsid w:val="2758571C"/>
    <w:rsid w:val="275F241F"/>
    <w:rsid w:val="27C42141"/>
    <w:rsid w:val="27DA2E6A"/>
    <w:rsid w:val="27ED2D78"/>
    <w:rsid w:val="284E5982"/>
    <w:rsid w:val="28903497"/>
    <w:rsid w:val="292710BF"/>
    <w:rsid w:val="294919E4"/>
    <w:rsid w:val="29611131"/>
    <w:rsid w:val="29781CB0"/>
    <w:rsid w:val="29C114FE"/>
    <w:rsid w:val="2A184E1C"/>
    <w:rsid w:val="2A4A36F7"/>
    <w:rsid w:val="2A5E427A"/>
    <w:rsid w:val="2AA32587"/>
    <w:rsid w:val="2AAA58BA"/>
    <w:rsid w:val="2B27480F"/>
    <w:rsid w:val="2B3D284B"/>
    <w:rsid w:val="2B415EEB"/>
    <w:rsid w:val="2B6733B5"/>
    <w:rsid w:val="2BDB4209"/>
    <w:rsid w:val="2C145584"/>
    <w:rsid w:val="2C1C0EF4"/>
    <w:rsid w:val="2C243FAC"/>
    <w:rsid w:val="2C2A65AE"/>
    <w:rsid w:val="2C607F68"/>
    <w:rsid w:val="2C83432D"/>
    <w:rsid w:val="2CA334AB"/>
    <w:rsid w:val="2CB90C45"/>
    <w:rsid w:val="2CCB18BB"/>
    <w:rsid w:val="2D473C8C"/>
    <w:rsid w:val="2D7E328C"/>
    <w:rsid w:val="2DB039D4"/>
    <w:rsid w:val="2DC1057E"/>
    <w:rsid w:val="2E40101F"/>
    <w:rsid w:val="2E8A2B1C"/>
    <w:rsid w:val="2EB13BA2"/>
    <w:rsid w:val="303F45B1"/>
    <w:rsid w:val="304841DA"/>
    <w:rsid w:val="30966E65"/>
    <w:rsid w:val="30AB0558"/>
    <w:rsid w:val="30D1488D"/>
    <w:rsid w:val="30F3527E"/>
    <w:rsid w:val="31887D29"/>
    <w:rsid w:val="32432E67"/>
    <w:rsid w:val="324D6546"/>
    <w:rsid w:val="32882784"/>
    <w:rsid w:val="329164DA"/>
    <w:rsid w:val="32B4328B"/>
    <w:rsid w:val="32B932CF"/>
    <w:rsid w:val="330753A3"/>
    <w:rsid w:val="33225155"/>
    <w:rsid w:val="333147B3"/>
    <w:rsid w:val="333A26E5"/>
    <w:rsid w:val="33546005"/>
    <w:rsid w:val="335C6F11"/>
    <w:rsid w:val="338403C9"/>
    <w:rsid w:val="33F36130"/>
    <w:rsid w:val="34867068"/>
    <w:rsid w:val="34D12CF4"/>
    <w:rsid w:val="356D494B"/>
    <w:rsid w:val="358F1351"/>
    <w:rsid w:val="35BD7DBE"/>
    <w:rsid w:val="360A15F2"/>
    <w:rsid w:val="361F67DD"/>
    <w:rsid w:val="37033A1C"/>
    <w:rsid w:val="37224487"/>
    <w:rsid w:val="375121F2"/>
    <w:rsid w:val="3760369A"/>
    <w:rsid w:val="37811C48"/>
    <w:rsid w:val="37AE766C"/>
    <w:rsid w:val="38110367"/>
    <w:rsid w:val="39372BB1"/>
    <w:rsid w:val="39BD26A1"/>
    <w:rsid w:val="39D72EB8"/>
    <w:rsid w:val="3A0C41EA"/>
    <w:rsid w:val="3A775934"/>
    <w:rsid w:val="3A835885"/>
    <w:rsid w:val="3AEA1BB9"/>
    <w:rsid w:val="3BE42C45"/>
    <w:rsid w:val="3C3B2F7E"/>
    <w:rsid w:val="3CB824A1"/>
    <w:rsid w:val="3CC10A47"/>
    <w:rsid w:val="3D24541B"/>
    <w:rsid w:val="3D33109D"/>
    <w:rsid w:val="3D391F3B"/>
    <w:rsid w:val="3D465FD8"/>
    <w:rsid w:val="3D4F67EC"/>
    <w:rsid w:val="3D6372BD"/>
    <w:rsid w:val="3DD164E6"/>
    <w:rsid w:val="3DE641F4"/>
    <w:rsid w:val="3EEF3108"/>
    <w:rsid w:val="3F100B1A"/>
    <w:rsid w:val="3F3344AA"/>
    <w:rsid w:val="3FA64FDD"/>
    <w:rsid w:val="3FBC50F9"/>
    <w:rsid w:val="3FC81F07"/>
    <w:rsid w:val="3FF372A6"/>
    <w:rsid w:val="3FF410BD"/>
    <w:rsid w:val="3FFD4D91"/>
    <w:rsid w:val="40076EA7"/>
    <w:rsid w:val="40326E7F"/>
    <w:rsid w:val="40600E1B"/>
    <w:rsid w:val="4081462D"/>
    <w:rsid w:val="40C7186B"/>
    <w:rsid w:val="42881F23"/>
    <w:rsid w:val="42E6035E"/>
    <w:rsid w:val="437C1DC2"/>
    <w:rsid w:val="43D42221"/>
    <w:rsid w:val="43E430A1"/>
    <w:rsid w:val="44551243"/>
    <w:rsid w:val="44A90149"/>
    <w:rsid w:val="44AE4D99"/>
    <w:rsid w:val="44EC412F"/>
    <w:rsid w:val="44EC7AD4"/>
    <w:rsid w:val="44FC367A"/>
    <w:rsid w:val="453263A3"/>
    <w:rsid w:val="45852DF2"/>
    <w:rsid w:val="45C621AE"/>
    <w:rsid w:val="45CF70CA"/>
    <w:rsid w:val="45DA6F1C"/>
    <w:rsid w:val="460F5416"/>
    <w:rsid w:val="461703D3"/>
    <w:rsid w:val="473E34CA"/>
    <w:rsid w:val="4789358D"/>
    <w:rsid w:val="48690B76"/>
    <w:rsid w:val="48C07666"/>
    <w:rsid w:val="49013565"/>
    <w:rsid w:val="49622B9B"/>
    <w:rsid w:val="497054E8"/>
    <w:rsid w:val="49D817A8"/>
    <w:rsid w:val="49FA1B56"/>
    <w:rsid w:val="4A0B5348"/>
    <w:rsid w:val="4A1079C8"/>
    <w:rsid w:val="4A7478D9"/>
    <w:rsid w:val="4C2849A5"/>
    <w:rsid w:val="4C580336"/>
    <w:rsid w:val="4C7A40C1"/>
    <w:rsid w:val="4D490EE4"/>
    <w:rsid w:val="4D51177B"/>
    <w:rsid w:val="4D6D3F0E"/>
    <w:rsid w:val="4E0F39B9"/>
    <w:rsid w:val="4E2D1A35"/>
    <w:rsid w:val="4E727887"/>
    <w:rsid w:val="4EA65ADB"/>
    <w:rsid w:val="4EAC393B"/>
    <w:rsid w:val="4EE20771"/>
    <w:rsid w:val="4F4638CD"/>
    <w:rsid w:val="4F711FB6"/>
    <w:rsid w:val="4F75171A"/>
    <w:rsid w:val="4F9B7889"/>
    <w:rsid w:val="4FC37881"/>
    <w:rsid w:val="4FCD1F36"/>
    <w:rsid w:val="4FF25FDF"/>
    <w:rsid w:val="504C5F97"/>
    <w:rsid w:val="50B54347"/>
    <w:rsid w:val="514540D4"/>
    <w:rsid w:val="518D4B03"/>
    <w:rsid w:val="51972FAD"/>
    <w:rsid w:val="51A55B0D"/>
    <w:rsid w:val="51E50EE8"/>
    <w:rsid w:val="52532A60"/>
    <w:rsid w:val="52684B06"/>
    <w:rsid w:val="52BA1BA0"/>
    <w:rsid w:val="5315791F"/>
    <w:rsid w:val="541A7D9C"/>
    <w:rsid w:val="5426380E"/>
    <w:rsid w:val="542B5FEB"/>
    <w:rsid w:val="54412703"/>
    <w:rsid w:val="54764C4D"/>
    <w:rsid w:val="548B24C2"/>
    <w:rsid w:val="549F20FE"/>
    <w:rsid w:val="55177E5E"/>
    <w:rsid w:val="5565147B"/>
    <w:rsid w:val="55757010"/>
    <w:rsid w:val="558A4E39"/>
    <w:rsid w:val="56181A75"/>
    <w:rsid w:val="56381BFF"/>
    <w:rsid w:val="567E0312"/>
    <w:rsid w:val="5694249D"/>
    <w:rsid w:val="57242EA7"/>
    <w:rsid w:val="57360CB1"/>
    <w:rsid w:val="57E74DE2"/>
    <w:rsid w:val="57FA64DA"/>
    <w:rsid w:val="581C6FD1"/>
    <w:rsid w:val="586C0B10"/>
    <w:rsid w:val="587834CB"/>
    <w:rsid w:val="58B00199"/>
    <w:rsid w:val="58B745C5"/>
    <w:rsid w:val="58C13C0A"/>
    <w:rsid w:val="59997A4B"/>
    <w:rsid w:val="5B0F2A57"/>
    <w:rsid w:val="5BC27E00"/>
    <w:rsid w:val="5C0E11F6"/>
    <w:rsid w:val="5C2F040B"/>
    <w:rsid w:val="5C52514A"/>
    <w:rsid w:val="5C555867"/>
    <w:rsid w:val="5C6972C0"/>
    <w:rsid w:val="5CEC456F"/>
    <w:rsid w:val="5D227272"/>
    <w:rsid w:val="5D3A6A48"/>
    <w:rsid w:val="5D6D228C"/>
    <w:rsid w:val="5D921BF1"/>
    <w:rsid w:val="5DCF76F2"/>
    <w:rsid w:val="5DD90C41"/>
    <w:rsid w:val="5DDA3C20"/>
    <w:rsid w:val="5DE94AD8"/>
    <w:rsid w:val="5DF1140A"/>
    <w:rsid w:val="5E303744"/>
    <w:rsid w:val="5EAB0FC7"/>
    <w:rsid w:val="5F4E5DDF"/>
    <w:rsid w:val="5FBC36A7"/>
    <w:rsid w:val="5FDF242E"/>
    <w:rsid w:val="600B38B6"/>
    <w:rsid w:val="60293C40"/>
    <w:rsid w:val="604C05A2"/>
    <w:rsid w:val="60816BB5"/>
    <w:rsid w:val="60C2474E"/>
    <w:rsid w:val="60CA3AB1"/>
    <w:rsid w:val="60E5640C"/>
    <w:rsid w:val="611428B7"/>
    <w:rsid w:val="6190499C"/>
    <w:rsid w:val="61EC3438"/>
    <w:rsid w:val="627C309A"/>
    <w:rsid w:val="63034183"/>
    <w:rsid w:val="63840BF2"/>
    <w:rsid w:val="63C2330E"/>
    <w:rsid w:val="63CE11C3"/>
    <w:rsid w:val="63EF54E0"/>
    <w:rsid w:val="63F162AD"/>
    <w:rsid w:val="642C3E06"/>
    <w:rsid w:val="649F0C2F"/>
    <w:rsid w:val="64D03080"/>
    <w:rsid w:val="64D13D0A"/>
    <w:rsid w:val="64DA068B"/>
    <w:rsid w:val="652C55DB"/>
    <w:rsid w:val="65A339CA"/>
    <w:rsid w:val="65BD501C"/>
    <w:rsid w:val="660926A8"/>
    <w:rsid w:val="6657466B"/>
    <w:rsid w:val="66CA1467"/>
    <w:rsid w:val="66CB41F1"/>
    <w:rsid w:val="66CF46A7"/>
    <w:rsid w:val="66E418FC"/>
    <w:rsid w:val="66E71753"/>
    <w:rsid w:val="66E83A21"/>
    <w:rsid w:val="674328DB"/>
    <w:rsid w:val="676B7351"/>
    <w:rsid w:val="67802931"/>
    <w:rsid w:val="6782675A"/>
    <w:rsid w:val="67BA60C6"/>
    <w:rsid w:val="67E6231D"/>
    <w:rsid w:val="68D111CD"/>
    <w:rsid w:val="690D19C6"/>
    <w:rsid w:val="691F7BF1"/>
    <w:rsid w:val="69324A35"/>
    <w:rsid w:val="699E3074"/>
    <w:rsid w:val="69C5793F"/>
    <w:rsid w:val="6A4F304D"/>
    <w:rsid w:val="6A520EED"/>
    <w:rsid w:val="6A953190"/>
    <w:rsid w:val="6AAE4F43"/>
    <w:rsid w:val="6AB64CFD"/>
    <w:rsid w:val="6AC04D5F"/>
    <w:rsid w:val="6BA57D26"/>
    <w:rsid w:val="6BA87C8A"/>
    <w:rsid w:val="6C844AF2"/>
    <w:rsid w:val="6C8E3142"/>
    <w:rsid w:val="6C9B079B"/>
    <w:rsid w:val="6CAD05A1"/>
    <w:rsid w:val="6CC96354"/>
    <w:rsid w:val="6D6B7780"/>
    <w:rsid w:val="6D7B6603"/>
    <w:rsid w:val="6DA62AF2"/>
    <w:rsid w:val="6DE7039E"/>
    <w:rsid w:val="6E1246BD"/>
    <w:rsid w:val="6E1C0D7F"/>
    <w:rsid w:val="6E8A6100"/>
    <w:rsid w:val="6F28776C"/>
    <w:rsid w:val="6F4626DF"/>
    <w:rsid w:val="6F5A6434"/>
    <w:rsid w:val="70393E57"/>
    <w:rsid w:val="707601CC"/>
    <w:rsid w:val="70DE192C"/>
    <w:rsid w:val="71527247"/>
    <w:rsid w:val="716B476F"/>
    <w:rsid w:val="71F815E0"/>
    <w:rsid w:val="72194CFE"/>
    <w:rsid w:val="72432D8B"/>
    <w:rsid w:val="72982D3D"/>
    <w:rsid w:val="73026AF4"/>
    <w:rsid w:val="73701862"/>
    <w:rsid w:val="738D62A2"/>
    <w:rsid w:val="73BB7B21"/>
    <w:rsid w:val="73DB2B59"/>
    <w:rsid w:val="741769CB"/>
    <w:rsid w:val="74D936AA"/>
    <w:rsid w:val="75492857"/>
    <w:rsid w:val="755D3819"/>
    <w:rsid w:val="75782271"/>
    <w:rsid w:val="759D42A5"/>
    <w:rsid w:val="75B11D8B"/>
    <w:rsid w:val="75EC0A9D"/>
    <w:rsid w:val="76047400"/>
    <w:rsid w:val="77B145E8"/>
    <w:rsid w:val="77D9604A"/>
    <w:rsid w:val="7815640A"/>
    <w:rsid w:val="782862D9"/>
    <w:rsid w:val="786853AF"/>
    <w:rsid w:val="78C43B5E"/>
    <w:rsid w:val="78CD66C0"/>
    <w:rsid w:val="797A342A"/>
    <w:rsid w:val="798F362C"/>
    <w:rsid w:val="79945194"/>
    <w:rsid w:val="7A49718B"/>
    <w:rsid w:val="7B4D1562"/>
    <w:rsid w:val="7B792402"/>
    <w:rsid w:val="7B7D522D"/>
    <w:rsid w:val="7BDE55EF"/>
    <w:rsid w:val="7C9E2034"/>
    <w:rsid w:val="7CA432BB"/>
    <w:rsid w:val="7CCC5678"/>
    <w:rsid w:val="7D45153B"/>
    <w:rsid w:val="7D5A1455"/>
    <w:rsid w:val="7E3C0774"/>
    <w:rsid w:val="7E3C3601"/>
    <w:rsid w:val="7E763F66"/>
    <w:rsid w:val="7EBF3615"/>
    <w:rsid w:val="7EFE5E92"/>
    <w:rsid w:val="7F361938"/>
    <w:rsid w:val="7FB45D8E"/>
    <w:rsid w:val="7FDE67B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qFormat="1" w:unhideWhenUsed="0" w:uiPriority="99" w:name="footnote text"/>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0"/>
      <w:sz w:val="21"/>
      <w:szCs w:val="21"/>
      <w:lang w:val="en-US" w:eastAsia="zh-CN" w:bidi="ar-SA"/>
    </w:rPr>
  </w:style>
  <w:style w:type="paragraph" w:styleId="3">
    <w:name w:val="heading 1"/>
    <w:basedOn w:val="1"/>
    <w:next w:val="1"/>
    <w:link w:val="17"/>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18"/>
    <w:qFormat/>
    <w:uiPriority w:val="99"/>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19"/>
    <w:qFormat/>
    <w:uiPriority w:val="99"/>
    <w:pPr>
      <w:keepNext/>
      <w:keepLines/>
      <w:spacing w:before="260" w:after="260" w:line="413" w:lineRule="auto"/>
      <w:outlineLvl w:val="2"/>
    </w:pPr>
    <w:rPr>
      <w:b/>
      <w:bCs/>
      <w:sz w:val="32"/>
      <w:szCs w:val="32"/>
    </w:rPr>
  </w:style>
  <w:style w:type="character" w:default="1" w:styleId="14">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0"/>
    <w:qFormat/>
    <w:uiPriority w:val="99"/>
    <w:pPr>
      <w:tabs>
        <w:tab w:val="center" w:pos="4153"/>
        <w:tab w:val="right" w:pos="8306"/>
      </w:tabs>
      <w:snapToGrid w:val="0"/>
      <w:jc w:val="left"/>
    </w:pPr>
    <w:rPr>
      <w:sz w:val="18"/>
      <w:szCs w:val="18"/>
    </w:rPr>
  </w:style>
  <w:style w:type="paragraph" w:styleId="6">
    <w:name w:val="toc 3"/>
    <w:basedOn w:val="1"/>
    <w:next w:val="1"/>
    <w:semiHidden/>
    <w:qFormat/>
    <w:uiPriority w:val="99"/>
    <w:pPr>
      <w:ind w:left="840" w:leftChars="400"/>
    </w:pPr>
    <w:rPr>
      <w:rFonts w:ascii="等线" w:hAnsi="等线" w:eastAsia="等线" w:cs="等线"/>
    </w:rPr>
  </w:style>
  <w:style w:type="paragraph" w:styleId="7">
    <w:name w:val="Balloon Text"/>
    <w:basedOn w:val="1"/>
    <w:link w:val="21"/>
    <w:semiHidden/>
    <w:qFormat/>
    <w:uiPriority w:val="99"/>
    <w:rPr>
      <w:sz w:val="18"/>
      <w:szCs w:val="18"/>
    </w:rPr>
  </w:style>
  <w:style w:type="paragraph" w:styleId="8">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99"/>
  </w:style>
  <w:style w:type="paragraph" w:styleId="10">
    <w:name w:val="footnote text"/>
    <w:basedOn w:val="1"/>
    <w:link w:val="23"/>
    <w:semiHidden/>
    <w:qFormat/>
    <w:uiPriority w:val="99"/>
    <w:pPr>
      <w:snapToGrid w:val="0"/>
      <w:jc w:val="left"/>
    </w:pPr>
    <w:rPr>
      <w:sz w:val="18"/>
      <w:szCs w:val="18"/>
    </w:rPr>
  </w:style>
  <w:style w:type="paragraph" w:styleId="11">
    <w:name w:val="toc 2"/>
    <w:basedOn w:val="1"/>
    <w:next w:val="1"/>
    <w:semiHidden/>
    <w:qFormat/>
    <w:uiPriority w:val="99"/>
    <w:pPr>
      <w:ind w:left="420" w:leftChars="200"/>
    </w:pPr>
  </w:style>
  <w:style w:type="table" w:styleId="13">
    <w:name w:val="Table Grid"/>
    <w:basedOn w:val="1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99"/>
    <w:rPr>
      <w:color w:val="0000FF"/>
      <w:u w:val="single"/>
    </w:rPr>
  </w:style>
  <w:style w:type="character" w:styleId="16">
    <w:name w:val="footnote reference"/>
    <w:basedOn w:val="14"/>
    <w:semiHidden/>
    <w:qFormat/>
    <w:uiPriority w:val="99"/>
    <w:rPr>
      <w:vertAlign w:val="superscript"/>
    </w:rPr>
  </w:style>
  <w:style w:type="character" w:customStyle="1" w:styleId="17">
    <w:name w:val="Heading 1 Char"/>
    <w:basedOn w:val="14"/>
    <w:link w:val="3"/>
    <w:qFormat/>
    <w:locked/>
    <w:uiPriority w:val="99"/>
    <w:rPr>
      <w:b/>
      <w:bCs/>
      <w:kern w:val="44"/>
      <w:sz w:val="44"/>
      <w:szCs w:val="44"/>
    </w:rPr>
  </w:style>
  <w:style w:type="character" w:customStyle="1" w:styleId="18">
    <w:name w:val="Heading 2 Char"/>
    <w:basedOn w:val="14"/>
    <w:link w:val="4"/>
    <w:semiHidden/>
    <w:qFormat/>
    <w:locked/>
    <w:uiPriority w:val="99"/>
    <w:rPr>
      <w:rFonts w:ascii="Cambria" w:hAnsi="Cambria" w:eastAsia="宋体" w:cs="Cambria"/>
      <w:b/>
      <w:bCs/>
      <w:kern w:val="0"/>
      <w:sz w:val="32"/>
      <w:szCs w:val="32"/>
    </w:rPr>
  </w:style>
  <w:style w:type="character" w:customStyle="1" w:styleId="19">
    <w:name w:val="Heading 3 Char"/>
    <w:basedOn w:val="14"/>
    <w:link w:val="5"/>
    <w:semiHidden/>
    <w:qFormat/>
    <w:locked/>
    <w:uiPriority w:val="99"/>
    <w:rPr>
      <w:b/>
      <w:bCs/>
      <w:kern w:val="0"/>
      <w:sz w:val="32"/>
      <w:szCs w:val="32"/>
    </w:rPr>
  </w:style>
  <w:style w:type="character" w:customStyle="1" w:styleId="20">
    <w:name w:val="Footer Char"/>
    <w:basedOn w:val="14"/>
    <w:link w:val="2"/>
    <w:qFormat/>
    <w:locked/>
    <w:uiPriority w:val="99"/>
    <w:rPr>
      <w:rFonts w:ascii="Times New Roman" w:hAnsi="Times New Roman" w:eastAsia="宋体" w:cs="Times New Roman"/>
      <w:snapToGrid w:val="0"/>
      <w:kern w:val="0"/>
      <w:sz w:val="18"/>
      <w:szCs w:val="18"/>
    </w:rPr>
  </w:style>
  <w:style w:type="character" w:customStyle="1" w:styleId="21">
    <w:name w:val="Balloon Text Char"/>
    <w:basedOn w:val="14"/>
    <w:link w:val="7"/>
    <w:semiHidden/>
    <w:qFormat/>
    <w:locked/>
    <w:uiPriority w:val="99"/>
    <w:rPr>
      <w:snapToGrid w:val="0"/>
      <w:sz w:val="18"/>
      <w:szCs w:val="18"/>
    </w:rPr>
  </w:style>
  <w:style w:type="character" w:customStyle="1" w:styleId="22">
    <w:name w:val="Header Char"/>
    <w:basedOn w:val="14"/>
    <w:link w:val="8"/>
    <w:qFormat/>
    <w:locked/>
    <w:uiPriority w:val="99"/>
    <w:rPr>
      <w:rFonts w:ascii="Times New Roman" w:hAnsi="Times New Roman" w:eastAsia="宋体" w:cs="Times New Roman"/>
      <w:snapToGrid w:val="0"/>
      <w:kern w:val="0"/>
      <w:sz w:val="18"/>
      <w:szCs w:val="18"/>
    </w:rPr>
  </w:style>
  <w:style w:type="character" w:customStyle="1" w:styleId="23">
    <w:name w:val="Footnote Text Char"/>
    <w:basedOn w:val="14"/>
    <w:link w:val="10"/>
    <w:semiHidden/>
    <w:qFormat/>
    <w:locked/>
    <w:uiPriority w:val="99"/>
    <w:rPr>
      <w:kern w:val="0"/>
      <w:sz w:val="18"/>
      <w:szCs w:val="18"/>
    </w:rPr>
  </w:style>
  <w:style w:type="character" w:customStyle="1" w:styleId="24">
    <w:name w:val="页脚 Char"/>
    <w:qFormat/>
    <w:uiPriority w:val="99"/>
    <w:rPr>
      <w:snapToGrid w:val="0"/>
      <w:sz w:val="18"/>
      <w:szCs w:val="18"/>
    </w:rPr>
  </w:style>
  <w:style w:type="character" w:customStyle="1" w:styleId="25">
    <w:name w:val="font81"/>
    <w:basedOn w:val="14"/>
    <w:qFormat/>
    <w:uiPriority w:val="99"/>
    <w:rPr>
      <w:rFonts w:ascii="Times New Roman" w:hAnsi="Times New Roman" w:cs="Times New Roman"/>
      <w:b/>
      <w:bCs/>
      <w:color w:val="000000"/>
      <w:sz w:val="22"/>
      <w:szCs w:val="22"/>
      <w:u w:val="none"/>
    </w:rPr>
  </w:style>
  <w:style w:type="character" w:customStyle="1" w:styleId="26">
    <w:name w:val="font71"/>
    <w:basedOn w:val="14"/>
    <w:qFormat/>
    <w:uiPriority w:val="99"/>
    <w:rPr>
      <w:rFonts w:ascii="宋体" w:hAnsi="宋体" w:eastAsia="宋体" w:cs="宋体"/>
      <w:color w:val="000000"/>
      <w:sz w:val="21"/>
      <w:szCs w:val="21"/>
      <w:u w:val="none"/>
    </w:rPr>
  </w:style>
  <w:style w:type="character" w:customStyle="1" w:styleId="27">
    <w:name w:val="font21"/>
    <w:basedOn w:val="14"/>
    <w:qFormat/>
    <w:uiPriority w:val="99"/>
    <w:rPr>
      <w:rFonts w:ascii="宋体" w:hAnsi="宋体" w:eastAsia="宋体" w:cs="宋体"/>
      <w:b/>
      <w:bCs/>
      <w:color w:val="000000"/>
      <w:sz w:val="48"/>
      <w:szCs w:val="48"/>
      <w:u w:val="none"/>
    </w:rPr>
  </w:style>
  <w:style w:type="character" w:customStyle="1" w:styleId="28">
    <w:name w:val="font11"/>
    <w:basedOn w:val="14"/>
    <w:qFormat/>
    <w:uiPriority w:val="99"/>
    <w:rPr>
      <w:rFonts w:ascii="Times New Roman" w:hAnsi="Times New Roman" w:cs="Times New Roman"/>
      <w:b/>
      <w:bCs/>
      <w:color w:val="000000"/>
      <w:sz w:val="48"/>
      <w:szCs w:val="48"/>
      <w:u w:val="none"/>
    </w:rPr>
  </w:style>
  <w:style w:type="character" w:customStyle="1" w:styleId="29">
    <w:name w:val="font51"/>
    <w:basedOn w:val="14"/>
    <w:qFormat/>
    <w:uiPriority w:val="99"/>
    <w:rPr>
      <w:rFonts w:ascii="宋体" w:hAnsi="宋体" w:eastAsia="宋体" w:cs="宋体"/>
      <w:b/>
      <w:bCs/>
      <w:color w:val="000000"/>
      <w:sz w:val="22"/>
      <w:szCs w:val="22"/>
      <w:u w:val="none"/>
    </w:rPr>
  </w:style>
  <w:style w:type="character" w:customStyle="1" w:styleId="30">
    <w:name w:val="font41"/>
    <w:basedOn w:val="14"/>
    <w:qFormat/>
    <w:uiPriority w:val="99"/>
    <w:rPr>
      <w:rFonts w:ascii="Times New Roman" w:hAnsi="Times New Roman" w:cs="Times New Roman"/>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DoubleOX</Company>
  <Pages>123</Pages>
  <Words>7302</Words>
  <Characters>7663</Characters>
  <Lines>0</Lines>
  <Paragraphs>0</Paragraphs>
  <TotalTime>1</TotalTime>
  <ScaleCrop>false</ScaleCrop>
  <LinksUpToDate>false</LinksUpToDate>
  <CharactersWithSpaces>7984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2021-11-22T02:25:00Z</dcterms:created>
  <dc:creator>综合协调组(zhxtz_fy)</dc:creator>
  <cp:lastModifiedBy>翼向苍宇</cp:lastModifiedBy>
  <cp:lastPrinted>2021-10-26T02:10:00Z</cp:lastPrinted>
  <dcterms:modified xsi:type="dcterms:W3CDTF">2026-02-04T07:02:33Z</dcterms:modified>
  <dc:title>秦淮区国民经济和社会发展第十四个五年规划和二〇三五年远景目标纲要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461910999_btnclosed</vt:lpwstr>
  </property>
  <property fmtid="{D5CDD505-2E9C-101B-9397-08002B2CF9AE}" pid="3" name="KSOProductBuildVer">
    <vt:lpwstr>2052-12.1.0.23542</vt:lpwstr>
  </property>
  <property fmtid="{D5CDD505-2E9C-101B-9397-08002B2CF9AE}" pid="4" name="ICV">
    <vt:lpwstr>9E6C08E958694404BE734127789503EA_13</vt:lpwstr>
  </property>
  <property fmtid="{D5CDD505-2E9C-101B-9397-08002B2CF9AE}" pid="5" name="KSOTemplateDocerSaveRecord">
    <vt:lpwstr>eyJoZGlkIjoiNGFkNDlmNzM2NTllZWNkMDA2MzQ0YzA1MWY1YzU0ZDAiLCJ1c2VySWQiOiIyMDQyNzIxODQifQ==</vt:lpwstr>
  </property>
</Properties>
</file>